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8"/>
          <w:szCs w:val="28"/>
          <w:b w:val="1"/>
          <w:bCs w:val="1"/>
          <w:color w:val="auto"/>
        </w:rPr>
        <w:t>UNITED STATES SECURITIES AND EXCHANGE COMMISSION</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36830</wp:posOffset>
            </wp:positionV>
            <wp:extent cx="14566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28"/>
          <w:szCs w:val="2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61595</wp:posOffset>
            </wp:positionV>
            <wp:extent cx="14566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80"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48" w:lineRule="exact"/>
        <w:rPr>
          <w:sz w:val="24"/>
          <w:szCs w:val="24"/>
          <w:color w:val="auto"/>
        </w:rPr>
      </w:pPr>
    </w:p>
    <w:p>
      <w:pPr>
        <w:ind w:left="520" w:hanging="513"/>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50" w:lineRule="exact"/>
        <w:rPr>
          <w:rFonts w:ascii="MS PGothic" w:cs="MS PGothic" w:eastAsia="MS PGothic" w:hAnsi="MS PGothic"/>
          <w:sz w:val="18"/>
          <w:szCs w:val="18"/>
          <w:color w:val="auto"/>
        </w:rPr>
      </w:pPr>
    </w:p>
    <w:p>
      <w:pPr>
        <w:ind w:left="42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fiscal year ended December 31, 2017</w:t>
      </w:r>
    </w:p>
    <w:p>
      <w:pPr>
        <w:spacing w:after="0" w:line="5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38" w:lineRule="exact"/>
        <w:rPr>
          <w:sz w:val="24"/>
          <w:szCs w:val="24"/>
          <w:color w:val="auto"/>
        </w:rPr>
      </w:pPr>
    </w:p>
    <w:p>
      <w:pPr>
        <w:ind w:left="520" w:hanging="513"/>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1" w:lineRule="exact"/>
        <w:rPr>
          <w:sz w:val="24"/>
          <w:szCs w:val="24"/>
          <w:color w:val="auto"/>
        </w:rPr>
      </w:pPr>
    </w:p>
    <w:p>
      <w:pPr>
        <w:ind w:left="410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5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3196590</wp:posOffset>
            </wp:positionH>
            <wp:positionV relativeFrom="paragraph">
              <wp:posOffset>44450</wp:posOffset>
            </wp:positionV>
            <wp:extent cx="863600" cy="863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3600" cy="8636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ind w:right="20"/>
        <w:spacing w:after="0"/>
        <w:rPr>
          <w:sz w:val="20"/>
          <w:szCs w:val="20"/>
          <w:color w:val="auto"/>
        </w:rPr>
      </w:pPr>
      <w:r>
        <w:rPr>
          <w:rFonts w:ascii="Arial" w:cs="Arial" w:eastAsia="Arial" w:hAnsi="Arial"/>
          <w:sz w:val="39"/>
          <w:szCs w:val="39"/>
          <w:b w:val="1"/>
          <w:bCs w:val="1"/>
          <w:color w:val="auto"/>
        </w:rPr>
        <w:t>Great Lakes Dredge &amp; Dock Corporation</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34925</wp:posOffset>
            </wp:positionV>
            <wp:extent cx="14566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640" w:type="dxa"/>
            <w:vAlign w:val="bottom"/>
          </w:tcPr>
          <w:p>
            <w:pPr>
              <w:spacing w:after="0"/>
              <w:rPr>
                <w:sz w:val="14"/>
                <w:szCs w:val="14"/>
                <w:color w:val="auto"/>
              </w:rPr>
            </w:pPr>
          </w:p>
        </w:tc>
        <w:tc>
          <w:tcPr>
            <w:tcW w:w="4920" w:type="dxa"/>
            <w:vAlign w:val="bottom"/>
            <w:gridSpan w:val="4"/>
          </w:tcPr>
          <w:p>
            <w:pPr>
              <w:jc w:val="center"/>
              <w:ind w:right="4100"/>
              <w:spacing w:after="0"/>
              <w:rPr>
                <w:sz w:val="20"/>
                <w:szCs w:val="20"/>
                <w:color w:val="auto"/>
              </w:rPr>
            </w:pPr>
            <w:r>
              <w:rPr>
                <w:rFonts w:ascii="Arial" w:cs="Arial" w:eastAsia="Arial" w:hAnsi="Arial"/>
                <w:sz w:val="15"/>
                <w:szCs w:val="15"/>
                <w:b w:val="1"/>
                <w:bCs w:val="1"/>
                <w:color w:val="auto"/>
                <w:w w:val="94"/>
              </w:rPr>
              <w:t>Delaware</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80" w:type="dxa"/>
            <w:vAlign w:val="bottom"/>
          </w:tcPr>
          <w:p>
            <w:pPr>
              <w:jc w:val="right"/>
              <w:ind w:right="866"/>
              <w:spacing w:after="0"/>
              <w:rPr>
                <w:sz w:val="20"/>
                <w:szCs w:val="20"/>
                <w:color w:val="auto"/>
              </w:rPr>
            </w:pPr>
            <w:r>
              <w:rPr>
                <w:rFonts w:ascii="Arial" w:cs="Arial" w:eastAsia="Arial" w:hAnsi="Arial"/>
                <w:sz w:val="15"/>
                <w:szCs w:val="15"/>
                <w:b w:val="1"/>
                <w:bCs w:val="1"/>
                <w:color w:val="auto"/>
              </w:rPr>
              <w:t>20-5336063</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7560" w:type="dxa"/>
            <w:vAlign w:val="bottom"/>
            <w:gridSpan w:val="5"/>
          </w:tcPr>
          <w:p>
            <w:pPr>
              <w:jc w:val="center"/>
              <w:ind w:right="1460"/>
              <w:spacing w:after="0" w:line="147" w:lineRule="exact"/>
              <w:rPr>
                <w:sz w:val="20"/>
                <w:szCs w:val="20"/>
                <w:color w:val="auto"/>
              </w:rPr>
            </w:pPr>
            <w:r>
              <w:rPr>
                <w:rFonts w:ascii="Arial" w:cs="Arial" w:eastAsia="Arial" w:hAnsi="Arial"/>
                <w:sz w:val="14"/>
                <w:szCs w:val="14"/>
                <w:b w:val="1"/>
                <w:bCs w:val="1"/>
                <w:color w:val="auto"/>
                <w:w w:val="92"/>
              </w:rPr>
              <w:t>(State or other jurisdiction of</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00" w:type="dxa"/>
            <w:vAlign w:val="bottom"/>
            <w:gridSpan w:val="2"/>
          </w:tcPr>
          <w:p>
            <w:pPr>
              <w:jc w:val="center"/>
              <w:ind w:right="760"/>
              <w:spacing w:after="0" w:line="147" w:lineRule="exact"/>
              <w:rPr>
                <w:sz w:val="20"/>
                <w:szCs w:val="20"/>
                <w:color w:val="auto"/>
              </w:rPr>
            </w:pPr>
            <w:r>
              <w:rPr>
                <w:rFonts w:ascii="Arial" w:cs="Arial" w:eastAsia="Arial" w:hAnsi="Arial"/>
                <w:sz w:val="14"/>
                <w:szCs w:val="14"/>
                <w:b w:val="1"/>
                <w:bCs w:val="1"/>
                <w:color w:val="auto"/>
                <w:w w:val="94"/>
              </w:rPr>
              <w:t>(I.R.S. Employer</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560" w:type="dxa"/>
            <w:vAlign w:val="bottom"/>
            <w:gridSpan w:val="5"/>
          </w:tcPr>
          <w:p>
            <w:pPr>
              <w:jc w:val="center"/>
              <w:ind w:right="1460"/>
              <w:spacing w:after="0"/>
              <w:rPr>
                <w:sz w:val="20"/>
                <w:szCs w:val="20"/>
                <w:color w:val="auto"/>
              </w:rPr>
            </w:pPr>
            <w:r>
              <w:rPr>
                <w:rFonts w:ascii="Arial" w:cs="Arial" w:eastAsia="Arial" w:hAnsi="Arial"/>
                <w:sz w:val="14"/>
                <w:szCs w:val="14"/>
                <w:b w:val="1"/>
                <w:bCs w:val="1"/>
                <w:color w:val="auto"/>
                <w:w w:val="93"/>
              </w:rPr>
              <w:t>incorporation or organization)</w:t>
            </w: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9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2"/>
              </w:rPr>
              <w:t>Identification No.)</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560" w:type="dxa"/>
            <w:vAlign w:val="bottom"/>
            <w:gridSpan w:val="5"/>
          </w:tcPr>
          <w:p>
            <w:pPr>
              <w:jc w:val="center"/>
              <w:ind w:right="1460"/>
              <w:spacing w:after="0" w:line="162" w:lineRule="exact"/>
              <w:rPr>
                <w:sz w:val="20"/>
                <w:szCs w:val="20"/>
                <w:color w:val="auto"/>
              </w:rPr>
            </w:pPr>
            <w:r>
              <w:rPr>
                <w:rFonts w:ascii="Arial" w:cs="Arial" w:eastAsia="Arial" w:hAnsi="Arial"/>
                <w:sz w:val="15"/>
                <w:szCs w:val="15"/>
                <w:b w:val="1"/>
                <w:bCs w:val="1"/>
                <w:color w:val="auto"/>
                <w:w w:val="94"/>
              </w:rPr>
              <w:t>2122 York Road, Oak Brook, IL</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80" w:type="dxa"/>
            <w:vAlign w:val="bottom"/>
          </w:tcPr>
          <w:p>
            <w:pPr>
              <w:jc w:val="right"/>
              <w:ind w:right="1046"/>
              <w:spacing w:after="0" w:line="162" w:lineRule="exact"/>
              <w:rPr>
                <w:sz w:val="20"/>
                <w:szCs w:val="20"/>
                <w:color w:val="auto"/>
              </w:rPr>
            </w:pPr>
            <w:r>
              <w:rPr>
                <w:rFonts w:ascii="Arial" w:cs="Arial" w:eastAsia="Arial" w:hAnsi="Arial"/>
                <w:sz w:val="15"/>
                <w:szCs w:val="15"/>
                <w:b w:val="1"/>
                <w:bCs w:val="1"/>
                <w:color w:val="auto"/>
              </w:rPr>
              <w:t>60523</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7560" w:type="dxa"/>
            <w:vAlign w:val="bottom"/>
            <w:gridSpan w:val="5"/>
          </w:tcPr>
          <w:p>
            <w:pPr>
              <w:jc w:val="center"/>
              <w:ind w:right="1460"/>
              <w:spacing w:after="0"/>
              <w:rPr>
                <w:sz w:val="20"/>
                <w:szCs w:val="20"/>
                <w:color w:val="auto"/>
              </w:rPr>
            </w:pPr>
            <w:r>
              <w:rPr>
                <w:rFonts w:ascii="Arial" w:cs="Arial" w:eastAsia="Arial" w:hAnsi="Arial"/>
                <w:sz w:val="14"/>
                <w:szCs w:val="14"/>
                <w:b w:val="1"/>
                <w:bCs w:val="1"/>
                <w:color w:val="auto"/>
                <w:w w:val="89"/>
              </w:rPr>
              <w:t>(Address of principal executive offices)</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9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5"/>
              </w:rPr>
              <w:t>(Zip Code)</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840" w:type="dxa"/>
            <w:vAlign w:val="bottom"/>
            <w:gridSpan w:val="4"/>
          </w:tcPr>
          <w:p>
            <w:pPr>
              <w:jc w:val="center"/>
              <w:ind w:left="4506"/>
              <w:spacing w:after="0" w:line="155" w:lineRule="exact"/>
              <w:rPr>
                <w:sz w:val="20"/>
                <w:szCs w:val="20"/>
                <w:color w:val="auto"/>
              </w:rPr>
            </w:pPr>
            <w:r>
              <w:rPr>
                <w:rFonts w:ascii="Arial" w:cs="Arial" w:eastAsia="Arial" w:hAnsi="Arial"/>
                <w:sz w:val="15"/>
                <w:szCs w:val="15"/>
                <w:b w:val="1"/>
                <w:bCs w:val="1"/>
                <w:color w:val="auto"/>
                <w:w w:val="91"/>
              </w:rPr>
              <w:t>(630) 574-3000</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120" w:type="dxa"/>
            <w:vAlign w:val="bottom"/>
            <w:gridSpan w:val="3"/>
          </w:tcPr>
          <w:p>
            <w:pPr>
              <w:jc w:val="center"/>
              <w:ind w:left="367"/>
              <w:spacing w:after="0"/>
              <w:rPr>
                <w:sz w:val="20"/>
                <w:szCs w:val="20"/>
                <w:color w:val="auto"/>
              </w:rPr>
            </w:pPr>
            <w:r>
              <w:rPr>
                <w:rFonts w:ascii="Arial" w:cs="Arial" w:eastAsia="Arial" w:hAnsi="Arial"/>
                <w:sz w:val="14"/>
                <w:szCs w:val="14"/>
                <w:b w:val="1"/>
                <w:bCs w:val="1"/>
                <w:color w:val="auto"/>
                <w:w w:val="90"/>
              </w:rPr>
              <w:t>(Registrant’s telephone number, including area code)</w:t>
            </w: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120" w:type="dxa"/>
            <w:vAlign w:val="bottom"/>
            <w:gridSpan w:val="3"/>
          </w:tcPr>
          <w:p>
            <w:pPr>
              <w:jc w:val="center"/>
              <w:ind w:left="367"/>
              <w:spacing w:after="0"/>
              <w:rPr>
                <w:sz w:val="20"/>
                <w:szCs w:val="20"/>
                <w:color w:val="auto"/>
              </w:rPr>
            </w:pPr>
            <w:r>
              <w:rPr>
                <w:rFonts w:ascii="Arial" w:cs="Arial" w:eastAsia="Arial" w:hAnsi="Arial"/>
                <w:sz w:val="14"/>
                <w:szCs w:val="14"/>
                <w:b w:val="1"/>
                <w:bCs w:val="1"/>
                <w:color w:val="auto"/>
                <w:w w:val="90"/>
              </w:rPr>
              <w:t>Securities registered pursuant to Section 12(b) of the Act:</w:t>
            </w: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640" w:type="dxa"/>
            <w:vAlign w:val="bottom"/>
          </w:tcPr>
          <w:p>
            <w:pPr>
              <w:spacing w:after="0"/>
              <w:rPr>
                <w:sz w:val="13"/>
                <w:szCs w:val="13"/>
                <w:color w:val="auto"/>
              </w:rPr>
            </w:pPr>
          </w:p>
        </w:tc>
        <w:tc>
          <w:tcPr>
            <w:tcW w:w="4920" w:type="dxa"/>
            <w:vAlign w:val="bottom"/>
            <w:gridSpan w:val="4"/>
          </w:tcPr>
          <w:p>
            <w:pPr>
              <w:jc w:val="center"/>
              <w:ind w:right="4120"/>
              <w:spacing w:after="0" w:line="158" w:lineRule="exact"/>
              <w:rPr>
                <w:sz w:val="20"/>
                <w:szCs w:val="20"/>
                <w:color w:val="auto"/>
              </w:rPr>
            </w:pPr>
            <w:r>
              <w:rPr>
                <w:rFonts w:ascii="Arial" w:cs="Arial" w:eastAsia="Arial" w:hAnsi="Arial"/>
                <w:sz w:val="14"/>
                <w:szCs w:val="14"/>
                <w:b w:val="1"/>
                <w:bCs w:val="1"/>
                <w:color w:val="auto"/>
                <w:w w:val="91"/>
              </w:rPr>
              <w:t>Title of Class</w:t>
            </w:r>
          </w:p>
        </w:tc>
        <w:tc>
          <w:tcPr>
            <w:tcW w:w="2660" w:type="dxa"/>
            <w:vAlign w:val="bottom"/>
            <w:gridSpan w:val="4"/>
          </w:tcPr>
          <w:p>
            <w:pPr>
              <w:jc w:val="center"/>
              <w:ind w:right="20"/>
              <w:spacing w:after="0" w:line="158" w:lineRule="exact"/>
              <w:rPr>
                <w:sz w:val="20"/>
                <w:szCs w:val="20"/>
                <w:color w:val="auto"/>
              </w:rPr>
            </w:pPr>
            <w:r>
              <w:rPr>
                <w:rFonts w:ascii="Arial" w:cs="Arial" w:eastAsia="Arial" w:hAnsi="Arial"/>
                <w:sz w:val="14"/>
                <w:szCs w:val="14"/>
                <w:b w:val="1"/>
                <w:bCs w:val="1"/>
                <w:color w:val="auto"/>
                <w:w w:val="89"/>
              </w:rPr>
              <w:t>Name of each exchange on which registered</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560" w:type="dxa"/>
            <w:vAlign w:val="bottom"/>
            <w:gridSpan w:val="5"/>
          </w:tcPr>
          <w:p>
            <w:pPr>
              <w:jc w:val="center"/>
              <w:ind w:right="1460"/>
              <w:spacing w:after="0"/>
              <w:rPr>
                <w:sz w:val="20"/>
                <w:szCs w:val="20"/>
                <w:color w:val="auto"/>
              </w:rPr>
            </w:pPr>
            <w:r>
              <w:rPr>
                <w:rFonts w:ascii="Arial" w:cs="Arial" w:eastAsia="Arial" w:hAnsi="Arial"/>
                <w:sz w:val="15"/>
                <w:szCs w:val="15"/>
                <w:color w:val="auto"/>
                <w:w w:val="90"/>
              </w:rPr>
              <w:t>Common Stock, (Par Value $0.0001)</w:t>
            </w:r>
          </w:p>
        </w:tc>
        <w:tc>
          <w:tcPr>
            <w:tcW w:w="200" w:type="dxa"/>
            <w:vAlign w:val="bottom"/>
          </w:tcPr>
          <w:p>
            <w:pPr>
              <w:spacing w:after="0"/>
              <w:rPr>
                <w:sz w:val="15"/>
                <w:szCs w:val="15"/>
                <w:color w:val="auto"/>
              </w:rPr>
            </w:pPr>
          </w:p>
        </w:tc>
        <w:tc>
          <w:tcPr>
            <w:tcW w:w="2460" w:type="dxa"/>
            <w:vAlign w:val="bottom"/>
            <w:gridSpan w:val="3"/>
          </w:tcPr>
          <w:p>
            <w:pPr>
              <w:jc w:val="center"/>
              <w:ind w:right="200"/>
              <w:spacing w:after="0"/>
              <w:rPr>
                <w:sz w:val="20"/>
                <w:szCs w:val="20"/>
                <w:color w:val="auto"/>
              </w:rPr>
            </w:pPr>
            <w:r>
              <w:rPr>
                <w:rFonts w:ascii="Arial" w:cs="Arial" w:eastAsia="Arial" w:hAnsi="Arial"/>
                <w:sz w:val="15"/>
                <w:szCs w:val="15"/>
                <w:color w:val="auto"/>
                <w:w w:val="92"/>
              </w:rPr>
              <w:t>Nasdaq Stock Market, LLC</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320" w:type="dxa"/>
            <w:vAlign w:val="bottom"/>
            <w:gridSpan w:val="4"/>
          </w:tcPr>
          <w:p>
            <w:pPr>
              <w:jc w:val="center"/>
              <w:ind w:left="167"/>
              <w:spacing w:after="0"/>
              <w:rPr>
                <w:sz w:val="20"/>
                <w:szCs w:val="20"/>
                <w:color w:val="auto"/>
              </w:rPr>
            </w:pPr>
            <w:r>
              <w:rPr>
                <w:rFonts w:ascii="Arial" w:cs="Arial" w:eastAsia="Arial" w:hAnsi="Arial"/>
                <w:sz w:val="15"/>
                <w:szCs w:val="15"/>
                <w:b w:val="1"/>
                <w:bCs w:val="1"/>
                <w:color w:val="auto"/>
                <w:w w:val="89"/>
              </w:rPr>
              <w:t>Securities registered pursuant to section 12(g) of the Act: None</w:t>
            </w:r>
          </w:p>
        </w:tc>
        <w:tc>
          <w:tcPr>
            <w:tcW w:w="5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2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920" w:type="dxa"/>
            <w:vAlign w:val="bottom"/>
            <w:gridSpan w:val="2"/>
          </w:tcPr>
          <w:p>
            <w:pPr>
              <w:spacing w:after="0"/>
              <w:rPr>
                <w:sz w:val="3"/>
                <w:szCs w:val="3"/>
                <w:color w:val="auto"/>
              </w:rPr>
            </w:pPr>
          </w:p>
        </w:tc>
        <w:tc>
          <w:tcPr>
            <w:tcW w:w="560" w:type="dxa"/>
            <w:vAlign w:val="bottom"/>
            <w:vMerge w:val="restart"/>
          </w:tcPr>
          <w:p>
            <w:pPr>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4"/>
                <w:szCs w:val="14"/>
                <w:color w:val="auto"/>
              </w:rPr>
              <w:t>☐</w:t>
            </w:r>
          </w:p>
        </w:tc>
        <w:tc>
          <w:tcPr>
            <w:tcW w:w="1900" w:type="dxa"/>
            <w:vAlign w:val="bottom"/>
            <w:gridSpan w:val="2"/>
            <w:vMerge w:val="restart"/>
          </w:tcPr>
          <w:p>
            <w:pPr>
              <w:ind w:left="20"/>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4"/>
                <w:szCs w:val="14"/>
                <w:color w:val="auto"/>
              </w:rPr>
              <w:t>☒</w:t>
            </w: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760" w:type="dxa"/>
            <w:vAlign w:val="bottom"/>
            <w:gridSpan w:val="6"/>
          </w:tcPr>
          <w:p>
            <w:pPr>
              <w:ind w:left="520"/>
              <w:spacing w:after="0"/>
              <w:rPr>
                <w:sz w:val="20"/>
                <w:szCs w:val="20"/>
                <w:color w:val="auto"/>
              </w:rPr>
            </w:pPr>
            <w:r>
              <w:rPr>
                <w:rFonts w:ascii="Arial" w:cs="Arial" w:eastAsia="Arial" w:hAnsi="Arial"/>
                <w:sz w:val="15"/>
                <w:szCs w:val="15"/>
                <w:color w:val="auto"/>
                <w:w w:val="93"/>
              </w:rPr>
              <w:t>Indicate by check mark if the registrant is a well-known seasoned issuer, as defined in Rule 405 of the Securities Act.</w:t>
            </w:r>
          </w:p>
        </w:tc>
        <w:tc>
          <w:tcPr>
            <w:tcW w:w="560" w:type="dxa"/>
            <w:vAlign w:val="bottom"/>
            <w:vMerge w:val="continue"/>
          </w:tcPr>
          <w:p>
            <w:pPr>
              <w:spacing w:after="0"/>
              <w:rPr>
                <w:sz w:val="17"/>
                <w:szCs w:val="17"/>
                <w:color w:val="auto"/>
              </w:rPr>
            </w:pPr>
          </w:p>
        </w:tc>
        <w:tc>
          <w:tcPr>
            <w:tcW w:w="190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760" w:type="dxa"/>
            <w:vAlign w:val="bottom"/>
            <w:gridSpan w:val="6"/>
          </w:tcPr>
          <w:p>
            <w:pPr>
              <w:ind w:left="520"/>
              <w:spacing w:after="0"/>
              <w:rPr>
                <w:sz w:val="20"/>
                <w:szCs w:val="20"/>
                <w:color w:val="auto"/>
              </w:rPr>
            </w:pPr>
            <w:r>
              <w:rPr>
                <w:rFonts w:ascii="Arial" w:cs="Arial" w:eastAsia="Arial" w:hAnsi="Arial"/>
                <w:sz w:val="15"/>
                <w:szCs w:val="15"/>
                <w:color w:val="auto"/>
                <w:w w:val="92"/>
              </w:rPr>
              <w:t>Indicate by check mark if the registrant is not required to file reports pursuant to Section 13 or Section 15(d) of the Act.</w:t>
            </w:r>
          </w:p>
        </w:tc>
        <w:tc>
          <w:tcPr>
            <w:tcW w:w="560" w:type="dxa"/>
            <w:vAlign w:val="bottom"/>
          </w:tcPr>
          <w:p>
            <w:pPr>
              <w:ind w:left="140"/>
              <w:spacing w:after="0" w:line="173" w:lineRule="exact"/>
              <w:rPr>
                <w:sz w:val="20"/>
                <w:szCs w:val="20"/>
                <w:color w:val="auto"/>
              </w:rPr>
            </w:pPr>
            <w:r>
              <w:rPr>
                <w:rFonts w:ascii="Arial" w:cs="Arial" w:eastAsia="Arial" w:hAnsi="Arial"/>
                <w:sz w:val="15"/>
                <w:szCs w:val="15"/>
                <w:color w:val="auto"/>
                <w:w w:val="90"/>
              </w:rPr>
              <w:t xml:space="preserve">Yes </w:t>
            </w:r>
            <w:r>
              <w:rPr>
                <w:rFonts w:ascii="MS PGothic" w:cs="MS PGothic" w:eastAsia="MS PGothic" w:hAnsi="MS PGothic"/>
                <w:sz w:val="14"/>
                <w:szCs w:val="14"/>
                <w:color w:val="auto"/>
                <w:w w:val="90"/>
              </w:rPr>
              <w:t>☐</w:t>
            </w:r>
          </w:p>
        </w:tc>
        <w:tc>
          <w:tcPr>
            <w:tcW w:w="1900" w:type="dxa"/>
            <w:vAlign w:val="bottom"/>
            <w:gridSpan w:val="2"/>
          </w:tcPr>
          <w:p>
            <w:pPr>
              <w:ind w:left="160"/>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4"/>
                <w:szCs w:val="14"/>
                <w:color w:val="auto"/>
              </w:rPr>
              <w:t>☒</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1280" w:type="dxa"/>
            <w:vAlign w:val="bottom"/>
            <w:gridSpan w:val="12"/>
          </w:tcPr>
          <w:p>
            <w:pPr>
              <w:ind w:left="520"/>
              <w:spacing w:after="0" w:line="156" w:lineRule="exact"/>
              <w:rPr>
                <w:sz w:val="20"/>
                <w:szCs w:val="20"/>
                <w:color w:val="auto"/>
              </w:rPr>
            </w:pPr>
            <w:r>
              <w:rPr>
                <w:rFonts w:ascii="Arial" w:cs="Arial" w:eastAsia="Arial" w:hAnsi="Arial"/>
                <w:sz w:val="15"/>
                <w:szCs w:val="15"/>
                <w:color w:val="auto"/>
                <w:w w:val="93"/>
              </w:rPr>
              <w:t>Indicate by check mark whether the registrant: (1) has filed all reports required to be filed by Section 13 or 15(d) of the Securities Exchange Act of 1934 during the preceding</w:t>
            </w:r>
          </w:p>
        </w:tc>
        <w:tc>
          <w:tcPr>
            <w:tcW w:w="0" w:type="dxa"/>
            <w:vAlign w:val="bottom"/>
          </w:tcPr>
          <w:p>
            <w:pPr>
              <w:spacing w:after="0"/>
              <w:rPr>
                <w:sz w:val="1"/>
                <w:szCs w:val="1"/>
                <w:color w:val="auto"/>
              </w:rPr>
            </w:pPr>
          </w:p>
        </w:tc>
      </w:tr>
      <w:tr>
        <w:trPr>
          <w:trHeight w:val="222"/>
        </w:trPr>
        <w:tc>
          <w:tcPr>
            <w:tcW w:w="10220" w:type="dxa"/>
            <w:vAlign w:val="bottom"/>
            <w:gridSpan w:val="9"/>
          </w:tcPr>
          <w:p>
            <w:pPr>
              <w:spacing w:after="0"/>
              <w:rPr>
                <w:sz w:val="20"/>
                <w:szCs w:val="20"/>
                <w:color w:val="auto"/>
              </w:rPr>
            </w:pPr>
            <w:r>
              <w:rPr>
                <w:rFonts w:ascii="Arial" w:cs="Arial" w:eastAsia="Arial" w:hAnsi="Arial"/>
                <w:sz w:val="15"/>
                <w:szCs w:val="15"/>
                <w:color w:val="auto"/>
                <w:w w:val="91"/>
              </w:rPr>
              <w:t>12 months (or for such shorter period that the registrant was required to file such reports) and (2) has been subject to such filing requirements for the past 90 days.  Yes</w:t>
            </w:r>
          </w:p>
        </w:tc>
        <w:tc>
          <w:tcPr>
            <w:tcW w:w="34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240" w:type="dxa"/>
            <w:vAlign w:val="bottom"/>
          </w:tcPr>
          <w:p>
            <w:pPr>
              <w:jc w:val="center"/>
              <w:spacing w:after="0"/>
              <w:rPr>
                <w:sz w:val="20"/>
                <w:szCs w:val="20"/>
                <w:color w:val="auto"/>
              </w:rPr>
            </w:pPr>
            <w:r>
              <w:rPr>
                <w:rFonts w:ascii="Arial" w:cs="Arial" w:eastAsia="Arial" w:hAnsi="Arial"/>
                <w:sz w:val="15"/>
                <w:szCs w:val="15"/>
                <w:color w:val="auto"/>
              </w:rPr>
              <w:t>No</w:t>
            </w:r>
          </w:p>
        </w:tc>
        <w:tc>
          <w:tcPr>
            <w:tcW w:w="48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51"/>
        </w:trPr>
        <w:tc>
          <w:tcPr>
            <w:tcW w:w="11280" w:type="dxa"/>
            <w:vAlign w:val="bottom"/>
            <w:gridSpan w:val="12"/>
          </w:tcPr>
          <w:p>
            <w:pPr>
              <w:ind w:left="520"/>
              <w:spacing w:after="0" w:line="151" w:lineRule="exact"/>
              <w:rPr>
                <w:sz w:val="20"/>
                <w:szCs w:val="20"/>
                <w:color w:val="auto"/>
              </w:rPr>
            </w:pPr>
            <w:r>
              <w:rPr>
                <w:rFonts w:ascii="Arial" w:cs="Arial" w:eastAsia="Arial" w:hAnsi="Arial"/>
                <w:sz w:val="15"/>
                <w:szCs w:val="15"/>
                <w:color w:val="auto"/>
                <w:w w:val="92"/>
              </w:rPr>
              <w:t>Indicate by check mark whether the registrant has submitted electronically and posted on its corporate Web site, if any, every Interactive Data File required to be submitted and</w:t>
            </w:r>
          </w:p>
        </w:tc>
        <w:tc>
          <w:tcPr>
            <w:tcW w:w="0" w:type="dxa"/>
            <w:vAlign w:val="bottom"/>
          </w:tcPr>
          <w:p>
            <w:pPr>
              <w:spacing w:after="0"/>
              <w:rPr>
                <w:sz w:val="1"/>
                <w:szCs w:val="1"/>
                <w:color w:val="auto"/>
              </w:rPr>
            </w:pPr>
          </w:p>
        </w:tc>
      </w:tr>
      <w:tr>
        <w:trPr>
          <w:trHeight w:val="222"/>
        </w:trPr>
        <w:tc>
          <w:tcPr>
            <w:tcW w:w="10220" w:type="dxa"/>
            <w:vAlign w:val="bottom"/>
            <w:gridSpan w:val="9"/>
          </w:tcPr>
          <w:p>
            <w:pPr>
              <w:spacing w:after="0"/>
              <w:rPr>
                <w:sz w:val="20"/>
                <w:szCs w:val="20"/>
                <w:color w:val="auto"/>
              </w:rPr>
            </w:pPr>
            <w:r>
              <w:rPr>
                <w:rFonts w:ascii="Arial" w:cs="Arial" w:eastAsia="Arial" w:hAnsi="Arial"/>
                <w:sz w:val="15"/>
                <w:szCs w:val="15"/>
                <w:color w:val="auto"/>
                <w:w w:val="91"/>
              </w:rPr>
              <w:t>posted pursuant to Rule 405 of Regulation S-T during the preceding 12 months (or for such shorter period that the registrant was required to submit and post such files).</w:t>
            </w:r>
          </w:p>
        </w:tc>
        <w:tc>
          <w:tcPr>
            <w:tcW w:w="340" w:type="dxa"/>
            <w:vAlign w:val="bottom"/>
          </w:tcPr>
          <w:p>
            <w:pPr>
              <w:ind w:left="100"/>
              <w:spacing w:after="0"/>
              <w:rPr>
                <w:sz w:val="20"/>
                <w:szCs w:val="20"/>
                <w:color w:val="auto"/>
              </w:rPr>
            </w:pPr>
            <w:r>
              <w:rPr>
                <w:rFonts w:ascii="Arial" w:cs="Arial" w:eastAsia="Arial" w:hAnsi="Arial"/>
                <w:sz w:val="15"/>
                <w:szCs w:val="15"/>
                <w:color w:val="auto"/>
                <w:w w:val="84"/>
              </w:rPr>
              <w:t>Yes</w:t>
            </w:r>
          </w:p>
        </w:tc>
        <w:tc>
          <w:tcPr>
            <w:tcW w:w="2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480" w:type="dxa"/>
            <w:vAlign w:val="bottom"/>
          </w:tcPr>
          <w:p>
            <w:pPr>
              <w:ind w:left="100"/>
              <w:spacing w:after="0" w:line="173" w:lineRule="exact"/>
              <w:rPr>
                <w:sz w:val="20"/>
                <w:szCs w:val="20"/>
                <w:color w:val="auto"/>
              </w:rPr>
            </w:pPr>
            <w:r>
              <w:rPr>
                <w:rFonts w:ascii="Arial" w:cs="Arial" w:eastAsia="Arial" w:hAnsi="Arial"/>
                <w:sz w:val="15"/>
                <w:szCs w:val="15"/>
                <w:color w:val="auto"/>
                <w:w w:val="96"/>
              </w:rPr>
              <w:t xml:space="preserve">No </w:t>
            </w:r>
            <w:r>
              <w:rPr>
                <w:rFonts w:ascii="MS PGothic" w:cs="MS PGothic" w:eastAsia="MS PGothic" w:hAnsi="MS PGothic"/>
                <w:sz w:val="14"/>
                <w:szCs w:val="14"/>
                <w:color w:val="auto"/>
                <w:w w:val="96"/>
              </w:rPr>
              <w:t>☐</w:t>
            </w:r>
          </w:p>
        </w:tc>
        <w:tc>
          <w:tcPr>
            <w:tcW w:w="0" w:type="dxa"/>
            <w:vAlign w:val="bottom"/>
          </w:tcPr>
          <w:p>
            <w:pPr>
              <w:spacing w:after="0"/>
              <w:rPr>
                <w:sz w:val="1"/>
                <w:szCs w:val="1"/>
                <w:color w:val="auto"/>
              </w:rPr>
            </w:pPr>
          </w:p>
        </w:tc>
      </w:tr>
    </w:tbl>
    <w:p>
      <w:pPr>
        <w:ind w:right="20" w:firstLine="518"/>
        <w:spacing w:after="0" w:line="178"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9" w:lineRule="exact"/>
        <w:rPr>
          <w:sz w:val="24"/>
          <w:szCs w:val="24"/>
          <w:color w:val="auto"/>
        </w:rPr>
      </w:pPr>
    </w:p>
    <w:p>
      <w:pPr>
        <w:ind w:left="52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w:t>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 (Check one):</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19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53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3760" w:type="dxa"/>
            <w:vAlign w:val="bottom"/>
          </w:tcPr>
          <w:p>
            <w:pPr>
              <w:ind w:left="1920"/>
              <w:spacing w:after="0"/>
              <w:rPr>
                <w:sz w:val="20"/>
                <w:szCs w:val="20"/>
                <w:color w:val="auto"/>
              </w:rPr>
            </w:pPr>
            <w:r>
              <w:rPr>
                <w:rFonts w:ascii="Arial" w:cs="Arial" w:eastAsia="Arial" w:hAnsi="Arial"/>
                <w:sz w:val="15"/>
                <w:szCs w:val="15"/>
                <w:color w:val="auto"/>
              </w:rPr>
              <w:t>Accelerated filer</w:t>
            </w:r>
          </w:p>
        </w:tc>
        <w:tc>
          <w:tcPr>
            <w:tcW w:w="3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7"/>
        </w:trPr>
        <w:tc>
          <w:tcPr>
            <w:tcW w:w="1980" w:type="dxa"/>
            <w:vAlign w:val="bottom"/>
          </w:tcPr>
          <w:p>
            <w:pPr>
              <w:spacing w:after="0"/>
              <w:rPr>
                <w:sz w:val="20"/>
                <w:szCs w:val="20"/>
                <w:color w:val="auto"/>
              </w:rPr>
            </w:pPr>
            <w:r>
              <w:rPr>
                <w:rFonts w:ascii="Arial" w:cs="Arial" w:eastAsia="Arial" w:hAnsi="Arial"/>
                <w:sz w:val="15"/>
                <w:szCs w:val="15"/>
                <w:color w:val="auto"/>
              </w:rPr>
              <w:t>Non-accelerated filer</w:t>
            </w:r>
          </w:p>
        </w:tc>
        <w:tc>
          <w:tcPr>
            <w:tcW w:w="5300" w:type="dxa"/>
            <w:vAlign w:val="bottom"/>
          </w:tcPr>
          <w:p>
            <w:pPr>
              <w:ind w:left="340"/>
              <w:spacing w:after="0" w:line="173"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5"/>
                <w:szCs w:val="15"/>
                <w:color w:val="auto"/>
              </w:rPr>
              <w:t xml:space="preserve"> (Do not check if a smaller reporting company)</w:t>
            </w:r>
          </w:p>
        </w:tc>
        <w:tc>
          <w:tcPr>
            <w:tcW w:w="3760" w:type="dxa"/>
            <w:vAlign w:val="bottom"/>
          </w:tcPr>
          <w:p>
            <w:pPr>
              <w:ind w:left="1920"/>
              <w:spacing w:after="0"/>
              <w:rPr>
                <w:sz w:val="20"/>
                <w:szCs w:val="20"/>
                <w:color w:val="auto"/>
              </w:rPr>
            </w:pPr>
            <w:r>
              <w:rPr>
                <w:rFonts w:ascii="Arial" w:cs="Arial" w:eastAsia="Arial" w:hAnsi="Arial"/>
                <w:sz w:val="15"/>
                <w:szCs w:val="15"/>
                <w:color w:val="auto"/>
              </w:rPr>
              <w:t>Smaller reporting company</w:t>
            </w:r>
          </w:p>
        </w:tc>
        <w:tc>
          <w:tcPr>
            <w:tcW w:w="3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99"/>
        </w:trPr>
        <w:tc>
          <w:tcPr>
            <w:tcW w:w="198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53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3760" w:type="dxa"/>
            <w:vAlign w:val="bottom"/>
          </w:tcPr>
          <w:p>
            <w:pPr>
              <w:spacing w:after="0"/>
              <w:rPr>
                <w:sz w:val="17"/>
                <w:szCs w:val="17"/>
                <w:color w:val="auto"/>
              </w:rPr>
            </w:pPr>
          </w:p>
        </w:tc>
        <w:tc>
          <w:tcPr>
            <w:tcW w:w="300" w:type="dxa"/>
            <w:vAlign w:val="bottom"/>
          </w:tcPr>
          <w:p>
            <w:pPr>
              <w:spacing w:after="0"/>
              <w:rPr>
                <w:sz w:val="17"/>
                <w:szCs w:val="17"/>
                <w:color w:val="auto"/>
              </w:rPr>
            </w:pPr>
          </w:p>
        </w:tc>
      </w:tr>
    </w:tbl>
    <w:p>
      <w:pPr>
        <w:ind w:right="420" w:firstLine="518"/>
        <w:spacing w:after="0" w:line="185"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 w:lineRule="exact"/>
        <w:rPr>
          <w:sz w:val="24"/>
          <w:szCs w:val="24"/>
          <w:color w:val="auto"/>
        </w:rPr>
      </w:pPr>
    </w:p>
    <w:p>
      <w:pPr>
        <w:ind w:left="520"/>
        <w:spacing w:after="0" w:line="173" w:lineRule="exact"/>
        <w:tabs>
          <w:tab w:leader="none" w:pos="7520" w:val="left"/>
          <w:tab w:leader="none" w:pos="810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4"/>
          <w:szCs w:val="14"/>
          <w:color w:val="auto"/>
        </w:rPr>
        <w:t>☐</w:t>
      </w:r>
      <w:r>
        <w:rPr>
          <w:rFonts w:ascii="Arial" w:cs="Arial" w:eastAsia="Arial" w:hAnsi="Arial"/>
          <w:sz w:val="15"/>
          <w:szCs w:val="15"/>
          <w:color w:val="auto"/>
        </w:rPr>
        <w:tab/>
        <w:t xml:space="preserve">No </w:t>
      </w:r>
      <w:r>
        <w:rPr>
          <w:rFonts w:ascii="MS PGothic" w:cs="MS PGothic" w:eastAsia="MS PGothic" w:hAnsi="MS PGothic"/>
          <w:sz w:val="14"/>
          <w:szCs w:val="14"/>
          <w:color w:val="auto"/>
        </w:rPr>
        <w:t>☒</w:t>
      </w:r>
    </w:p>
    <w:p>
      <w:pPr>
        <w:spacing w:after="0" w:line="32" w:lineRule="exact"/>
        <w:rPr>
          <w:sz w:val="24"/>
          <w:szCs w:val="24"/>
          <w:color w:val="auto"/>
        </w:rPr>
      </w:pPr>
    </w:p>
    <w:p>
      <w:pPr>
        <w:ind w:right="20" w:firstLine="518"/>
        <w:spacing w:after="0" w:line="236" w:lineRule="auto"/>
        <w:rPr>
          <w:sz w:val="20"/>
          <w:szCs w:val="20"/>
          <w:color w:val="auto"/>
        </w:rPr>
      </w:pPr>
      <w:r>
        <w:rPr>
          <w:rFonts w:ascii="Arial" w:cs="Arial" w:eastAsia="Arial" w:hAnsi="Arial"/>
          <w:sz w:val="15"/>
          <w:szCs w:val="15"/>
          <w:color w:val="auto"/>
        </w:rPr>
        <w:t>The aggregate market value of voting stock held by non-affiliates of the Registrant was $257,204,723 at June 30, 2017. The aggregate market value was computed using the closing price of the common stock as of that date on the Nasdaq Stock Market. (For purposes of a calculating this amount only, all directors and executive officers of the registrant have been treated as affiliates.)</w:t>
      </w:r>
    </w:p>
    <w:p>
      <w:pPr>
        <w:spacing w:after="0" w:line="11" w:lineRule="exact"/>
        <w:rPr>
          <w:sz w:val="24"/>
          <w:szCs w:val="24"/>
          <w:color w:val="auto"/>
        </w:rPr>
      </w:pPr>
    </w:p>
    <w:p>
      <w:pPr>
        <w:ind w:left="520"/>
        <w:spacing w:after="0"/>
        <w:rPr>
          <w:sz w:val="20"/>
          <w:szCs w:val="20"/>
          <w:color w:val="auto"/>
        </w:rPr>
      </w:pPr>
      <w:r>
        <w:rPr>
          <w:rFonts w:ascii="Arial" w:cs="Arial" w:eastAsia="Arial" w:hAnsi="Arial"/>
          <w:sz w:val="15"/>
          <w:szCs w:val="15"/>
          <w:color w:val="auto"/>
        </w:rPr>
        <w:t>As of February 23, 2018, 61,619,680 shares of Registrant’s Common Stock, par value $.0001 per share, were outstanding.</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3700" w:type="dxa"/>
            <w:vAlign w:val="bottom"/>
          </w:tcPr>
          <w:p>
            <w:pPr>
              <w:spacing w:after="0"/>
              <w:rPr>
                <w:sz w:val="16"/>
                <w:szCs w:val="16"/>
                <w:color w:val="auto"/>
              </w:rPr>
            </w:pPr>
          </w:p>
        </w:tc>
        <w:tc>
          <w:tcPr>
            <w:tcW w:w="7720" w:type="dxa"/>
            <w:vAlign w:val="bottom"/>
            <w:gridSpan w:val="3"/>
          </w:tcPr>
          <w:p>
            <w:pPr>
              <w:ind w:left="280"/>
              <w:spacing w:after="0"/>
              <w:rPr>
                <w:sz w:val="20"/>
                <w:szCs w:val="20"/>
                <w:color w:val="auto"/>
              </w:rPr>
            </w:pPr>
            <w:r>
              <w:rPr>
                <w:rFonts w:ascii="Arial" w:cs="Arial" w:eastAsia="Arial" w:hAnsi="Arial"/>
                <w:sz w:val="15"/>
                <w:szCs w:val="15"/>
                <w:b w:val="1"/>
                <w:bCs w:val="1"/>
                <w:color w:val="auto"/>
              </w:rPr>
              <w:t>DOCUMENTS INCORPORATED BY REFERENCE</w:t>
            </w:r>
          </w:p>
        </w:tc>
        <w:tc>
          <w:tcPr>
            <w:tcW w:w="20" w:type="dxa"/>
            <w:vAlign w:val="bottom"/>
          </w:tcPr>
          <w:p>
            <w:pPr>
              <w:spacing w:after="0"/>
              <w:rPr>
                <w:sz w:val="16"/>
                <w:szCs w:val="16"/>
                <w:color w:val="auto"/>
              </w:rPr>
            </w:pPr>
          </w:p>
        </w:tc>
      </w:tr>
      <w:tr>
        <w:trPr>
          <w:trHeight w:val="175"/>
        </w:trPr>
        <w:tc>
          <w:tcPr>
            <w:tcW w:w="3700" w:type="dxa"/>
            <w:vAlign w:val="bottom"/>
            <w:tcBorders>
              <w:bottom w:val="single" w:sz="8" w:color="auto"/>
            </w:tcBorders>
          </w:tcPr>
          <w:p>
            <w:pPr>
              <w:jc w:val="center"/>
              <w:ind w:left="2307"/>
              <w:spacing w:after="0"/>
              <w:rPr>
                <w:sz w:val="20"/>
                <w:szCs w:val="20"/>
                <w:color w:val="auto"/>
              </w:rPr>
            </w:pPr>
            <w:r>
              <w:rPr>
                <w:rFonts w:ascii="Arial" w:cs="Arial" w:eastAsia="Arial" w:hAnsi="Arial"/>
                <w:sz w:val="14"/>
                <w:szCs w:val="14"/>
                <w:b w:val="1"/>
                <w:bCs w:val="1"/>
                <w:color w:val="auto"/>
                <w:w w:val="96"/>
              </w:rPr>
              <w:t>Part of 10-K</w:t>
            </w:r>
          </w:p>
        </w:tc>
        <w:tc>
          <w:tcPr>
            <w:tcW w:w="23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Documents Incorporated by Reference</w:t>
            </w:r>
          </w:p>
        </w:tc>
        <w:tc>
          <w:tcPr>
            <w:tcW w:w="20" w:type="dxa"/>
            <w:vAlign w:val="bottom"/>
          </w:tcPr>
          <w:p>
            <w:pPr>
              <w:spacing w:after="0"/>
              <w:rPr>
                <w:sz w:val="15"/>
                <w:szCs w:val="15"/>
                <w:color w:val="auto"/>
              </w:rPr>
            </w:pPr>
          </w:p>
        </w:tc>
      </w:tr>
      <w:tr>
        <w:trPr>
          <w:trHeight w:val="140"/>
        </w:trPr>
        <w:tc>
          <w:tcPr>
            <w:tcW w:w="3700" w:type="dxa"/>
            <w:vAlign w:val="bottom"/>
          </w:tcPr>
          <w:p>
            <w:pPr>
              <w:jc w:val="center"/>
              <w:ind w:left="2327"/>
              <w:spacing w:after="0" w:line="140" w:lineRule="exact"/>
              <w:rPr>
                <w:sz w:val="20"/>
                <w:szCs w:val="20"/>
                <w:color w:val="auto"/>
              </w:rPr>
            </w:pPr>
            <w:r>
              <w:rPr>
                <w:rFonts w:ascii="Arial" w:cs="Arial" w:eastAsia="Arial" w:hAnsi="Arial"/>
                <w:sz w:val="15"/>
                <w:szCs w:val="15"/>
                <w:color w:val="auto"/>
                <w:w w:val="94"/>
              </w:rPr>
              <w:t>Part III</w:t>
            </w:r>
          </w:p>
        </w:tc>
        <w:tc>
          <w:tcPr>
            <w:tcW w:w="2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60" w:type="dxa"/>
            <w:vAlign w:val="bottom"/>
          </w:tcPr>
          <w:p>
            <w:pPr>
              <w:jc w:val="center"/>
              <w:spacing w:after="0" w:line="140" w:lineRule="exact"/>
              <w:rPr>
                <w:sz w:val="20"/>
                <w:szCs w:val="20"/>
                <w:color w:val="auto"/>
              </w:rPr>
            </w:pPr>
            <w:r>
              <w:rPr>
                <w:rFonts w:ascii="Arial" w:cs="Arial" w:eastAsia="Arial" w:hAnsi="Arial"/>
                <w:sz w:val="15"/>
                <w:szCs w:val="15"/>
                <w:color w:val="auto"/>
                <w:w w:val="91"/>
              </w:rPr>
              <w:t>Portions of the Proxy Statement to be filed with the Securities and Exchange</w:t>
            </w:r>
          </w:p>
        </w:tc>
        <w:tc>
          <w:tcPr>
            <w:tcW w:w="20" w:type="dxa"/>
            <w:vAlign w:val="bottom"/>
          </w:tcPr>
          <w:p>
            <w:pPr>
              <w:spacing w:after="0"/>
              <w:rPr>
                <w:sz w:val="12"/>
                <w:szCs w:val="12"/>
                <w:color w:val="auto"/>
              </w:rPr>
            </w:pPr>
          </w:p>
        </w:tc>
      </w:tr>
      <w:tr>
        <w:trPr>
          <w:trHeight w:val="191"/>
        </w:trPr>
        <w:tc>
          <w:tcPr>
            <w:tcW w:w="37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60" w:type="dxa"/>
            <w:vAlign w:val="bottom"/>
          </w:tcPr>
          <w:p>
            <w:pPr>
              <w:jc w:val="center"/>
              <w:spacing w:after="0"/>
              <w:rPr>
                <w:sz w:val="20"/>
                <w:szCs w:val="20"/>
                <w:color w:val="auto"/>
              </w:rPr>
            </w:pPr>
            <w:r>
              <w:rPr>
                <w:rFonts w:ascii="Arial" w:cs="Arial" w:eastAsia="Arial" w:hAnsi="Arial"/>
                <w:sz w:val="15"/>
                <w:szCs w:val="15"/>
                <w:color w:val="auto"/>
                <w:w w:val="92"/>
              </w:rPr>
              <w:t>Commission in connection with the 2018 Annual Meeting of Stockholders.</w:t>
            </w:r>
          </w:p>
        </w:tc>
        <w:tc>
          <w:tcPr>
            <w:tcW w:w="20" w:type="dxa"/>
            <w:vAlign w:val="bottom"/>
          </w:tcPr>
          <w:p>
            <w:pPr>
              <w:spacing w:after="0"/>
              <w:rPr>
                <w:sz w:val="16"/>
                <w:szCs w:val="16"/>
                <w:color w:val="auto"/>
              </w:rPr>
            </w:pPr>
          </w:p>
        </w:tc>
      </w:tr>
      <w:tr>
        <w:trPr>
          <w:trHeight w:val="776"/>
        </w:trPr>
        <w:tc>
          <w:tcPr>
            <w:tcW w:w="370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214" w:right="2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980" w:type="dxa"/>
            <w:vAlign w:val="bottom"/>
            <w:gridSpan w:val="15"/>
          </w:tcPr>
          <w:p>
            <w:pPr>
              <w:ind w:left="540"/>
              <w:spacing w:after="0"/>
              <w:rPr>
                <w:sz w:val="20"/>
                <w:szCs w:val="20"/>
                <w:color w:val="auto"/>
              </w:rPr>
            </w:pPr>
            <w:r>
              <w:rPr>
                <w:rFonts w:ascii="Arial" w:cs="Arial" w:eastAsia="Arial" w:hAnsi="Arial"/>
                <w:sz w:val="18"/>
                <w:szCs w:val="18"/>
                <w:b w:val="1"/>
                <w:bCs w:val="1"/>
                <w:color w:val="auto"/>
              </w:rPr>
              <w:t>TABLE OF CONTENTS</w:t>
            </w:r>
          </w:p>
        </w:tc>
        <w:tc>
          <w:tcPr>
            <w:tcW w:w="1320" w:type="dxa"/>
            <w:vAlign w:val="bottom"/>
          </w:tcPr>
          <w:p>
            <w:pPr>
              <w:spacing w:after="0"/>
              <w:rPr>
                <w:sz w:val="20"/>
                <w:szCs w:val="20"/>
                <w:color w:val="auto"/>
              </w:rPr>
            </w:pPr>
          </w:p>
        </w:tc>
      </w:tr>
      <w:tr>
        <w:trPr>
          <w:trHeight w:val="388"/>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Borders>
              <w:bottom w:val="single" w:sz="8" w:color="0000EE"/>
            </w:tcBorders>
            <w:gridSpan w:val="2"/>
          </w:tcPr>
          <w:p>
            <w:pPr>
              <w:jc w:val="cente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4520" w:type="dxa"/>
            <w:vAlign w:val="bottom"/>
            <w:gridSpan w:val="9"/>
          </w:tcPr>
          <w:p>
            <w:pPr>
              <w:spacing w:after="0"/>
              <w:rPr>
                <w:sz w:val="24"/>
                <w:szCs w:val="24"/>
                <w:color w:val="auto"/>
              </w:rPr>
            </w:pPr>
          </w:p>
        </w:tc>
        <w:tc>
          <w:tcPr>
            <w:tcW w:w="1320" w:type="dxa"/>
            <w:vAlign w:val="bottom"/>
          </w:tcPr>
          <w:p>
            <w:pPr>
              <w:spacing w:after="0"/>
              <w:rPr>
                <w:sz w:val="24"/>
                <w:szCs w:val="24"/>
                <w:color w:val="auto"/>
              </w:rPr>
            </w:pPr>
          </w:p>
        </w:tc>
      </w:tr>
      <w:tr>
        <w:trPr>
          <w:trHeight w:val="300"/>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640" w:type="dxa"/>
            <w:vAlign w:val="bottom"/>
            <w:gridSpan w:val="26"/>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0"/>
        </w:trPr>
        <w:tc>
          <w:tcPr>
            <w:tcW w:w="9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80" w:type="dxa"/>
            <w:vAlign w:val="bottom"/>
            <w:gridSpan w:val="28"/>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00"/>
        </w:trPr>
        <w:tc>
          <w:tcPr>
            <w:tcW w:w="92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9280" w:type="dxa"/>
            <w:vAlign w:val="bottom"/>
            <w:gridSpan w:val="2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Unresolved Staff Comments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0"/>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2020" w:type="dxa"/>
            <w:vAlign w:val="bottom"/>
            <w:tcBorders>
              <w:top w:val="single" w:sz="8" w:color="0000EE"/>
            </w:tcBorders>
            <w:gridSpan w:val="1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Properties</w:t>
              </w:r>
            </w:hyperlink>
          </w:p>
        </w:tc>
        <w:tc>
          <w:tcPr>
            <w:tcW w:w="7260" w:type="dxa"/>
            <w:vAlign w:val="bottom"/>
            <w:gridSpan w:val="18"/>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00"/>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280" w:type="dxa"/>
            <w:vAlign w:val="bottom"/>
            <w:gridSpan w:val="2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00"/>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280" w:type="dxa"/>
            <w:vAlign w:val="bottom"/>
            <w:gridSpan w:val="2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Mine Safety Disclosures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3"/>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w:t>
              </w:r>
            </w:hyperlink>
          </w:p>
        </w:tc>
        <w:tc>
          <w:tcPr>
            <w:tcW w:w="4480" w:type="dxa"/>
            <w:vAlign w:val="bottom"/>
            <w:gridSpan w:val="8"/>
          </w:tcPr>
          <w:p>
            <w:pPr>
              <w:spacing w:after="0"/>
              <w:rPr>
                <w:sz w:val="24"/>
                <w:szCs w:val="24"/>
                <w:color w:val="auto"/>
              </w:rPr>
            </w:pPr>
          </w:p>
        </w:tc>
        <w:tc>
          <w:tcPr>
            <w:tcW w:w="1320" w:type="dxa"/>
            <w:vAlign w:val="bottom"/>
          </w:tcPr>
          <w:p>
            <w:pPr>
              <w:spacing w:after="0"/>
              <w:rPr>
                <w:sz w:val="24"/>
                <w:szCs w:val="24"/>
                <w:color w:val="auto"/>
              </w:rPr>
            </w:pPr>
          </w:p>
        </w:tc>
      </w:tr>
      <w:tr>
        <w:trPr>
          <w:trHeight w:val="300"/>
        </w:trPr>
        <w:tc>
          <w:tcPr>
            <w:tcW w:w="9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280" w:type="dxa"/>
            <w:vAlign w:val="bottom"/>
            <w:gridSpan w:val="2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Market for the Registrant’s Common Equity, Related Stockholder Matters and Issuer Purchases of Equity Securities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0"/>
        </w:trPr>
        <w:tc>
          <w:tcPr>
            <w:tcW w:w="9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7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Selected Financial Data</w:t>
              </w:r>
            </w:hyperlink>
          </w:p>
        </w:tc>
        <w:tc>
          <w:tcPr>
            <w:tcW w:w="6540" w:type="dxa"/>
            <w:vAlign w:val="bottom"/>
            <w:tcBorders>
              <w:top w:val="single" w:sz="8" w:color="0000EE"/>
            </w:tcBorders>
            <w:gridSpan w:val="20"/>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0"/>
        </w:trPr>
        <w:tc>
          <w:tcPr>
            <w:tcW w:w="920" w:type="dxa"/>
            <w:vAlign w:val="bottom"/>
            <w:gridSpan w:val="2"/>
          </w:tcPr>
          <w:p>
            <w:pPr>
              <w:spacing w:after="0"/>
              <w:rPr>
                <w:sz w:val="20"/>
                <w:szCs w:val="20"/>
                <w:color w:val="auto"/>
              </w:rPr>
            </w:pPr>
            <w:r>
              <w:rPr>
                <w:rFonts w:ascii="Arial" w:cs="Arial" w:eastAsia="Arial" w:hAnsi="Arial"/>
                <w:sz w:val="18"/>
                <w:szCs w:val="18"/>
                <w:color w:val="auto"/>
              </w:rPr>
              <w:t>Item 7.</w:t>
            </w:r>
          </w:p>
        </w:tc>
        <w:tc>
          <w:tcPr>
            <w:tcW w:w="9280" w:type="dxa"/>
            <w:vAlign w:val="bottom"/>
            <w:gridSpan w:val="2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Management’s Discussion and Analysis of Financial Condition and Results of Operations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0"/>
        </w:trPr>
        <w:tc>
          <w:tcPr>
            <w:tcW w:w="92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6380" w:type="dxa"/>
            <w:vAlign w:val="bottom"/>
            <w:tcBorders>
              <w:top w:val="single" w:sz="8" w:color="0000EE"/>
            </w:tcBorders>
            <w:gridSpan w:val="24"/>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Quantitative and Qualitative Disclosures about Market Risk</w:t>
              </w:r>
            </w:hyperlink>
          </w:p>
        </w:tc>
        <w:tc>
          <w:tcPr>
            <w:tcW w:w="2900" w:type="dxa"/>
            <w:vAlign w:val="bottom"/>
            <w:gridSpan w:val="4"/>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00"/>
        </w:trPr>
        <w:tc>
          <w:tcPr>
            <w:tcW w:w="920" w:type="dxa"/>
            <w:vAlign w:val="bottom"/>
            <w:gridSpan w:val="2"/>
          </w:tcPr>
          <w:p>
            <w:pPr>
              <w:spacing w:after="0"/>
              <w:rPr>
                <w:sz w:val="20"/>
                <w:szCs w:val="20"/>
                <w:color w:val="auto"/>
              </w:rPr>
            </w:pPr>
            <w:r>
              <w:rPr>
                <w:rFonts w:ascii="Arial" w:cs="Arial" w:eastAsia="Arial" w:hAnsi="Arial"/>
                <w:sz w:val="18"/>
                <w:szCs w:val="18"/>
                <w:color w:val="auto"/>
              </w:rPr>
              <w:t>Item 8.</w:t>
            </w:r>
          </w:p>
        </w:tc>
        <w:tc>
          <w:tcPr>
            <w:tcW w:w="330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8"/>
              </w:rPr>
            </w:pPr>
            <w:hyperlink w:anchor="page53">
              <w:r>
                <w:rPr>
                  <w:rFonts w:ascii="Arial" w:cs="Arial" w:eastAsia="Arial" w:hAnsi="Arial"/>
                  <w:sz w:val="18"/>
                  <w:szCs w:val="18"/>
                  <w:color w:val="0000EE"/>
                  <w:w w:val="88"/>
                </w:rPr>
                <w:t>Financial Statements and Supplementary Data</w:t>
              </w:r>
            </w:hyperlink>
          </w:p>
        </w:tc>
        <w:tc>
          <w:tcPr>
            <w:tcW w:w="960" w:type="dxa"/>
            <w:vAlign w:val="bottom"/>
            <w:tcBorders>
              <w:top w:val="single" w:sz="8" w:color="0000EE"/>
            </w:tcBorders>
            <w:gridSpan w:val="5"/>
          </w:tcPr>
          <w:p>
            <w:pPr>
              <w:spacing w:after="0"/>
              <w:rPr>
                <w:sz w:val="24"/>
                <w:szCs w:val="24"/>
                <w:color w:val="auto"/>
              </w:rPr>
            </w:pPr>
          </w:p>
        </w:tc>
        <w:tc>
          <w:tcPr>
            <w:tcW w:w="5020" w:type="dxa"/>
            <w:vAlign w:val="bottom"/>
            <w:gridSpan w:val="10"/>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00"/>
        </w:trPr>
        <w:tc>
          <w:tcPr>
            <w:tcW w:w="920" w:type="dxa"/>
            <w:vAlign w:val="bottom"/>
            <w:gridSpan w:val="2"/>
          </w:tcPr>
          <w:p>
            <w:pPr>
              <w:spacing w:after="0"/>
              <w:rPr>
                <w:sz w:val="20"/>
                <w:szCs w:val="20"/>
                <w:color w:val="auto"/>
              </w:rPr>
            </w:pPr>
            <w:r>
              <w:rPr>
                <w:rFonts w:ascii="Arial" w:cs="Arial" w:eastAsia="Arial" w:hAnsi="Arial"/>
                <w:sz w:val="18"/>
                <w:szCs w:val="18"/>
                <w:color w:val="auto"/>
              </w:rPr>
              <w:t>Item 9.</w:t>
            </w:r>
          </w:p>
        </w:tc>
        <w:tc>
          <w:tcPr>
            <w:tcW w:w="9280" w:type="dxa"/>
            <w:vAlign w:val="bottom"/>
            <w:gridSpan w:val="28"/>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Changes in and Disagreements with Accountants on Accounting and Financial Disclosure</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00"/>
        </w:trPr>
        <w:tc>
          <w:tcPr>
            <w:tcW w:w="92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17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7"/>
              </w:rPr>
            </w:pPr>
            <w:hyperlink w:anchor="page55">
              <w:r>
                <w:rPr>
                  <w:rFonts w:ascii="Arial" w:cs="Arial" w:eastAsia="Arial" w:hAnsi="Arial"/>
                  <w:sz w:val="18"/>
                  <w:szCs w:val="18"/>
                  <w:color w:val="0000EE"/>
                  <w:w w:val="87"/>
                </w:rPr>
                <w:t>Controls and Procedures</w:t>
              </w:r>
            </w:hyperlink>
          </w:p>
        </w:tc>
        <w:tc>
          <w:tcPr>
            <w:tcW w:w="4640" w:type="dxa"/>
            <w:vAlign w:val="bottom"/>
            <w:tcBorders>
              <w:top w:val="single" w:sz="8" w:color="0000EE"/>
            </w:tcBorders>
            <w:gridSpan w:val="17"/>
          </w:tcPr>
          <w:p>
            <w:pPr>
              <w:spacing w:after="0"/>
              <w:rPr>
                <w:sz w:val="24"/>
                <w:szCs w:val="24"/>
                <w:color w:val="auto"/>
              </w:rPr>
            </w:pPr>
          </w:p>
        </w:tc>
        <w:tc>
          <w:tcPr>
            <w:tcW w:w="2880" w:type="dxa"/>
            <w:vAlign w:val="bottom"/>
            <w:gridSpan w:val="3"/>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00"/>
        </w:trPr>
        <w:tc>
          <w:tcPr>
            <w:tcW w:w="92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9280" w:type="dxa"/>
            <w:vAlign w:val="bottom"/>
            <w:gridSpan w:val="28"/>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Other Information</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13"/>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40" w:type="dxa"/>
            <w:vAlign w:val="bottom"/>
            <w:gridSpan w:val="14"/>
          </w:tcPr>
          <w:p>
            <w:pPr>
              <w:jc w:val="center"/>
              <w:ind w:right="4380"/>
              <w:spacing w:after="0"/>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PART III</w:t>
              </w:r>
            </w:hyperlink>
          </w:p>
        </w:tc>
        <w:tc>
          <w:tcPr>
            <w:tcW w:w="1320" w:type="dxa"/>
            <w:vAlign w:val="bottom"/>
          </w:tcPr>
          <w:p>
            <w:pPr>
              <w:spacing w:after="0"/>
              <w:rPr>
                <w:sz w:val="24"/>
                <w:szCs w:val="24"/>
                <w:color w:val="auto"/>
              </w:rPr>
            </w:pPr>
          </w:p>
        </w:tc>
      </w:tr>
      <w:tr>
        <w:trPr>
          <w:trHeight w:val="300"/>
        </w:trPr>
        <w:tc>
          <w:tcPr>
            <w:tcW w:w="92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4120" w:type="dxa"/>
            <w:vAlign w:val="bottom"/>
            <w:gridSpan w:val="15"/>
          </w:tcPr>
          <w:p>
            <w:pPr>
              <w:spacing w:after="0"/>
              <w:rPr>
                <w:rFonts w:ascii="Arial" w:cs="Arial" w:eastAsia="Arial" w:hAnsi="Arial"/>
                <w:sz w:val="18"/>
                <w:szCs w:val="18"/>
                <w:color w:val="0000EE"/>
                <w:w w:val="91"/>
              </w:rPr>
            </w:pPr>
            <w:hyperlink w:anchor="page58">
              <w:r>
                <w:rPr>
                  <w:rFonts w:ascii="Arial" w:cs="Arial" w:eastAsia="Arial" w:hAnsi="Arial"/>
                  <w:sz w:val="18"/>
                  <w:szCs w:val="18"/>
                  <w:color w:val="0000EE"/>
                  <w:w w:val="91"/>
                </w:rPr>
                <w:t>Directors, Executive Officers and Corporate Governance</w:t>
              </w:r>
            </w:hyperlink>
          </w:p>
        </w:tc>
        <w:tc>
          <w:tcPr>
            <w:tcW w:w="720" w:type="dxa"/>
            <w:vAlign w:val="bottom"/>
            <w:tcBorders>
              <w:top w:val="single" w:sz="8" w:color="0000EE"/>
            </w:tcBorders>
            <w:gridSpan w:val="7"/>
          </w:tcPr>
          <w:p>
            <w:pPr>
              <w:spacing w:after="0"/>
              <w:rPr>
                <w:sz w:val="24"/>
                <w:szCs w:val="24"/>
                <w:color w:val="auto"/>
              </w:rPr>
            </w:pPr>
          </w:p>
        </w:tc>
        <w:tc>
          <w:tcPr>
            <w:tcW w:w="4440" w:type="dxa"/>
            <w:vAlign w:val="bottom"/>
            <w:gridSpan w:val="6"/>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00"/>
        </w:trPr>
        <w:tc>
          <w:tcPr>
            <w:tcW w:w="92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4040" w:type="dxa"/>
            <w:vAlign w:val="bottom"/>
            <w:tcBorders>
              <w:top w:val="single" w:sz="8" w:color="0000EE"/>
            </w:tcBorders>
            <w:gridSpan w:val="14"/>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Executive Compensation</w:t>
              </w:r>
            </w:hyperlink>
          </w:p>
        </w:tc>
        <w:tc>
          <w:tcPr>
            <w:tcW w:w="5240" w:type="dxa"/>
            <w:vAlign w:val="bottom"/>
            <w:gridSpan w:val="14"/>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00"/>
        </w:trPr>
        <w:tc>
          <w:tcPr>
            <w:tcW w:w="92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9280" w:type="dxa"/>
            <w:vAlign w:val="bottom"/>
            <w:gridSpan w:val="28"/>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Security Ownership of Certain Beneficial Owners and Management and Related Stockholder Matters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00"/>
        </w:trPr>
        <w:tc>
          <w:tcPr>
            <w:tcW w:w="92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7200" w:type="dxa"/>
            <w:vAlign w:val="bottom"/>
            <w:tcBorders>
              <w:top w:val="single" w:sz="8" w:color="0000EE"/>
            </w:tcBorders>
            <w:gridSpan w:val="26"/>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Certain Relationships and Related Transactions, and Director Independence</w:t>
              </w:r>
            </w:hyperlink>
          </w:p>
        </w:tc>
        <w:tc>
          <w:tcPr>
            <w:tcW w:w="2080" w:type="dxa"/>
            <w:vAlign w:val="bottom"/>
            <w:gridSpan w:val="2"/>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00"/>
        </w:trPr>
        <w:tc>
          <w:tcPr>
            <w:tcW w:w="92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5380" w:type="dxa"/>
            <w:vAlign w:val="bottom"/>
            <w:tcBorders>
              <w:top w:val="single" w:sz="8" w:color="0000EE"/>
            </w:tcBorders>
            <w:gridSpan w:val="23"/>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Principal Accounting Fees and Services</w:t>
              </w:r>
            </w:hyperlink>
          </w:p>
        </w:tc>
        <w:tc>
          <w:tcPr>
            <w:tcW w:w="3900" w:type="dxa"/>
            <w:vAlign w:val="bottom"/>
            <w:gridSpan w:val="5"/>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13"/>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60" w:type="dxa"/>
            <w:vAlign w:val="bottom"/>
            <w:gridSpan w:val="13"/>
          </w:tcPr>
          <w:p>
            <w:pPr>
              <w:jc w:val="center"/>
              <w:ind w:right="4460"/>
              <w:spacing w:after="0"/>
              <w:rPr>
                <w:rFonts w:ascii="Arial" w:cs="Arial" w:eastAsia="Arial" w:hAnsi="Arial"/>
                <w:sz w:val="18"/>
                <w:szCs w:val="18"/>
                <w:b w:val="1"/>
                <w:bCs w:val="1"/>
                <w:color w:val="0000EE"/>
                <w:w w:val="98"/>
              </w:rPr>
            </w:pPr>
            <w:hyperlink w:anchor="page59">
              <w:r>
                <w:rPr>
                  <w:rFonts w:ascii="Arial" w:cs="Arial" w:eastAsia="Arial" w:hAnsi="Arial"/>
                  <w:sz w:val="18"/>
                  <w:szCs w:val="18"/>
                  <w:b w:val="1"/>
                  <w:bCs w:val="1"/>
                  <w:color w:val="0000EE"/>
                  <w:w w:val="98"/>
                </w:rPr>
                <w:t>PART IV</w:t>
              </w:r>
            </w:hyperlink>
          </w:p>
        </w:tc>
        <w:tc>
          <w:tcPr>
            <w:tcW w:w="1320" w:type="dxa"/>
            <w:vAlign w:val="bottom"/>
          </w:tcPr>
          <w:p>
            <w:pPr>
              <w:spacing w:after="0"/>
              <w:rPr>
                <w:sz w:val="24"/>
                <w:szCs w:val="24"/>
                <w:color w:val="auto"/>
              </w:rPr>
            </w:pPr>
          </w:p>
        </w:tc>
      </w:tr>
      <w:tr>
        <w:trPr>
          <w:trHeight w:val="300"/>
        </w:trPr>
        <w:tc>
          <w:tcPr>
            <w:tcW w:w="92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4140" w:type="dxa"/>
            <w:vAlign w:val="bottom"/>
            <w:gridSpan w:val="16"/>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Exhibits, Financial Statement Schedules</w:t>
              </w:r>
            </w:hyperlink>
          </w:p>
        </w:tc>
        <w:tc>
          <w:tcPr>
            <w:tcW w:w="680" w:type="dxa"/>
            <w:vAlign w:val="bottom"/>
            <w:tcBorders>
              <w:top w:val="single" w:sz="8" w:color="0000EE"/>
            </w:tcBorders>
            <w:gridSpan w:val="5"/>
          </w:tcPr>
          <w:p>
            <w:pPr>
              <w:spacing w:after="0"/>
              <w:rPr>
                <w:sz w:val="24"/>
                <w:szCs w:val="24"/>
                <w:color w:val="auto"/>
              </w:rPr>
            </w:pPr>
          </w:p>
        </w:tc>
        <w:tc>
          <w:tcPr>
            <w:tcW w:w="4460" w:type="dxa"/>
            <w:vAlign w:val="bottom"/>
            <w:gridSpan w:val="7"/>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6420" w:type="dxa"/>
            <w:vAlign w:val="bottom"/>
            <w:gridSpan w:val="16"/>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00"/>
        </w:trPr>
        <w:tc>
          <w:tcPr>
            <w:tcW w:w="10200" w:type="dxa"/>
            <w:vAlign w:val="bottom"/>
            <w:gridSpan w:val="30"/>
          </w:tcPr>
          <w:p>
            <w:pPr>
              <w:spacing w:after="0"/>
              <w:rPr>
                <w:rFonts w:ascii="Arial" w:cs="Arial" w:eastAsia="Arial" w:hAnsi="Arial"/>
                <w:sz w:val="18"/>
                <w:szCs w:val="18"/>
                <w:color w:val="auto"/>
              </w:rPr>
            </w:pPr>
            <w:r>
              <w:rPr>
                <w:rFonts w:ascii="Arial" w:cs="Arial" w:eastAsia="Arial" w:hAnsi="Arial"/>
                <w:sz w:val="18"/>
                <w:szCs w:val="18"/>
                <w:color w:val="auto"/>
              </w:rPr>
              <w:t xml:space="preserve">Item 16.  </w:t>
            </w:r>
            <w:hyperlink w:anchor="page59">
              <w:r>
                <w:rPr>
                  <w:rFonts w:ascii="Arial" w:cs="Arial" w:eastAsia="Arial" w:hAnsi="Arial"/>
                  <w:sz w:val="18"/>
                  <w:szCs w:val="18"/>
                  <w:color w:val="0000EE"/>
                </w:rPr>
                <w:t>Form 10-K Summary</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7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7900" w:type="dxa"/>
            <w:vAlign w:val="bottom"/>
            <w:gridSpan w:val="2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00"/>
        </w:trPr>
        <w:tc>
          <w:tcPr>
            <w:tcW w:w="10200" w:type="dxa"/>
            <w:vAlign w:val="bottom"/>
            <w:gridSpan w:val="30"/>
          </w:tcPr>
          <w:p>
            <w:pPr>
              <w:spacing w:after="0"/>
              <w:rPr>
                <w:rFonts w:ascii="Arial" w:cs="Arial" w:eastAsia="Arial" w:hAnsi="Arial"/>
                <w:sz w:val="18"/>
                <w:szCs w:val="18"/>
                <w:b w:val="1"/>
                <w:bCs w:val="1"/>
                <w:color w:val="0000EE"/>
              </w:rPr>
            </w:pPr>
            <w:hyperlink w:anchor="page106">
              <w:r>
                <w:rPr>
                  <w:rFonts w:ascii="Arial" w:cs="Arial" w:eastAsia="Arial" w:hAnsi="Arial"/>
                  <w:sz w:val="18"/>
                  <w:szCs w:val="18"/>
                  <w:b w:val="1"/>
                  <w:bCs w:val="1"/>
                  <w:color w:val="0000EE"/>
                </w:rPr>
                <w:t>SIGNATURES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520"/>
          </w:cols>
          <w:pgMar w:left="240" w:top="121" w:right="1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19" w:lineRule="exact"/>
        <w:rPr>
          <w:sz w:val="20"/>
          <w:szCs w:val="20"/>
          <w:color w:val="auto"/>
        </w:rPr>
      </w:pPr>
    </w:p>
    <w:p>
      <w:pPr>
        <w:ind w:firstLine="518"/>
        <w:spacing w:after="0" w:line="264" w:lineRule="auto"/>
        <w:rPr>
          <w:sz w:val="20"/>
          <w:szCs w:val="20"/>
          <w:color w:val="auto"/>
        </w:rPr>
      </w:pPr>
      <w:r>
        <w:rPr>
          <w:rFonts w:ascii="Arial" w:cs="Arial" w:eastAsia="Arial" w:hAnsi="Arial"/>
          <w:sz w:val="17"/>
          <w:szCs w:val="17"/>
          <w:color w:val="auto"/>
        </w:rPr>
        <w:t>Certain statements in this Annual Report on Form 10-K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 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“Risk Factors” of this Annual Report on Form 10-K for the year ended December 31, 2017, and in other securities filings by Great Lakes with the SEC.</w:t>
      </w:r>
    </w:p>
    <w:p>
      <w:pPr>
        <w:spacing w:after="0" w:line="190" w:lineRule="exact"/>
        <w:rPr>
          <w:sz w:val="20"/>
          <w:szCs w:val="20"/>
          <w:color w:val="auto"/>
        </w:rPr>
      </w:pPr>
    </w:p>
    <w:p>
      <w:pPr>
        <w:jc w:val="both"/>
        <w:ind w:right="140" w:firstLine="518"/>
        <w:spacing w:after="0" w:line="291" w:lineRule="auto"/>
        <w:rPr>
          <w:sz w:val="20"/>
          <w:szCs w:val="20"/>
          <w:color w:val="auto"/>
        </w:rPr>
      </w:pPr>
      <w:r>
        <w:rPr>
          <w:rFonts w:ascii="Arial" w:cs="Arial" w:eastAsia="Arial" w:hAnsi="Arial"/>
          <w:sz w:val="16"/>
          <w:szCs w:val="16"/>
          <w:color w:val="auto"/>
        </w:rPr>
        <w:t>Although Great Lakes believes that our plans, intentions and expectations reflected in or suggested by such forward-looking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Annual Report on Form 10-K are made only as of the date hereof and we do not have or undertake any obligation to update or revise any forward-looking statements whether as a result of new information, subsequent events or otherwise, unless otherwise required by law.</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Information</w:t>
      </w:r>
    </w:p>
    <w:p>
      <w:pPr>
        <w:spacing w:after="0" w:line="119" w:lineRule="exact"/>
        <w:rPr>
          <w:sz w:val="20"/>
          <w:szCs w:val="20"/>
          <w:color w:val="auto"/>
        </w:rPr>
      </w:pPr>
    </w:p>
    <w:p>
      <w:pPr>
        <w:ind w:right="120" w:firstLine="518"/>
        <w:spacing w:after="0" w:line="251" w:lineRule="auto"/>
        <w:rPr>
          <w:sz w:val="20"/>
          <w:szCs w:val="20"/>
          <w:color w:val="auto"/>
        </w:rPr>
      </w:pPr>
      <w:r>
        <w:rPr>
          <w:rFonts w:ascii="Arial" w:cs="Arial" w:eastAsia="Arial" w:hAnsi="Arial"/>
          <w:sz w:val="18"/>
          <w:szCs w:val="18"/>
          <w:color w:val="auto"/>
        </w:rPr>
        <w:t>You may read and copy any materials Great Lakes files with the SEC, including without limitation the Company’s Annual Report on Form 10-K, quarterly reports on Form 10-Q, current reports on Form 8-K, and amendments to those reports at the SEC’s Public Reference Room at 100 F Street, N.E., Washington, D.C. 20549. Copies of such materials also can be obtained at the SEC’s website, www.sec.gov or by mail from the Public Reference Room of the SEC, at prescribed rates. Please call the SEC at 1-800-SEC-0330 for further information on the Public Reference Room. Great Lakes’ SEC filings are also available to the public, free of charge, on our corporate website, www.gldd.com, as soon as reasonably practicable after Great Lakes electronically files such material with, or furnishes it to, the SEC.</w:t>
      </w: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11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terms “we,” “our,” “ours,” “us,” “Great Lakes” and “Company” refer to Great Lakes Dredge &amp; Dock Corporation and its subsidiaries.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226" w:lineRule="exact"/>
        <w:rPr>
          <w:sz w:val="20"/>
          <w:szCs w:val="20"/>
          <w:color w:val="auto"/>
        </w:rPr>
      </w:pPr>
    </w:p>
    <w:p>
      <w:pPr>
        <w:ind w:firstLine="518"/>
        <w:spacing w:after="0" w:line="251" w:lineRule="auto"/>
        <w:rPr>
          <w:sz w:val="20"/>
          <w:szCs w:val="20"/>
          <w:color w:val="auto"/>
        </w:rPr>
      </w:pPr>
      <w:r>
        <w:rPr>
          <w:rFonts w:ascii="Arial" w:cs="Arial" w:eastAsia="Arial" w:hAnsi="Arial"/>
          <w:sz w:val="18"/>
          <w:szCs w:val="18"/>
          <w:color w:val="auto"/>
        </w:rPr>
        <w:t>Great Lakes is the largest provider of dredging services in the United States and is the only U.S. dredging service provider with significant international operations. The Company was founded in 1890 as Lydon &amp; Drews Partnership and performed its first project in Chicago, Illinois. The Company changed its name to Great Lakes Dredge &amp; Dock Company in 1905 and was involved in a number of marine construction and landfill projects along the Chicago lakefront and in the surrounding Great Lakes region. Great Lakes now provides dredging services in the East, West, and Gulf Coasts of the United States and worldwide. The Company also owns specialty contracting service providers which primarily offer environmental, remediation and geotechnical services throughout the United States.</w:t>
      </w:r>
    </w:p>
    <w:p>
      <w:pPr>
        <w:spacing w:after="0" w:line="195" w:lineRule="exact"/>
        <w:rPr>
          <w:sz w:val="20"/>
          <w:szCs w:val="20"/>
          <w:color w:val="auto"/>
        </w:rPr>
      </w:pPr>
    </w:p>
    <w:p>
      <w:pPr>
        <w:ind w:right="20" w:firstLine="518"/>
        <w:spacing w:after="0" w:line="304" w:lineRule="auto"/>
        <w:rPr>
          <w:sz w:val="20"/>
          <w:szCs w:val="20"/>
          <w:color w:val="auto"/>
        </w:rPr>
      </w:pPr>
      <w:r>
        <w:rPr>
          <w:rFonts w:ascii="Arial" w:cs="Arial" w:eastAsia="Arial" w:hAnsi="Arial"/>
          <w:sz w:val="16"/>
          <w:szCs w:val="16"/>
          <w:color w:val="auto"/>
        </w:rPr>
        <w:t>The Company operates in two operating segments: dredging and environmental &amp; infrastructure which are also the Company’s reportable segments and reporting units. Financial information about the Company’s reportable segments and operating revenues by geographic region is provided in Note 10, Income Taxes and Note 18, Segment Information, to the Company’s consolidated financial statements included in Item 15 of this Annual Report on Form 10-K.</w:t>
      </w:r>
    </w:p>
    <w:p>
      <w:pPr>
        <w:spacing w:after="0" w:line="154" w:lineRule="exact"/>
        <w:rPr>
          <w:sz w:val="20"/>
          <w:szCs w:val="20"/>
          <w:color w:val="auto"/>
        </w:rPr>
      </w:pPr>
    </w:p>
    <w:p>
      <w:pPr>
        <w:ind w:right="540" w:firstLine="518"/>
        <w:spacing w:after="0" w:line="267" w:lineRule="auto"/>
        <w:rPr>
          <w:sz w:val="20"/>
          <w:szCs w:val="20"/>
          <w:color w:val="auto"/>
        </w:rPr>
      </w:pPr>
      <w:r>
        <w:rPr>
          <w:rFonts w:ascii="Arial" w:cs="Arial" w:eastAsia="Arial" w:hAnsi="Arial"/>
          <w:sz w:val="18"/>
          <w:szCs w:val="18"/>
          <w:color w:val="auto"/>
        </w:rPr>
        <w:t>During the fourth quarter of 2016, the Company sold assets associated with certain service lines of the environmental &amp; infrastructure segment’s business, excluding assets supporting the remediation service line.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Dredging Operations (84% of 2017 total revenues)</w:t>
      </w:r>
    </w:p>
    <w:p>
      <w:pPr>
        <w:spacing w:after="0" w:line="119" w:lineRule="exact"/>
        <w:rPr>
          <w:sz w:val="20"/>
          <w:szCs w:val="20"/>
          <w:color w:val="auto"/>
        </w:rPr>
      </w:pPr>
    </w:p>
    <w:p>
      <w:pPr>
        <w:ind w:right="160" w:firstLine="518"/>
        <w:spacing w:after="0" w:line="269" w:lineRule="auto"/>
        <w:rPr>
          <w:sz w:val="20"/>
          <w:szCs w:val="20"/>
          <w:color w:val="auto"/>
        </w:rPr>
      </w:pPr>
      <w:r>
        <w:rPr>
          <w:rFonts w:ascii="Arial" w:cs="Arial" w:eastAsia="Arial" w:hAnsi="Arial"/>
          <w:sz w:val="17"/>
          <w:szCs w:val="17"/>
          <w:color w:val="auto"/>
        </w:rPr>
        <w:t>Dredging generally involves the enhancement or preservation of navigability of waterways or the protection of shorelines through the removal or replenishment of soil, sand or rock. Domestically, our work generally is performed in coastal waterways and deep water ports. The U.S. dredging market consists of four primary types of work: capital, coastal protection, maintenance and rivers &amp; lakes. The Company’s “bid market” is defined as the aggregate dollar value of domestic dredging projects on which the Company bid or could have bid if not for capacity constraints or other considerations. The Company experienced an average combined bid market share in the U.S. of 42% over the prior three years, including 61%, 39%, 27% and 38% of the domestic capital, coastal protection, maintenance and rivers &amp; lakes sectors, respectively.</w:t>
      </w:r>
    </w:p>
    <w:p>
      <w:pPr>
        <w:spacing w:after="0" w:line="179" w:lineRule="exact"/>
        <w:rPr>
          <w:sz w:val="20"/>
          <w:szCs w:val="20"/>
          <w:color w:val="auto"/>
        </w:rPr>
      </w:pPr>
    </w:p>
    <w:p>
      <w:pPr>
        <w:jc w:val="both"/>
        <w:ind w:right="240" w:firstLine="518"/>
        <w:spacing w:after="0" w:line="295" w:lineRule="auto"/>
        <w:rPr>
          <w:sz w:val="20"/>
          <w:szCs w:val="20"/>
          <w:color w:val="auto"/>
        </w:rPr>
      </w:pPr>
      <w:r>
        <w:rPr>
          <w:rFonts w:ascii="Arial" w:cs="Arial" w:eastAsia="Arial" w:hAnsi="Arial"/>
          <w:sz w:val="16"/>
          <w:szCs w:val="16"/>
          <w:color w:val="auto"/>
        </w:rPr>
        <w:t>Over its 127 year history, the Company has grown to be a leader in capital, coastal protection and maintenance dredging in the U.S. and is one of the oldest and most experienced dredging companies in the United States. In addition, the Company is the only U.S. dredging service provider with significant international operations. Over the prior three years, foreign dredging operations accounted for an average of 18% of the Company’s dredging revenues. The Company’s foreign projects are typically categorized in the capital work type, but are not included in the aforementioned bid market.</w:t>
      </w:r>
    </w:p>
    <w:p>
      <w:pPr>
        <w:spacing w:after="0" w:line="162" w:lineRule="exact"/>
        <w:rPr>
          <w:sz w:val="20"/>
          <w:szCs w:val="20"/>
          <w:color w:val="auto"/>
        </w:rPr>
      </w:pPr>
    </w:p>
    <w:p>
      <w:pPr>
        <w:ind w:right="140" w:firstLine="518"/>
        <w:spacing w:after="0" w:line="291" w:lineRule="auto"/>
        <w:rPr>
          <w:sz w:val="20"/>
          <w:szCs w:val="20"/>
          <w:color w:val="auto"/>
        </w:rPr>
      </w:pPr>
      <w:r>
        <w:rPr>
          <w:rFonts w:ascii="Arial" w:cs="Arial" w:eastAsia="Arial" w:hAnsi="Arial"/>
          <w:sz w:val="16"/>
          <w:szCs w:val="16"/>
          <w:i w:val="1"/>
          <w:iCs w:val="1"/>
          <w:color w:val="auto"/>
        </w:rPr>
        <w:t xml:space="preserve">Capital (domestic is 31% of 2017 dredging revenues). </w:t>
      </w:r>
      <w:r>
        <w:rPr>
          <w:rFonts w:ascii="Arial" w:cs="Arial" w:eastAsia="Arial" w:hAnsi="Arial"/>
          <w:sz w:val="16"/>
          <w:szCs w:val="16"/>
          <w:color w:val="auto"/>
        </w:rPr>
        <w:t>Capital dredging consists primarily of port expansion projects, which involve the deepening of</w:t>
      </w:r>
      <w:r>
        <w:rPr>
          <w:rFonts w:ascii="Arial" w:cs="Arial" w:eastAsia="Arial" w:hAnsi="Arial"/>
          <w:sz w:val="16"/>
          <w:szCs w:val="16"/>
          <w:i w:val="1"/>
          <w:iCs w:val="1"/>
          <w:color w:val="auto"/>
        </w:rPr>
        <w:t xml:space="preserve"> </w:t>
      </w:r>
      <w:r>
        <w:rPr>
          <w:rFonts w:ascii="Arial" w:cs="Arial" w:eastAsia="Arial" w:hAnsi="Arial"/>
          <w:sz w:val="16"/>
          <w:szCs w:val="16"/>
          <w:color w:val="auto"/>
        </w:rPr>
        <w:t>channels and berthing basins to allow access by larger, deeper draft ships and the provision of land fill used to expand port facilities. In addition to port work, capital projects also include coastal restoration and land reclamations, trench digging for pipelines, tunnels and cables, and other dredging related to the construction of breakwaters, jetties, canals and other marine structures. Although capital work can be impacted by budgetary constraints and economic conditions, these projects typically generate an immediate economic benefit to the ports and surrounding communities.</w:t>
      </w:r>
    </w:p>
    <w:p>
      <w:pPr>
        <w:spacing w:after="0" w:line="165" w:lineRule="exact"/>
        <w:rPr>
          <w:sz w:val="20"/>
          <w:szCs w:val="20"/>
          <w:color w:val="auto"/>
        </w:rPr>
      </w:pPr>
    </w:p>
    <w:p>
      <w:pPr>
        <w:ind w:right="60" w:firstLine="518"/>
        <w:spacing w:after="0" w:line="252" w:lineRule="auto"/>
        <w:rPr>
          <w:sz w:val="20"/>
          <w:szCs w:val="20"/>
          <w:color w:val="auto"/>
        </w:rPr>
      </w:pPr>
      <w:r>
        <w:rPr>
          <w:rFonts w:ascii="Arial" w:cs="Arial" w:eastAsia="Arial" w:hAnsi="Arial"/>
          <w:sz w:val="18"/>
          <w:szCs w:val="18"/>
          <w:i w:val="1"/>
          <w:iCs w:val="1"/>
          <w:color w:val="auto"/>
        </w:rPr>
        <w:t xml:space="preserve">Foreign (7% of 2017 dredging revenues). </w:t>
      </w:r>
      <w:r>
        <w:rPr>
          <w:rFonts w:ascii="Arial" w:cs="Arial" w:eastAsia="Arial" w:hAnsi="Arial"/>
          <w:sz w:val="18"/>
          <w:szCs w:val="18"/>
          <w:color w:val="auto"/>
        </w:rPr>
        <w:t>Foreign capital projects typically involve land reclamations, channel deepening and port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The Company targets foreign opportunities that are well suited to the Company’s equipment and where it faces reduced competition from its European competitors. Maintaining a presence in foreign markets has enabled the Company to diversify its customer base and take advantage of differences in global economic development. Over the last ten years, the Company has performed dredging work in the Middle East, Africa, Australia, the Caribbean and Central and South America.</w:t>
      </w:r>
    </w:p>
    <w:p>
      <w:pPr>
        <w:spacing w:after="0" w:line="193" w:lineRule="exact"/>
        <w:rPr>
          <w:sz w:val="20"/>
          <w:szCs w:val="20"/>
          <w:color w:val="auto"/>
        </w:rPr>
      </w:pPr>
    </w:p>
    <w:p>
      <w:pPr>
        <w:ind w:right="120" w:firstLine="518"/>
        <w:spacing w:after="0" w:line="252" w:lineRule="auto"/>
        <w:rPr>
          <w:sz w:val="20"/>
          <w:szCs w:val="20"/>
          <w:color w:val="auto"/>
        </w:rPr>
      </w:pPr>
      <w:r>
        <w:rPr>
          <w:rFonts w:ascii="Arial" w:cs="Arial" w:eastAsia="Arial" w:hAnsi="Arial"/>
          <w:sz w:val="18"/>
          <w:szCs w:val="18"/>
          <w:i w:val="1"/>
          <w:iCs w:val="1"/>
          <w:color w:val="auto"/>
        </w:rPr>
        <w:t xml:space="preserve">Coastal protection (32% of 2017 dredging revenues). </w:t>
      </w:r>
      <w:r>
        <w:rPr>
          <w:rFonts w:ascii="Arial" w:cs="Arial" w:eastAsia="Arial" w:hAnsi="Arial"/>
          <w:sz w:val="18"/>
          <w:szCs w:val="18"/>
          <w:color w:val="auto"/>
        </w:rPr>
        <w:t>Coastal protection projects generally involve moving sand from the ocean floor to shoreline</w:t>
      </w:r>
      <w:r>
        <w:rPr>
          <w:rFonts w:ascii="Arial" w:cs="Arial" w:eastAsia="Arial" w:hAnsi="Arial"/>
          <w:sz w:val="18"/>
          <w:szCs w:val="18"/>
          <w:i w:val="1"/>
          <w:iCs w:val="1"/>
          <w:color w:val="auto"/>
        </w:rPr>
        <w:t xml:space="preserve"> </w:t>
      </w:r>
      <w:r>
        <w:rPr>
          <w:rFonts w:ascii="Arial" w:cs="Arial" w:eastAsia="Arial" w:hAnsi="Arial"/>
          <w:sz w:val="18"/>
          <w:szCs w:val="18"/>
          <w:color w:val="auto"/>
        </w:rPr>
        <w:t>locations where erosion threatens shoreline assets. Beach erosion is a continuous problem that has intensified with the rise in coastal development and has become an important issue for state and local governments concerned with protecting beachfront tourism and real estate. Coastal protection via beach nourishment is often viewed as a better response to erosion than trapping sand through the use of sea walls and jetties, or relocating buildings and other assets away from the shoreline. Generally,</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4" w:name="page5"/>
    <w:bookmarkEnd w:id="4"/>
    <w:p>
      <w:pPr>
        <w:ind w:right="260"/>
        <w:spacing w:after="0" w:line="267" w:lineRule="auto"/>
        <w:rPr>
          <w:sz w:val="20"/>
          <w:szCs w:val="20"/>
          <w:color w:val="auto"/>
        </w:rPr>
      </w:pPr>
      <w:r>
        <w:rPr>
          <w:rFonts w:ascii="Arial" w:cs="Arial" w:eastAsia="Arial" w:hAnsi="Arial"/>
          <w:sz w:val="18"/>
          <w:szCs w:val="18"/>
          <w:color w:val="auto"/>
        </w:rPr>
        <w:t>coastal protection projects take place during the fall and winter months to minimize interference with bird and marine life migration and breeding patterns as well as coastal recreation activities.</w:t>
      </w:r>
    </w:p>
    <w:p>
      <w:pPr>
        <w:spacing w:after="0" w:line="180" w:lineRule="exact"/>
        <w:rPr>
          <w:sz w:val="20"/>
          <w:szCs w:val="20"/>
          <w:color w:val="auto"/>
        </w:rPr>
      </w:pPr>
    </w:p>
    <w:p>
      <w:pPr>
        <w:ind w:right="200" w:firstLine="518"/>
        <w:spacing w:after="0" w:line="295" w:lineRule="auto"/>
        <w:rPr>
          <w:sz w:val="20"/>
          <w:szCs w:val="20"/>
          <w:color w:val="auto"/>
        </w:rPr>
      </w:pPr>
      <w:r>
        <w:rPr>
          <w:rFonts w:ascii="Arial" w:cs="Arial" w:eastAsia="Arial" w:hAnsi="Arial"/>
          <w:sz w:val="16"/>
          <w:szCs w:val="16"/>
          <w:i w:val="1"/>
          <w:iCs w:val="1"/>
          <w:color w:val="auto"/>
        </w:rPr>
        <w:t xml:space="preserve">Maintenance (23% of 2017 dredging revenues). </w:t>
      </w:r>
      <w:r>
        <w:rPr>
          <w:rFonts w:ascii="Arial" w:cs="Arial" w:eastAsia="Arial" w:hAnsi="Arial"/>
          <w:sz w:val="16"/>
          <w:szCs w:val="16"/>
          <w:color w:val="auto"/>
        </w:rPr>
        <w:t>Maintenance dredging consists of the re-dredging of previously deepened waterways and harbors to</w:t>
      </w:r>
      <w:r>
        <w:rPr>
          <w:rFonts w:ascii="Arial" w:cs="Arial" w:eastAsia="Arial" w:hAnsi="Arial"/>
          <w:sz w:val="16"/>
          <w:szCs w:val="16"/>
          <w:i w:val="1"/>
          <w:iCs w:val="1"/>
          <w:color w:val="auto"/>
        </w:rPr>
        <w:t xml:space="preserve"> </w:t>
      </w:r>
      <w:r>
        <w:rPr>
          <w:rFonts w:ascii="Arial" w:cs="Arial" w:eastAsia="Arial" w:hAnsi="Arial"/>
          <w:sz w:val="16"/>
          <w:szCs w:val="16"/>
          <w:color w:val="auto"/>
        </w:rPr>
        <w:t>remove silt, sand and other accumulated sediments. Due to natural sedimentation, many channels require maintenance dredging every one to three years, thus creating a recurring source of dredging work that is typically non-deferrable if adequate commercial navigability is to be maintained. In addition, severe weather such as hurricanes, flooding and droughts can also cause the accumulation of sediments and drive the need for maintenance dredging.</w:t>
      </w:r>
    </w:p>
    <w:p>
      <w:pPr>
        <w:spacing w:after="0" w:line="162" w:lineRule="exact"/>
        <w:rPr>
          <w:sz w:val="20"/>
          <w:szCs w:val="20"/>
          <w:color w:val="auto"/>
        </w:rPr>
      </w:pPr>
    </w:p>
    <w:p>
      <w:pPr>
        <w:ind w:right="160" w:firstLine="518"/>
        <w:spacing w:after="0" w:line="288" w:lineRule="auto"/>
        <w:rPr>
          <w:sz w:val="20"/>
          <w:szCs w:val="20"/>
          <w:color w:val="auto"/>
        </w:rPr>
      </w:pPr>
      <w:r>
        <w:rPr>
          <w:rFonts w:ascii="Arial" w:cs="Arial" w:eastAsia="Arial" w:hAnsi="Arial"/>
          <w:sz w:val="16"/>
          <w:szCs w:val="16"/>
          <w:i w:val="1"/>
          <w:iCs w:val="1"/>
          <w:color w:val="auto"/>
        </w:rPr>
        <w:t xml:space="preserve">Rivers &amp; lakes (7% of 2017 dredging revenues). </w:t>
      </w:r>
      <w:r>
        <w:rPr>
          <w:rFonts w:ascii="Arial" w:cs="Arial" w:eastAsia="Arial" w:hAnsi="Arial"/>
          <w:sz w:val="16"/>
          <w:szCs w:val="16"/>
          <w:color w:val="auto"/>
        </w:rPr>
        <w:t>Domestic rivers and lakes dredging and related operations typically consist of lake and river dredging,</w:t>
      </w:r>
      <w:r>
        <w:rPr>
          <w:rFonts w:ascii="Arial" w:cs="Arial" w:eastAsia="Arial" w:hAnsi="Arial"/>
          <w:sz w:val="16"/>
          <w:szCs w:val="16"/>
          <w:i w:val="1"/>
          <w:iCs w:val="1"/>
          <w:color w:val="auto"/>
        </w:rPr>
        <w:t xml:space="preserve"> </w:t>
      </w:r>
      <w:r>
        <w:rPr>
          <w:rFonts w:ascii="Arial" w:cs="Arial" w:eastAsia="Arial" w:hAnsi="Arial"/>
          <w:sz w:val="16"/>
          <w:szCs w:val="16"/>
          <w:color w:val="auto"/>
        </w:rPr>
        <w:t>inland levee and construction dredging, environmental restoration and habitat improvement and other marine construction projects. Although the Mississippi River has a large source of projects on which the Company bids, certain dredges used on these projects are more portable and able to be transported to take advantage of the fragmented market. In addition, many of our dredges can be transported to sites of waterway environmental remediation work to assist our environmental &amp; infrastructure segment on projects. Generally, inland river and lake projects in the northern U.S. take place in non-winter months because frozen waterways significantly reduce contractors’ ability to operate and transport its equipment in the relevant geographies.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Dredging Demand Drivers</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believes that the following factors are important drivers of the demand for its dredging services:</w:t>
      </w:r>
    </w:p>
    <w:p>
      <w:pPr>
        <w:spacing w:after="0" w:line="113" w:lineRule="exact"/>
        <w:rPr>
          <w:sz w:val="20"/>
          <w:szCs w:val="20"/>
          <w:color w:val="auto"/>
        </w:rPr>
      </w:pPr>
    </w:p>
    <w:p>
      <w:pPr>
        <w:ind w:left="940" w:right="20" w:hanging="373"/>
        <w:spacing w:after="0" w:line="281" w:lineRule="auto"/>
        <w:tabs>
          <w:tab w:leader="none" w:pos="940" w:val="left"/>
        </w:tabs>
        <w:numPr>
          <w:ilvl w:val="1"/>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Deep port capital projects. </w:t>
      </w:r>
      <w:r>
        <w:rPr>
          <w:rFonts w:ascii="Arial" w:cs="Arial" w:eastAsia="Arial" w:hAnsi="Arial"/>
          <w:sz w:val="16"/>
          <w:szCs w:val="16"/>
          <w:color w:val="auto"/>
        </w:rPr>
        <w:t>Most of the East Coast and Gulf ports have expansion plans that include deepening and widening in order to better</w:t>
      </w:r>
      <w:r>
        <w:rPr>
          <w:rFonts w:ascii="Arial" w:cs="Arial" w:eastAsia="Arial" w:hAnsi="Arial"/>
          <w:sz w:val="16"/>
          <w:szCs w:val="16"/>
          <w:i w:val="1"/>
          <w:iCs w:val="1"/>
          <w:color w:val="auto"/>
        </w:rPr>
        <w:t xml:space="preserve"> </w:t>
      </w:r>
      <w:r>
        <w:rPr>
          <w:rFonts w:ascii="Arial" w:cs="Arial" w:eastAsia="Arial" w:hAnsi="Arial"/>
          <w:sz w:val="16"/>
          <w:szCs w:val="16"/>
          <w:color w:val="auto"/>
        </w:rPr>
        <w:t>compete for international trade. International trade, particularly in the intermodal container shipping business, is undergoing significant change as a result of the Panama Canal expansion, which was completed in 2016. Many shipping lines have announced plans to deploy larger ships which, due to the channel dimension requirements, currently would not be able to use many U.S. ports. Miami’s port deepening project was completed in 2015 and its port channels are now able to accommodate larger vessels. Dredging began on the Savannah Harbor Expansion Project in 2015 and is expected to continue through 2018. The initial stages of mobilization began on the Charleston entrance channel projects during 2017. Dredging is expected to commence in 2018 and continue through 2020. The ports of Los Angeles and Long Beach are resuming expansion efforts to remain competitive with deepened East Coast ports. In addition, the Water Resources Reform and Development Act (“WRRDA”) signed in the second quarter of 2014, authorized the U.S. Army Corps of Engineers (the “Corps”) to begin dredging to deepen the Savannah River channel, noted above, as well as initiate studies to deepen the ports in the Gulf Coast. During the fourth quarter of 2016, the House and the Senate passed the water resources development bill, rebranded as the Water Infrastructure Improvements for the Nation Act (“WIIN”), which includes the Water Resources Development Act of 2016. The Company views the bill as a positive catalyst for the domestic dredging industry as it authorizes nearly $16 billion in critical infrastructure improvements that are needed throughout the U.S. Further, the bill authorizes studies for future water resources improvements and makes modifications to previous authorizations. The Company is encouraged by the current administration's focus on repairing and rebuilding America's infrastructure, including our nation's ports and waterways. The Company believes that port deepening and expansion work authorized under current and anticipated future legislation will continue to provide significant opportunities for the domestic dredging industry.</w:t>
      </w:r>
    </w:p>
    <w:p>
      <w:pPr>
        <w:spacing w:after="0" w:line="287" w:lineRule="exact"/>
        <w:rPr>
          <w:rFonts w:ascii="Arial" w:cs="Arial" w:eastAsia="Arial" w:hAnsi="Arial"/>
          <w:sz w:val="16"/>
          <w:szCs w:val="16"/>
          <w:color w:val="auto"/>
        </w:rPr>
      </w:pPr>
    </w:p>
    <w:p>
      <w:pPr>
        <w:ind w:left="1040" w:hanging="567"/>
        <w:spacing w:after="0" w:line="264" w:lineRule="auto"/>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Gulf coast restoration. </w:t>
      </w:r>
      <w:r>
        <w:rPr>
          <w:rFonts w:ascii="Arial" w:cs="Arial" w:eastAsia="Arial" w:hAnsi="Arial"/>
          <w:sz w:val="17"/>
          <w:szCs w:val="17"/>
          <w:color w:val="auto"/>
        </w:rPr>
        <w:t>There has been continued focus on restoring the barrier islands and wetlands that provide natural protection from storms in</w:t>
      </w:r>
      <w:r>
        <w:rPr>
          <w:rFonts w:ascii="Arial" w:cs="Arial" w:eastAsia="Arial" w:hAnsi="Arial"/>
          <w:sz w:val="17"/>
          <w:szCs w:val="17"/>
          <w:i w:val="1"/>
          <w:iCs w:val="1"/>
          <w:color w:val="auto"/>
        </w:rPr>
        <w:t xml:space="preserve"> </w:t>
      </w:r>
      <w:r>
        <w:rPr>
          <w:rFonts w:ascii="Arial" w:cs="Arial" w:eastAsia="Arial" w:hAnsi="Arial"/>
          <w:sz w:val="17"/>
          <w:szCs w:val="17"/>
          <w:color w:val="auto"/>
        </w:rPr>
        <w:t>the Gulf Coast area. Many restoration projects have commenced to repair coastal areas. Several additional projects are being planned by state and local governments to restore natural barriers. The State of Louisiana has completed a master plan calling for a $50 billion investment in its coastal infrastructure, with a significant portion involving dredging. Additionally, during October 2015, BP plc settled the final Deepwater Horizon oil spill claims for approximately $20 billion. This amount reflects the preliminary agreement which was reached in the second quarter of 2015 and includes $5.5 billion related to Clean Water Act penalties. Several state and local governments have already reached agreements that resolve their claims in the disaster. Many of the Gulf States previously committed to spending a portion of the fines received to repair the natural resources impacted by the oil spill including on coastal restoration projects that include dredging. Although the bulk of the fines are to be paid over the next decade, the Company expects several coastal restoration projects envisioned by the Gulf States to come to fruition in the next couple of years providing a new source of domestic capital dredging projects on which the Company will bid. The annual bid market for domestic capital dredging, which includes deep port capital dredging and Gulf Coast restoration, averaged $369 million over the prior three years. During 2017, the Company was awarded an $88 million coastal restoration project in the Gulf of Mexico. This project commenced dredging in 2017 and is expected to be completed in 2018.</w:t>
      </w:r>
    </w:p>
    <w:p>
      <w:pPr>
        <w:spacing w:after="0" w:line="85" w:lineRule="exact"/>
        <w:rPr>
          <w:rFonts w:ascii="Arial" w:cs="Arial" w:eastAsia="Arial" w:hAnsi="Arial"/>
          <w:sz w:val="17"/>
          <w:szCs w:val="17"/>
          <w:color w:val="auto"/>
        </w:rPr>
      </w:pPr>
    </w:p>
    <w:p>
      <w:pPr>
        <w:ind w:left="940" w:right="100" w:hanging="373"/>
        <w:spacing w:after="0" w:line="257" w:lineRule="auto"/>
        <w:tabs>
          <w:tab w:leader="none" w:pos="940"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Substantial need for coastal protection. </w:t>
      </w:r>
      <w:r>
        <w:rPr>
          <w:rFonts w:ascii="Arial" w:cs="Arial" w:eastAsia="Arial" w:hAnsi="Arial"/>
          <w:sz w:val="18"/>
          <w:szCs w:val="18"/>
          <w:color w:val="auto"/>
        </w:rPr>
        <w:t>Beach erosion is a recurring problem due to the normal ebb and flow of coastlines as well as the effects of</w:t>
      </w:r>
      <w:r>
        <w:rPr>
          <w:rFonts w:ascii="Arial" w:cs="Arial" w:eastAsia="Arial" w:hAnsi="Arial"/>
          <w:sz w:val="18"/>
          <w:szCs w:val="18"/>
          <w:i w:val="1"/>
          <w:iCs w:val="1"/>
          <w:color w:val="auto"/>
        </w:rPr>
        <w:t xml:space="preserve"> </w:t>
      </w:r>
      <w:r>
        <w:rPr>
          <w:rFonts w:ascii="Arial" w:cs="Arial" w:eastAsia="Arial" w:hAnsi="Arial"/>
          <w:sz w:val="18"/>
          <w:szCs w:val="18"/>
          <w:color w:val="auto"/>
        </w:rPr>
        <w:t>severe storm activity. Growing populations in coastal communities and vital beach tourism are drawing attention to the importance of protecting beachfront assets. Over the past few years, both the federal government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5" w:name="page6"/>
    <w:bookmarkEnd w:id="5"/>
    <w:p>
      <w:pPr>
        <w:ind w:left="940" w:right="120"/>
        <w:spacing w:after="0" w:line="267" w:lineRule="auto"/>
        <w:rPr>
          <w:sz w:val="20"/>
          <w:szCs w:val="20"/>
          <w:color w:val="auto"/>
        </w:rPr>
      </w:pPr>
      <w:r>
        <w:rPr>
          <w:rFonts w:ascii="Arial" w:cs="Arial" w:eastAsia="Arial" w:hAnsi="Arial"/>
          <w:sz w:val="17"/>
          <w:szCs w:val="17"/>
          <w:color w:val="auto"/>
        </w:rPr>
        <w:t>and state and local entities have funded beach work recognizing the essential role these natural barriers play in absorbing storm energy and protecting public and private property. Superstorm Sandy highlighted the need for projects that clear the navigation channels, renourish damaged beaches and mitigate shore erosion from future storms. Since the beginning of 2013, the Corps has let for bid over $1 billion in projects to repair shorelines in New York and New Jersey damaged as a result of Superstorm Sandy. During February 2018, the U.S. Senate Committee on Appropriations announced the supplemental appropriations for disaster relief and recovery which includes $17.4 billion for the Corps to fund projects that will reduce the risk of future damage from flood and storm events. Although it is uncertain the impact that this will have on the dredging market, the Company believes it is a positive indicator for work in the coastal protection and restoration markets. The annual bid market for coastal protection over the prior three years averaged $429 million.</w:t>
      </w:r>
    </w:p>
    <w:p>
      <w:pPr>
        <w:spacing w:after="0" w:line="74" w:lineRule="exact"/>
        <w:rPr>
          <w:sz w:val="20"/>
          <w:szCs w:val="20"/>
          <w:color w:val="auto"/>
        </w:rPr>
      </w:pPr>
    </w:p>
    <w:p>
      <w:pPr>
        <w:ind w:left="1040" w:right="40" w:hanging="473"/>
        <w:spacing w:after="0" w:line="283" w:lineRule="auto"/>
        <w:tabs>
          <w:tab w:leader="none" w:pos="1040" w:val="left"/>
        </w:tabs>
        <w:numPr>
          <w:ilvl w:val="1"/>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Required maintenance of U.S. ports. </w:t>
      </w:r>
      <w:r>
        <w:rPr>
          <w:rFonts w:ascii="Arial" w:cs="Arial" w:eastAsia="Arial" w:hAnsi="Arial"/>
          <w:sz w:val="16"/>
          <w:szCs w:val="16"/>
          <w:color w:val="auto"/>
        </w:rPr>
        <w:t>The channels and waterways leading to U.S. ports have stated depths on which shippers rely when entering</w:t>
      </w:r>
      <w:r>
        <w:rPr>
          <w:rFonts w:ascii="Arial" w:cs="Arial" w:eastAsia="Arial" w:hAnsi="Arial"/>
          <w:sz w:val="16"/>
          <w:szCs w:val="16"/>
          <w:i w:val="1"/>
          <w:iCs w:val="1"/>
          <w:color w:val="auto"/>
        </w:rPr>
        <w:t xml:space="preserve"> </w:t>
      </w:r>
      <w:r>
        <w:rPr>
          <w:rFonts w:ascii="Arial" w:cs="Arial" w:eastAsia="Arial" w:hAnsi="Arial"/>
          <w:sz w:val="16"/>
          <w:szCs w:val="16"/>
          <w:color w:val="auto"/>
        </w:rPr>
        <w:t>those ports. Due to naturally occurring sedimentation and severe weather, active channels require maintenance dredging to ensure that stated depths are at authorized levels. Consequently, the need to maintain channel depth creates a recurring source of dredging work that is non-deferrable if optimal navigability is to be preserved. The Corps is responsible for federally funded projects related to navigation and flood control of U.S. waterways. The maritime industry, including the ports, has repeatedly advocated for congressional efforts to ensure that a fully funded, recurring maintenance program is in place. WIIN, previously mentioned, emphasizes previous WRRDA language which calls for full use of Harbor Maintenance Trust Fund (“HMTF”) for its intended purpose of maintaining future access to the waterways and ports that support our nation’s economy. Further, WIIN ensures that Harbor Maintenance Tax (“HMT”) funding targets will increase by 3 percent over the prior year, even if the HMT revenue estimates decrease, to continue annual progress towards full use of the HMT by 2025. Through the increased appropriation of HMTF monies, the Company anticipates an increase in harbor projects to be let for bid throughout 2018 and beyond. The annual bid market for maintenance dredging over the prior three years averaged $355 million.</w:t>
      </w:r>
    </w:p>
    <w:p>
      <w:pPr>
        <w:spacing w:after="0" w:line="67" w:lineRule="exact"/>
        <w:rPr>
          <w:rFonts w:ascii="Arial" w:cs="Arial" w:eastAsia="Arial" w:hAnsi="Arial"/>
          <w:sz w:val="16"/>
          <w:szCs w:val="16"/>
          <w:color w:val="auto"/>
        </w:rPr>
      </w:pPr>
    </w:p>
    <w:p>
      <w:pPr>
        <w:ind w:left="1020" w:right="60" w:hanging="507"/>
        <w:spacing w:after="0" w:line="267"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Need to maintain safe navigability of the U.S. river system. </w:t>
      </w:r>
      <w:r>
        <w:rPr>
          <w:rFonts w:ascii="Arial" w:cs="Arial" w:eastAsia="Arial" w:hAnsi="Arial"/>
          <w:sz w:val="17"/>
          <w:szCs w:val="17"/>
          <w:color w:val="auto"/>
        </w:rPr>
        <w:t>There are over twelve thousand miles of commercially navigable inland waterways</w:t>
      </w:r>
      <w:r>
        <w:rPr>
          <w:rFonts w:ascii="Arial" w:cs="Arial" w:eastAsia="Arial" w:hAnsi="Arial"/>
          <w:sz w:val="17"/>
          <w:szCs w:val="17"/>
          <w:i w:val="1"/>
          <w:iCs w:val="1"/>
          <w:color w:val="auto"/>
        </w:rPr>
        <w:t xml:space="preserve"> </w:t>
      </w:r>
      <w:r>
        <w:rPr>
          <w:rFonts w:ascii="Arial" w:cs="Arial" w:eastAsia="Arial" w:hAnsi="Arial"/>
          <w:sz w:val="17"/>
          <w:szCs w:val="17"/>
          <w:color w:val="auto"/>
        </w:rPr>
        <w:t>that move more than 566 million tons of commercial goods annually. Transportation by barge requires less energy, and therefore is both better for the environment and costs less to move cargo than transportation by airplane, railcar or truck. Many industries rely on safe navigability of U.S. inland waterways as a primary means to transport goods and commodities such as coal, chemicals, petroleum, minerals, stones, metals and agricultural products. Natural sedimentation and other circumstances require that the inland waterway system be periodically dredged so that it can be used as intended. The Corps recognizes the need to maintain the safe navigability of U.S. waterways. The annual bid market for rivers and lakes dredging over the prior three years averaged $107 million.</w:t>
      </w:r>
    </w:p>
    <w:p>
      <w:pPr>
        <w:spacing w:after="0" w:line="77" w:lineRule="exact"/>
        <w:rPr>
          <w:rFonts w:ascii="Arial" w:cs="Arial" w:eastAsia="Arial" w:hAnsi="Arial"/>
          <w:sz w:val="17"/>
          <w:szCs w:val="17"/>
          <w:color w:val="auto"/>
        </w:rPr>
      </w:pPr>
    </w:p>
    <w:p>
      <w:pPr>
        <w:ind w:left="1020" w:right="100" w:hanging="507"/>
        <w:spacing w:after="0" w:line="266"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Domestic and international energy transportation. </w:t>
      </w:r>
      <w:r>
        <w:rPr>
          <w:rFonts w:ascii="Arial" w:cs="Arial" w:eastAsia="Arial" w:hAnsi="Arial"/>
          <w:sz w:val="17"/>
          <w:szCs w:val="17"/>
          <w:color w:val="auto"/>
        </w:rPr>
        <w:t>The growth in demand for transportation of energy worldwide has driven the need for</w:t>
      </w:r>
      <w:r>
        <w:rPr>
          <w:rFonts w:ascii="Arial" w:cs="Arial" w:eastAsia="Arial" w:hAnsi="Arial"/>
          <w:sz w:val="17"/>
          <w:szCs w:val="17"/>
          <w:i w:val="1"/>
          <w:iCs w:val="1"/>
          <w:color w:val="auto"/>
        </w:rPr>
        <w:t xml:space="preserve"> </w:t>
      </w:r>
      <w:r>
        <w:rPr>
          <w:rFonts w:ascii="Arial" w:cs="Arial" w:eastAsia="Arial" w:hAnsi="Arial"/>
          <w:sz w:val="17"/>
          <w:szCs w:val="17"/>
          <w:color w:val="auto"/>
        </w:rPr>
        <w:t>dredging to support new terminals, harbors, channels and pipelines. During 2014, Great Lakes completed dredging work on a project that will create a new shipping channel for a liquefied natural gas (“LNG”) terminal being developed to export abundant energy resources from the west coast of Australia. The Company was awarded a contract with Corpus Christi Liquefaction, LLC (“CCL”) during 2015. CCL is developing an LNG export terminal at a site located on Corpus Christi Bay in Texas. Great Lakes' portion of the LNG project involves the dredging and slope protection of two LNG carrier ship berths, dredging of a material offloading and tug mooring basin, and expansion of an existing La Quinta Channel turning basin. The significant drop in crude oil prices in during recent years may lead to a slowdown in the development of LNG export plants; however, the Company continues to expect that future global energy demand will necessitate improvements in the infrastructure base around sources of rich resources and in countries that import global energy.</w:t>
      </w:r>
    </w:p>
    <w:p>
      <w:pPr>
        <w:spacing w:after="0" w:line="77" w:lineRule="exact"/>
        <w:rPr>
          <w:rFonts w:ascii="Arial" w:cs="Arial" w:eastAsia="Arial" w:hAnsi="Arial"/>
          <w:sz w:val="17"/>
          <w:szCs w:val="17"/>
          <w:color w:val="auto"/>
        </w:rPr>
      </w:pPr>
    </w:p>
    <w:p>
      <w:pPr>
        <w:ind w:left="1020" w:right="120" w:hanging="507"/>
        <w:spacing w:after="0" w:line="288"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Middle East market. </w:t>
      </w:r>
      <w:r>
        <w:rPr>
          <w:rFonts w:ascii="Arial" w:cs="Arial" w:eastAsia="Arial" w:hAnsi="Arial"/>
          <w:sz w:val="16"/>
          <w:szCs w:val="16"/>
          <w:color w:val="auto"/>
        </w:rPr>
        <w:t>Over the past ten years, the Middle East has been a strong market for dredging services. With substantial income from oil</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and significant real estate development, these countries have been undergoing extensive infrastructure expansion. Historically lower oil prices and the contraction in Middle East commercial and real estate development have slowed the rate of the region’s infrastructure development in recent years. Despite the decline in recent years, urban development continues to drive the need for land reclamation in the Middle East and the Company expects growth in the area over the next few years. During 2015, the Company completed the widening and deepening of a portion of the Suez Canal which expanded the seaborne cargo capacity of this important waterway.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&amp; Infrastructure Operations (approximately 16% of 2017 total revenues)</w:t>
      </w:r>
    </w:p>
    <w:p>
      <w:pPr>
        <w:spacing w:after="0" w:line="119"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The environmental &amp; infrastructure segment provides construction services on soil, water and sediment for clients in both the public and private sectors in the United States. The segment’s services include environmental and geotechnical construction as well as soil, water and sediment environmental remediation for the state, local and private party markets. Environmental and geotechnical construction includes the creation, repair or stabilization of environmental barriers including slurry walls, in-situ stabilization, coal combustion residuals pond cap and close, dam and levee rehabilitation, deep soil mixing and other specialty civil construction. Remediation involves the containment, immobilization or removal of contamination from an environment through the use of any combination of isolation, treatment, or exhumation techniques including off-site disposal based on the quantity and severity of the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 w:name="page7"/>
    <w:bookmarkEnd w:id="6"/>
    <w:p>
      <w:pPr>
        <w:ind w:right="20"/>
        <w:spacing w:after="0" w:line="279" w:lineRule="auto"/>
        <w:rPr>
          <w:sz w:val="20"/>
          <w:szCs w:val="20"/>
          <w:color w:val="auto"/>
        </w:rPr>
      </w:pPr>
      <w:r>
        <w:rPr>
          <w:rFonts w:ascii="Arial" w:cs="Arial" w:eastAsia="Arial" w:hAnsi="Arial"/>
          <w:sz w:val="17"/>
          <w:szCs w:val="17"/>
          <w:color w:val="auto"/>
        </w:rPr>
        <w:t>contamination. During the fourth quarter of 2016, the Company sold assets associated with certain service lines of the environmental &amp; infrastructure segment’s business, excluding assets supporting the remediation service line. The environmental &amp; infrastructure segment leverages the Company’s long term history of successfully executing projects on water and to offer turnkey environmental and infrastructure solutions in water and upland.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&amp; Infrastructure Demand Drivers</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believes that the following factors are important drivers of the demand for its environmental &amp; infrastructure services:</w:t>
      </w:r>
    </w:p>
    <w:p>
      <w:pPr>
        <w:spacing w:after="0" w:line="113" w:lineRule="exact"/>
        <w:rPr>
          <w:sz w:val="20"/>
          <w:szCs w:val="20"/>
          <w:color w:val="auto"/>
        </w:rPr>
      </w:pPr>
    </w:p>
    <w:p>
      <w:pPr>
        <w:ind w:left="1020" w:right="60" w:hanging="507"/>
        <w:spacing w:after="0" w:line="252"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Increasing requirements for environmental services. </w:t>
      </w:r>
      <w:r>
        <w:rPr>
          <w:rFonts w:ascii="Arial" w:cs="Arial" w:eastAsia="Arial" w:hAnsi="Arial"/>
          <w:sz w:val="18"/>
          <w:szCs w:val="18"/>
          <w:color w:val="auto"/>
        </w:rPr>
        <w:t>Both the dredging and environmental &amp; infrastructure businesses have experienced requests</w:t>
      </w:r>
      <w:r>
        <w:rPr>
          <w:rFonts w:ascii="Arial" w:cs="Arial" w:eastAsia="Arial" w:hAnsi="Arial"/>
          <w:sz w:val="18"/>
          <w:szCs w:val="18"/>
          <w:i w:val="1"/>
          <w:iCs w:val="1"/>
          <w:color w:val="auto"/>
        </w:rPr>
        <w:t xml:space="preserve"> </w:t>
      </w:r>
      <w:r>
        <w:rPr>
          <w:rFonts w:ascii="Arial" w:cs="Arial" w:eastAsia="Arial" w:hAnsi="Arial"/>
          <w:sz w:val="18"/>
          <w:szCs w:val="18"/>
          <w:color w:val="auto"/>
        </w:rPr>
        <w:t>for handling contaminated sediments, soils and other media at project sites. The Environmental Protection Agency (“EPA”) and several state agencies have begun to recognize the environmental hazards posed by stored industrial byproducts near waterways. The release of regulated pollutants into major waterways, inland lakes, groundwater and public and private lands requires the use of environmental remediation to remove the contaminated media.</w:t>
      </w:r>
    </w:p>
    <w:p>
      <w:pPr>
        <w:spacing w:after="0" w:line="86" w:lineRule="exact"/>
        <w:rPr>
          <w:rFonts w:ascii="Arial" w:cs="Arial" w:eastAsia="Arial" w:hAnsi="Arial"/>
          <w:sz w:val="18"/>
          <w:szCs w:val="18"/>
          <w:color w:val="auto"/>
        </w:rPr>
      </w:pPr>
    </w:p>
    <w:p>
      <w:pPr>
        <w:ind w:left="1020" w:right="20" w:hanging="507"/>
        <w:spacing w:after="0" w:line="269"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Government mandated remediation. </w:t>
      </w:r>
      <w:r>
        <w:rPr>
          <w:rFonts w:ascii="Arial" w:cs="Arial" w:eastAsia="Arial" w:hAnsi="Arial"/>
          <w:sz w:val="17"/>
          <w:szCs w:val="17"/>
          <w:color w:val="auto"/>
        </w:rPr>
        <w:t>The EPA mandates remediation initiatives that are paid for partially or in whole by responsible parties. The</w:t>
      </w:r>
      <w:r>
        <w:rPr>
          <w:rFonts w:ascii="Arial" w:cs="Arial" w:eastAsia="Arial" w:hAnsi="Arial"/>
          <w:sz w:val="17"/>
          <w:szCs w:val="17"/>
          <w:i w:val="1"/>
          <w:iCs w:val="1"/>
          <w:color w:val="auto"/>
        </w:rPr>
        <w:t xml:space="preserve"> </w:t>
      </w:r>
      <w:r>
        <w:rPr>
          <w:rFonts w:ascii="Arial" w:cs="Arial" w:eastAsia="Arial" w:hAnsi="Arial"/>
          <w:sz w:val="17"/>
          <w:szCs w:val="17"/>
          <w:color w:val="auto"/>
        </w:rPr>
        <w:t>capability to provide the environmental clean-up of not only the waterway, but also the processing of the contaminated sediment or any contaminated soil from other brownfield sites as well as services related to new federal regulations over the storage and disposal of coal ash provides a targeted growth opportunity for Great Lakes. The Company anticipates additional contracting opportunities arising from the transformation of the U.S. energy infrastructure, specifically related to the remediation requirements as mandated by the EPA’s rule to regulate the disposal of coal combustion residuals from electric utilities promulgated in June 2015.</w:t>
      </w:r>
    </w:p>
    <w:p>
      <w:pPr>
        <w:spacing w:after="0" w:line="72" w:lineRule="exact"/>
        <w:rPr>
          <w:rFonts w:ascii="Arial" w:cs="Arial" w:eastAsia="Arial" w:hAnsi="Arial"/>
          <w:sz w:val="17"/>
          <w:szCs w:val="17"/>
          <w:color w:val="auto"/>
        </w:rPr>
      </w:pPr>
    </w:p>
    <w:p>
      <w:pPr>
        <w:ind w:left="1000" w:right="40" w:hanging="367"/>
        <w:spacing w:after="0" w:line="291" w:lineRule="auto"/>
        <w:tabs>
          <w:tab w:leader="none" w:pos="1000" w:val="left"/>
        </w:tabs>
        <w:numPr>
          <w:ilvl w:val="1"/>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Levee formation and repair. </w:t>
      </w:r>
      <w:r>
        <w:rPr>
          <w:rFonts w:ascii="Arial" w:cs="Arial" w:eastAsia="Arial" w:hAnsi="Arial"/>
          <w:sz w:val="16"/>
          <w:szCs w:val="16"/>
          <w:color w:val="auto"/>
        </w:rPr>
        <w:t>Levees play a crucial role in protecting against widespread flood damage; however many levees throughout the U.S.</w:t>
      </w:r>
      <w:r>
        <w:rPr>
          <w:rFonts w:ascii="Arial" w:cs="Arial" w:eastAsia="Arial" w:hAnsi="Arial"/>
          <w:sz w:val="16"/>
          <w:szCs w:val="16"/>
          <w:i w:val="1"/>
          <w:iCs w:val="1"/>
          <w:color w:val="auto"/>
        </w:rPr>
        <w:t xml:space="preserve"> </w:t>
      </w:r>
      <w:r>
        <w:rPr>
          <w:rFonts w:ascii="Arial" w:cs="Arial" w:eastAsia="Arial" w:hAnsi="Arial"/>
          <w:sz w:val="16"/>
          <w:szCs w:val="16"/>
          <w:color w:val="auto"/>
        </w:rPr>
        <w:t>are currently deficient and in need of repair. Approximately 100,000 miles of levees exist in the U.S. and the average age is 54 years. The impacts of climate change, including increased storms and flooding, will drive the need for levee repair. During 2015, 2016 and 2017, the Company worked on levee projects in California. The Company will continue to work on levee projects throughout 2018. The Company believes that levee formation and repair will provide significant opportunities for the environmental &amp; infrastructure segment over the next several years.</w:t>
      </w:r>
    </w:p>
    <w:p>
      <w:pPr>
        <w:spacing w:after="0" w:line="165" w:lineRule="exact"/>
        <w:rPr>
          <w:sz w:val="20"/>
          <w:szCs w:val="20"/>
          <w:color w:val="auto"/>
        </w:rPr>
      </w:pPr>
    </w:p>
    <w:p>
      <w:pPr>
        <w:ind w:right="160" w:firstLine="518"/>
        <w:spacing w:after="0" w:line="254" w:lineRule="auto"/>
        <w:rPr>
          <w:sz w:val="20"/>
          <w:szCs w:val="20"/>
          <w:color w:val="auto"/>
        </w:rPr>
      </w:pPr>
      <w:r>
        <w:rPr>
          <w:rFonts w:ascii="Arial" w:cs="Arial" w:eastAsia="Arial" w:hAnsi="Arial"/>
          <w:sz w:val="18"/>
          <w:szCs w:val="18"/>
          <w:color w:val="auto"/>
        </w:rPr>
        <w:t>For additional details regarding Dredging Operations and Environmental &amp; Infrastructure Operations, including financial information regarding our international and U.S. revenues and long-lived assets, see Item 7. “Management's Discussion and Analysis of Financial Condition and Results of Operations,” and Item 8. “Financial Statements and Supplementary Data” in this Annual Report on Form 10-K, including Note 18, Segment Information, to the Company’s consolidated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Dredging</w:t>
      </w:r>
    </w:p>
    <w:p>
      <w:pPr>
        <w:spacing w:after="0" w:line="113"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The dredging industry’s customers include federal, state and local governments, foreign governments and both domestic and foreign private concerns, such as utilities, oil and other energy companies. Most dredging projects are competitively bid, with the award going to the lowest qualified bidder. Customers generally have few economical alternatives to dredging services. The Corps is the largest dredging customer in the U.S. and has responsibility for federally funded projects related to navigation and flood control. In addition, the U.S. Coast Guard and the U.S. Navy are responsible for awarding federal contracts with respect to their own facilities. In 2017, approximately 63% of the Company’s dredging revenues were generated from 40 different contracts with federal agencies or third parties operating under contracts with federal agencies.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&amp; infrastructure</w:t>
      </w:r>
    </w:p>
    <w:p>
      <w:pPr>
        <w:spacing w:after="0" w:line="113"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Environmental &amp; infrastructure customers include general contractors, corporations, Superfund potentially responsible parties, environmental engineering and construction firms that commission projects and federal as well as municipal government agencies. This segment benefits from key relationships with certain customers in the general contracting and environmental engineering industries. In 2017, two of the environmental &amp; infrastructure segment’s customers were each responsible for approximately 12% of the environmental &amp; infrastructure segment’s annual revenues; however, the loss of either or both of these customers would not have a material adverse effect on Great Lakes as a whole.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Bidding Process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Dredging</w:t>
      </w:r>
    </w:p>
    <w:p>
      <w:pPr>
        <w:spacing w:after="0" w:line="113" w:lineRule="exact"/>
        <w:rPr>
          <w:sz w:val="20"/>
          <w:szCs w:val="20"/>
          <w:color w:val="auto"/>
        </w:rPr>
      </w:pPr>
    </w:p>
    <w:p>
      <w:pPr>
        <w:ind w:right="300" w:firstLine="518"/>
        <w:spacing w:after="0" w:line="257" w:lineRule="auto"/>
        <w:rPr>
          <w:sz w:val="20"/>
          <w:szCs w:val="20"/>
          <w:color w:val="auto"/>
        </w:rPr>
      </w:pPr>
      <w:r>
        <w:rPr>
          <w:rFonts w:ascii="Arial" w:cs="Arial" w:eastAsia="Arial" w:hAnsi="Arial"/>
          <w:sz w:val="18"/>
          <w:szCs w:val="18"/>
          <w:color w:val="auto"/>
        </w:rPr>
        <w:t>Most of the Company’s dredging contracts are obtained through competitive bidding on terms specified by the party inviting the bid. The types of equipment required to perform the specified service, project site conditions, the estimated project duration, seasonality, location and complexity of a project affect the cost of performing the contract and the price that dredging contractors will bid.</w:t>
      </w:r>
    </w:p>
    <w:p>
      <w:pPr>
        <w:spacing w:after="0" w:line="188" w:lineRule="exact"/>
        <w:rPr>
          <w:sz w:val="20"/>
          <w:szCs w:val="20"/>
          <w:color w:val="auto"/>
        </w:rPr>
      </w:pPr>
    </w:p>
    <w:p>
      <w:pPr>
        <w:ind w:right="40" w:firstLine="518"/>
        <w:spacing w:after="0" w:line="285" w:lineRule="auto"/>
        <w:rPr>
          <w:sz w:val="20"/>
          <w:szCs w:val="20"/>
          <w:color w:val="auto"/>
        </w:rPr>
      </w:pPr>
      <w:r>
        <w:rPr>
          <w:rFonts w:ascii="Arial" w:cs="Arial" w:eastAsia="Arial" w:hAnsi="Arial"/>
          <w:sz w:val="16"/>
          <w:szCs w:val="16"/>
          <w:color w:val="auto"/>
        </w:rPr>
        <w:t>For contracts under its jurisdiction, the Corps typically prepares a fair and reasonable cost estimate based on the specifications of the project. To be successful, a bidder must be determined by the Corps to be a responsible bidder (i.e., a bidder that generally has the necessary equipment and experience to successfully complete the project as well as the ability to obtain a surety bid bond) and submit the lowest responsive bid that does not exceed 125% of the Corps’ original estimate. Contracts for state and local governments are generally awarded to the lowest qualified bidder. Contracts for private customers are awarded based on the contractor’s experience, equipment and schedule, as well as price. While substantially all of the Company’s dredging contracts are competitively bid, some government contracts are awarded through a sole source procurement process involving negotiation between the contractor and the government, while other projects are bid by the Corps through a “request for proposal” process. The request for proposal process benefits both Great Lakes and its customers as customers can award contracts based on factors beyond price, including experience, skill and specialized equipment.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&amp; infrastructure</w:t>
      </w:r>
    </w:p>
    <w:p>
      <w:pPr>
        <w:spacing w:after="0" w:line="113" w:lineRule="exact"/>
        <w:rPr>
          <w:sz w:val="20"/>
          <w:szCs w:val="20"/>
          <w:color w:val="auto"/>
        </w:rPr>
      </w:pPr>
    </w:p>
    <w:p>
      <w:pPr>
        <w:ind w:right="40" w:firstLine="518"/>
        <w:spacing w:after="0" w:line="295" w:lineRule="auto"/>
        <w:rPr>
          <w:sz w:val="20"/>
          <w:szCs w:val="20"/>
          <w:color w:val="auto"/>
        </w:rPr>
      </w:pPr>
      <w:r>
        <w:rPr>
          <w:rFonts w:ascii="Arial" w:cs="Arial" w:eastAsia="Arial" w:hAnsi="Arial"/>
          <w:sz w:val="16"/>
          <w:szCs w:val="16"/>
          <w:color w:val="auto"/>
        </w:rPr>
        <w:t>The majority of the environmental &amp; infrastructure segment’s projects are secured through competitive bidding. When the environmental &amp; infrastructure segment bids on a project, it evaluates the contract specifications and develops a cost estimate to which it adds an acceptable margin. While there are numerous competitors in the environmental &amp; infrastructure services market, the Company benefits from its size, relationships and reputation. Therefore, there are occasions where the Company is not the lowest bidder on a contract, but is still awarded the project based on its reputation and qualifications.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Bonding and Foreign Project Guarantees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Dredging</w:t>
      </w:r>
    </w:p>
    <w:p>
      <w:pPr>
        <w:spacing w:after="0" w:line="113" w:lineRule="exact"/>
        <w:rPr>
          <w:sz w:val="20"/>
          <w:szCs w:val="20"/>
          <w:color w:val="auto"/>
        </w:rPr>
      </w:pPr>
    </w:p>
    <w:p>
      <w:pPr>
        <w:ind w:right="100" w:firstLine="518"/>
        <w:spacing w:after="0" w:line="284" w:lineRule="auto"/>
        <w:rPr>
          <w:sz w:val="20"/>
          <w:szCs w:val="20"/>
          <w:color w:val="auto"/>
        </w:rPr>
      </w:pPr>
      <w:r>
        <w:rPr>
          <w:rFonts w:ascii="Arial" w:cs="Arial" w:eastAsia="Arial" w:hAnsi="Arial"/>
          <w:sz w:val="16"/>
          <w:szCs w:val="16"/>
          <w:color w:val="auto"/>
        </w:rPr>
        <w:t>For most domestic projects and some foreign projects, dredging service providers are required to obtain three types of bonds: bid bonds, performance bonds and payment bonds. These bonds are typically provided by large insurance companies. A bid bond is required to serve as a guarantee so that if a service provider’s bid is chosen, the service provider will sign the contract. The amount of the bond is typically 20% of the service provider’s bid, with a range generally between $1 and $10 million. After a contract is signed, the bid bond is replaced by a performance bond, the purpose of which is to guarantee that the job will be completed. If the service provider fails to complete a job, the bonding company would be required to complete the job and would be entitled to be paid the contract price directly by the customer. Additionally, the bonding company would be entitled to be paid by the service provider for any costs incurred in excess of the contract price. A service provider’s ability to obtain performance bonds with respect to a particular contract depends upon the size of the contract, as well as the size of the service provider and its financial position. A payment bond is required to protect the service provider’s suppliers and subcontractors in the event that the service provider cannot make timely payments. Payment bonds are generally written at 100% of the contract value.</w:t>
      </w:r>
    </w:p>
    <w:p>
      <w:pPr>
        <w:spacing w:after="0" w:line="174"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The Company has bonding agreements with Argonaut Insurance Company, Berkley Insurance Company, Chubb Surety and Liberty Mutual Insurance Company, (collectively, the “Sureties”) under which the Company can obtain performance, bid and payment bonds. The Company also has outstanding bonds with Travelers Casualty and Surety Company of America and Zurich American Insurance Company (“Zurich”). Great Lakes has never experienced difficulty in obtaining bonding for any of its projects and Great Lakes has never failed to complete a marine project in its 127 year history. For most foreign dredging projects, letters of credit or bank guarantees issued by foreign banks are required as security for the bid, performance and, if applicable, advance payment guarantees. The Company obtains its letters of credit under the Credit Agreement (as defined below). Foreign bid guarantees are usually 2% to 5% of the service provider’s bid. Foreign performance and advance payment guarantees are each typically 5% to 10% of the contract value.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&amp; infrastructure</w:t>
      </w:r>
    </w:p>
    <w:p>
      <w:pPr>
        <w:spacing w:after="0" w:line="113"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environmental &amp; infrastructure segment contracts with both private, non-governmental customers and governmental entities and may be required to secure bonding for projects with both governmental entities and non-governmental customers. The Sureties also provide bonds for the environmental &amp; infrastructure segment.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441"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Competition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Dredging</w:t>
      </w:r>
    </w:p>
    <w:p>
      <w:pPr>
        <w:spacing w:after="0" w:line="113" w:lineRule="exact"/>
        <w:rPr>
          <w:sz w:val="20"/>
          <w:szCs w:val="20"/>
          <w:color w:val="auto"/>
        </w:rPr>
      </w:pPr>
    </w:p>
    <w:p>
      <w:pPr>
        <w:ind w:right="60" w:firstLine="518"/>
        <w:spacing w:after="0" w:line="266" w:lineRule="auto"/>
        <w:rPr>
          <w:sz w:val="20"/>
          <w:szCs w:val="20"/>
          <w:color w:val="auto"/>
        </w:rPr>
      </w:pPr>
      <w:r>
        <w:rPr>
          <w:rFonts w:ascii="Arial" w:cs="Arial" w:eastAsia="Arial" w:hAnsi="Arial"/>
          <w:sz w:val="17"/>
          <w:szCs w:val="17"/>
          <w:color w:val="auto"/>
        </w:rPr>
        <w:t>The U.S. dredging industry is highly fragmented with approximately 250 entities in the U.S. presently operating more than 850 dredges, primarily in maintenance dredging. Most of these dredges are smaller and service the inland, as opposed to coastal, waterways, and therefore do not generally compete with Great Lakes except in our rivers &amp; lakes market. Competition is determined by the size and complexity of the job; equipment bonding and certification requirements; and government regulations. Competition on rivers &amp; lakes projects is determined primarily based on geographic reach, project execution capability and price. Great Lakes and three other companies comprised approximately 81% of the Company’s defined bid market related to domestic capital, coastal protection, maintenance and rivers &amp; lakes over the prior three years. Within the Company’s bid market, competition is determined primarily on the basis of price. In addition, the Foreign Dredge Act of 1906, or “Dredging Act,” and Section 27 of the Merchant Marine Act of 1920, or “Jones Act,” provide significant barriers to entry with respect to foreign competition. Together these two laws prohibit foreign-built, chartered or operated vessels from competing in the U.S. See “Business—Government Regulations” below.</w:t>
      </w:r>
    </w:p>
    <w:p>
      <w:pPr>
        <w:spacing w:after="0" w:line="184"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Competition in the international market is dominated by four large European dredging companies all of which operate larger equipment and fleets that are more extensive than the Company’s fleet. Recently, a large Chinese dredging company has emerged as a key player in the international market. In addition, there are several governmentally supported dredging companies that operate on a local or regional basis. The Company targets opportunities that are well suited to its equipment and where it can be most competitive. Most recently, the Company has focused on opportunities in the Middle East where the Company has cultivated close customer relationships and has pursued contracts compatible with the size of the Company’s vessels.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&amp; infrastructure</w:t>
      </w:r>
    </w:p>
    <w:p>
      <w:pPr>
        <w:spacing w:after="0" w:line="113" w:lineRule="exact"/>
        <w:rPr>
          <w:sz w:val="20"/>
          <w:szCs w:val="20"/>
          <w:color w:val="auto"/>
        </w:rPr>
      </w:pPr>
    </w:p>
    <w:p>
      <w:pPr>
        <w:ind w:right="240" w:firstLine="518"/>
        <w:spacing w:after="0" w:line="254" w:lineRule="auto"/>
        <w:rPr>
          <w:sz w:val="20"/>
          <w:szCs w:val="20"/>
          <w:color w:val="auto"/>
        </w:rPr>
      </w:pPr>
      <w:r>
        <w:rPr>
          <w:rFonts w:ascii="Arial" w:cs="Arial" w:eastAsia="Arial" w:hAnsi="Arial"/>
          <w:sz w:val="18"/>
          <w:szCs w:val="18"/>
          <w:color w:val="auto"/>
        </w:rPr>
        <w:t>The U.S. environmental &amp; infrastructure and related services industry is highly fragmented and is comprised mostly of small regional companies. For larger projects, the Company will occasionally bid against larger engineering and construction firms. The environmental &amp; infrastructure segment is able to perform both smaller and larger, more complex projects. The ability to deliver a wide range of interdisciplinary capabilities under a single project team is another competitive attribute.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Dredging</w:t>
      </w:r>
    </w:p>
    <w:p>
      <w:pPr>
        <w:spacing w:after="0" w:line="113" w:lineRule="exact"/>
        <w:rPr>
          <w:sz w:val="20"/>
          <w:szCs w:val="20"/>
          <w:color w:val="auto"/>
        </w:rPr>
      </w:pPr>
    </w:p>
    <w:p>
      <w:pPr>
        <w:ind w:right="220" w:firstLine="518"/>
        <w:spacing w:after="0" w:line="267" w:lineRule="auto"/>
        <w:rPr>
          <w:sz w:val="20"/>
          <w:szCs w:val="20"/>
          <w:color w:val="auto"/>
        </w:rPr>
      </w:pPr>
      <w:r>
        <w:rPr>
          <w:rFonts w:ascii="Arial" w:cs="Arial" w:eastAsia="Arial" w:hAnsi="Arial"/>
          <w:sz w:val="18"/>
          <w:szCs w:val="18"/>
          <w:color w:val="auto"/>
        </w:rPr>
        <w:t>Great Lakes’ fleet of dredges, material barges and other specialized equipment is the largest and most diverse in the U.S. The Company operates three principal types of dredging equipment: hopper dredges, hydraulic dredges and mechanical dredges.</w:t>
      </w:r>
    </w:p>
    <w:p>
      <w:pPr>
        <w:spacing w:after="0" w:line="180"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i w:val="1"/>
          <w:iCs w:val="1"/>
          <w:color w:val="auto"/>
        </w:rPr>
        <w:t xml:space="preserve">Hopper Dredges. </w:t>
      </w:r>
      <w:r>
        <w:rPr>
          <w:rFonts w:ascii="Arial" w:cs="Arial" w:eastAsia="Arial" w:hAnsi="Arial"/>
          <w:sz w:val="17"/>
          <w:szCs w:val="17"/>
          <w:color w:val="auto"/>
        </w:rPr>
        <w:t>Hopper dredges are typically self-propelled and have the general appearance of an ocean-going vessel. The dredge has hollow hulls, or</w:t>
      </w:r>
      <w:r>
        <w:rPr>
          <w:rFonts w:ascii="Arial" w:cs="Arial" w:eastAsia="Arial" w:hAnsi="Arial"/>
          <w:sz w:val="17"/>
          <w:szCs w:val="17"/>
          <w:i w:val="1"/>
          <w:iCs w:val="1"/>
          <w:color w:val="auto"/>
        </w:rPr>
        <w:t xml:space="preserve"> </w:t>
      </w:r>
      <w:r>
        <w:rPr>
          <w:rFonts w:ascii="Arial" w:cs="Arial" w:eastAsia="Arial" w:hAnsi="Arial"/>
          <w:sz w:val="17"/>
          <w:szCs w:val="17"/>
          <w:color w:val="auto"/>
        </w:rPr>
        <w:t>“hoppers,” into which material is suctioned hydraulically through drag-arms. Once the hoppers are filled, the dredge sails to the designated disposal site and either (i) bottom dumps the material or (ii) pumps the material from the hoppers through a pipeline to a designated site. Hopper dredges can operate in rough waters, are less likely than other types of dredges to interfere with ship traffic, and can be relocated quickly from one project to another. Hopper dredges primarily work on coastal protection and maintenance projects. The Company completed construction of a dual mode articulated tug/barge trailing suction hopper dredge (“ATB”), which is the largest domestic hopper dredge, during the fourth quarter of 2017.</w:t>
      </w:r>
    </w:p>
    <w:p>
      <w:pPr>
        <w:spacing w:after="0" w:line="179" w:lineRule="exact"/>
        <w:rPr>
          <w:sz w:val="20"/>
          <w:szCs w:val="20"/>
          <w:color w:val="auto"/>
        </w:rPr>
      </w:pPr>
    </w:p>
    <w:p>
      <w:pPr>
        <w:ind w:firstLine="518"/>
        <w:spacing w:after="0" w:line="250" w:lineRule="auto"/>
        <w:rPr>
          <w:sz w:val="20"/>
          <w:szCs w:val="20"/>
          <w:color w:val="auto"/>
        </w:rPr>
      </w:pPr>
      <w:r>
        <w:rPr>
          <w:rFonts w:ascii="Arial" w:cs="Arial" w:eastAsia="Arial" w:hAnsi="Arial"/>
          <w:sz w:val="18"/>
          <w:szCs w:val="18"/>
          <w:i w:val="1"/>
          <w:iCs w:val="1"/>
          <w:color w:val="auto"/>
        </w:rPr>
        <w:t xml:space="preserve">Hydraulic Dredges. </w:t>
      </w:r>
      <w:r>
        <w:rPr>
          <w:rFonts w:ascii="Arial" w:cs="Arial" w:eastAsia="Arial" w:hAnsi="Arial"/>
          <w:sz w:val="18"/>
          <w:szCs w:val="18"/>
          <w:color w:val="auto"/>
        </w:rPr>
        <w:t>Hydraulic dredges remove material using a revolving cutterhead which cuts and churns the sediment on the channel or ocean floor</w:t>
      </w:r>
      <w:r>
        <w:rPr>
          <w:rFonts w:ascii="Arial" w:cs="Arial" w:eastAsia="Arial" w:hAnsi="Arial"/>
          <w:sz w:val="18"/>
          <w:szCs w:val="18"/>
          <w:i w:val="1"/>
          <w:iCs w:val="1"/>
          <w:color w:val="auto"/>
        </w:rPr>
        <w:t xml:space="preserve"> </w:t>
      </w:r>
      <w:r>
        <w:rPr>
          <w:rFonts w:ascii="Arial" w:cs="Arial" w:eastAsia="Arial" w:hAnsi="Arial"/>
          <w:sz w:val="18"/>
          <w:szCs w:val="18"/>
          <w:color w:val="auto"/>
        </w:rPr>
        <w:t>and hydraulically pumps the material by pipe to the disposal location. These dredges are very powerful and can dredge some types of rock. Certain dredged materials can be directly pumped for miles with the aid of multiple booster pumps. Hydraulic dredges work with an assortment of support equipment, which help with the positioning and movement of the dredge, handling of the pipelines and the placement of the dredged material. Unlike hopper dredges, relocating hydraulic dredges and all their ancillary equipment requires specialized vessels and additional time, and their operations can be impacted by ship traffic and rough waters. There is a wide range of hydraulic dredges from our smaller rivers &amp; lakes vessels that use pipe sizes ranging from 10” to 22” and operate at between 365 and 3,200 total horsepower, while the Company’s other hydraulic dredges use pipe sizes ranging from 18” to 36” and operate at between 1,900 and 16,650 total horsepower.</w:t>
      </w:r>
    </w:p>
    <w:p>
      <w:pPr>
        <w:spacing w:after="0" w:line="195" w:lineRule="exact"/>
        <w:rPr>
          <w:sz w:val="20"/>
          <w:szCs w:val="20"/>
          <w:color w:val="auto"/>
        </w:rPr>
      </w:pPr>
    </w:p>
    <w:p>
      <w:pPr>
        <w:ind w:right="100" w:firstLine="518"/>
        <w:spacing w:after="0" w:line="269" w:lineRule="auto"/>
        <w:rPr>
          <w:sz w:val="20"/>
          <w:szCs w:val="20"/>
          <w:color w:val="auto"/>
        </w:rPr>
      </w:pPr>
      <w:r>
        <w:rPr>
          <w:rFonts w:ascii="Arial" w:cs="Arial" w:eastAsia="Arial" w:hAnsi="Arial"/>
          <w:sz w:val="17"/>
          <w:szCs w:val="17"/>
          <w:i w:val="1"/>
          <w:iCs w:val="1"/>
          <w:color w:val="auto"/>
        </w:rPr>
        <w:t xml:space="preserve">Mechanical Dredges. </w:t>
      </w:r>
      <w:r>
        <w:rPr>
          <w:rFonts w:ascii="Arial" w:cs="Arial" w:eastAsia="Arial" w:hAnsi="Arial"/>
          <w:sz w:val="17"/>
          <w:szCs w:val="17"/>
          <w:color w:val="auto"/>
        </w:rPr>
        <w:t>There are two basic types of mechanical dredges: clamshell and backhoe. In both types, the dredge uses a bucket to excavate</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 from the channel or ocean floor. The dredged material is placed by the bucket into material barges, or “scows,” for transport to the designated disposal area. The scows are emptied by bottom-dumping, direct pump-out or removal by a crane with a bucket. Mechanical dredges are capable of removing hard-packed sediments, blasted rock and debris and can work in tight areas such as along docks or terminals. Clamshell dredges with specialized buckets are ideally suited to handle material requiring environmentally controlled disposal. Additionally, the Company owns an electric clamshell dredge which provides an advantage in those markets with stringent emissions standards.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9" w:name="page10"/>
    <w:bookmarkEnd w:id="9"/>
    <w:p>
      <w:pPr>
        <w:ind w:right="40" w:firstLine="518"/>
        <w:spacing w:after="0" w:line="254" w:lineRule="auto"/>
        <w:rPr>
          <w:sz w:val="20"/>
          <w:szCs w:val="20"/>
          <w:color w:val="auto"/>
        </w:rPr>
      </w:pPr>
      <w:r>
        <w:rPr>
          <w:rFonts w:ascii="Arial" w:cs="Arial" w:eastAsia="Arial" w:hAnsi="Arial"/>
          <w:sz w:val="18"/>
          <w:szCs w:val="18"/>
          <w:i w:val="1"/>
          <w:iCs w:val="1"/>
          <w:color w:val="auto"/>
        </w:rPr>
        <w:t xml:space="preserve">Scows. </w:t>
      </w:r>
      <w:r>
        <w:rPr>
          <w:rFonts w:ascii="Arial" w:cs="Arial" w:eastAsia="Arial" w:hAnsi="Arial"/>
          <w:sz w:val="18"/>
          <w:szCs w:val="18"/>
          <w:color w:val="auto"/>
        </w:rPr>
        <w:t>The Company has the largest fleet of material barges in the domestic industry, which provides cost advantages when dredged material is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to be disposed far offshore or when material requires controlled disposal. The Company uses scows with its hydraulic dredges and mechanical dredges. Scows are an efficient and cost effective way to move material and increase dredging production. The Company has twelve scows in its fleet with a capacity ranging from 5,000 to 8,800 cubic yards.</w:t>
      </w:r>
    </w:p>
    <w:p>
      <w:pPr>
        <w:spacing w:after="0" w:line="191" w:lineRule="exact"/>
        <w:rPr>
          <w:sz w:val="20"/>
          <w:szCs w:val="20"/>
          <w:color w:val="auto"/>
        </w:rPr>
      </w:pPr>
    </w:p>
    <w:p>
      <w:pPr>
        <w:ind w:right="280" w:firstLine="518"/>
        <w:spacing w:after="0" w:line="254" w:lineRule="auto"/>
        <w:rPr>
          <w:sz w:val="20"/>
          <w:szCs w:val="20"/>
          <w:color w:val="auto"/>
        </w:rPr>
      </w:pPr>
      <w:r>
        <w:rPr>
          <w:rFonts w:ascii="Arial" w:cs="Arial" w:eastAsia="Arial" w:hAnsi="Arial"/>
          <w:sz w:val="18"/>
          <w:szCs w:val="18"/>
          <w:color w:val="auto"/>
        </w:rPr>
        <w:t>In addition, the Company has numerous pieces of smaller equipment that support its dredging operations. Great Lakes’ domestic dredging fleet is typically positioned on the East and Gulf Coasts, with a smaller number of vessels occasionally positioned on the West Coast, and with many of the rivers &amp; lakes dredges on inland rivers and lakes. The mobility of the fleet enables the Company to move equipment in response to changes in demand. Great Lakes’ fleet also includes vessels currently positioned in the Middle East.</w:t>
      </w:r>
    </w:p>
    <w:p>
      <w:pPr>
        <w:spacing w:after="0" w:line="191"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The Company continually assesses its need to upgrade and expand its dredging fleet to take advantage of improving technology and to address the changing needs of the dredging market. The Company is also committed to preventive maintenance, which it believes is reflected in the long lives of most if its equipment and its low level of unscheduled downtime on jobs. To the extent that market conditions warrant the expenditures, Great Lakes can prolong the useful life of its vessels.</w:t>
      </w:r>
    </w:p>
    <w:p>
      <w:pPr>
        <w:spacing w:after="0" w:line="19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During 2017, management initiated a strategic review to improve the Company's financial results in both domestic and international operations. As a result of this review, management began execution of a plan to retire certain underperforming and underutilized assets. The retirement of these underperforming and underutilized assets is expected to be completed in 2018.</w:t>
      </w:r>
    </w:p>
    <w:p>
      <w:pPr>
        <w:spacing w:after="0" w:line="188" w:lineRule="exact"/>
        <w:rPr>
          <w:sz w:val="20"/>
          <w:szCs w:val="20"/>
          <w:color w:val="auto"/>
        </w:rPr>
      </w:pPr>
    </w:p>
    <w:p>
      <w:pPr>
        <w:ind w:right="40" w:firstLine="518"/>
        <w:spacing w:after="0" w:line="251" w:lineRule="auto"/>
        <w:rPr>
          <w:sz w:val="20"/>
          <w:szCs w:val="20"/>
          <w:color w:val="auto"/>
        </w:rPr>
      </w:pPr>
      <w:r>
        <w:rPr>
          <w:rFonts w:ascii="Arial" w:cs="Arial" w:eastAsia="Arial" w:hAnsi="Arial"/>
          <w:sz w:val="18"/>
          <w:szCs w:val="18"/>
          <w:color w:val="auto"/>
        </w:rPr>
        <w:t>Certification of equipment by the U.S. Coast Guard and establishment of the permissible loading capacity by the American Bureau of Shipping (“A.B.S.”) are important factors in the Company’s dredging business. Many projects, such as coastal protection projects with offshore sand borrow sites and dredging projects in exposed entrance channels or with offshore disposal areas, are restricted by federal regulations to be performed only by dredges or scows that have U.S. Coast Guard certification and a load line established by A.B.S. The certifications indicate that the dredge is structurally capable of operating in open waters. The Company has more certified dredging vessels than any of the Company’s domestic competitors and makes substantial investments to maintain these certifications.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&amp; infrastructure</w:t>
      </w:r>
    </w:p>
    <w:p>
      <w:pPr>
        <w:spacing w:after="0" w:line="113" w:lineRule="exact"/>
        <w:rPr>
          <w:sz w:val="20"/>
          <w:szCs w:val="20"/>
          <w:color w:val="auto"/>
        </w:rPr>
      </w:pPr>
    </w:p>
    <w:p>
      <w:pPr>
        <w:ind w:right="20" w:firstLine="518"/>
        <w:spacing w:after="0" w:line="250" w:lineRule="auto"/>
        <w:rPr>
          <w:sz w:val="20"/>
          <w:szCs w:val="20"/>
          <w:color w:val="auto"/>
        </w:rPr>
      </w:pPr>
      <w:r>
        <w:rPr>
          <w:rFonts w:ascii="Arial" w:cs="Arial" w:eastAsia="Arial" w:hAnsi="Arial"/>
          <w:sz w:val="18"/>
          <w:szCs w:val="18"/>
          <w:color w:val="auto"/>
        </w:rPr>
        <w:t>The environmental &amp; infrastructure segment owns and operates a wide range of specialty equipment commonly used for geotechnical slurry wall construction including long-stick excavators, slurry batch plants, de-sanders, and jet shear mixers as well as a number of mixing augers utilized for in-situ stabilization. The group also owns and operates specialized remediation equipment, including a fleet of tracked excavators, haul trucks, dozers, and other earth moving equipment commonly used for remediation earthwork. Specialty demolition attachments used to support facility remediation includes a limited number of shears, pulverizers, processors, grapples and hydraulic hammers that facilitate processing of construction and demolition debris for recycling, reclamation and disposal. The Company rents additional equipment on a project-by-project basis, which allows the Company flexibility to adjust costs to the level of project activity.</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19"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Seasonality generally does not have a significant impact on the Company’s dredging operations. However, many East Coast coastal protection projects are limited by environmental windows that require work to be performed in winter months to protect wildlife habitats. The Company can mitigate the impact of these environmental restrictions to a certain extent because the Company has the flexibility to reposition its equipment to project sites, if available, that are not limited by these restrictions. In addition, rivers and lakes in the northern U.S. freeze during the winter, significantly reducing the Company’s ability to operate and transport its equipment in the relevant geographies. Fish spawning and flooding can affect dredging operations as well.</w:t>
      </w:r>
    </w:p>
    <w:p>
      <w:pPr>
        <w:spacing w:after="0" w:line="165"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The Company’s environmental &amp; infrastructure segment operates across a national footprint. Similar to the dredging segment, the environmental &amp; infrastructure segment’s projects are impacted by the freezing rivers and lakes in the northern climates during the winter and by the rainy season on the rivers and levees along the West Coast. The Company’s broad spectrum capability and geographical footprint should increasingly allow it to pursue and execute work in the warmer southern climates, eventually diminishing the effects of weather related seasonality.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w:t>
      </w:r>
    </w:p>
    <w:p>
      <w:pPr>
        <w:spacing w:after="0" w:line="119" w:lineRule="exact"/>
        <w:rPr>
          <w:sz w:val="20"/>
          <w:szCs w:val="20"/>
          <w:color w:val="auto"/>
        </w:rPr>
      </w:pPr>
    </w:p>
    <w:p>
      <w:pPr>
        <w:ind w:firstLine="518"/>
        <w:spacing w:after="0" w:line="252" w:lineRule="auto"/>
        <w:rPr>
          <w:sz w:val="20"/>
          <w:szCs w:val="20"/>
          <w:color w:val="auto"/>
        </w:rPr>
      </w:pPr>
      <w:r>
        <w:rPr>
          <w:rFonts w:ascii="Arial" w:cs="Arial" w:eastAsia="Arial" w:hAnsi="Arial"/>
          <w:sz w:val="18"/>
          <w:szCs w:val="18"/>
          <w:color w:val="auto"/>
        </w:rPr>
        <w:t>The Company’s ability to perform its contracts may depend on weather conditions. Inclement or hazardous weather conditions can delay the completion of a project, can result in disruption or early termination of a project, unanticipated recovery costs or liability exposure and additional costs. As part of bidding on fixed price contracts, the Company makes allowances, consistent with historical weather data, for project downtime due to adverse weather conditions. In the event that the Company experiences adverse weather beyond these allowances, a project may require additional days to complete, resulting in additional costs and decreased gross profit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0" w:name="page11"/>
    <w:bookmarkEnd w:id="10"/>
    <w:p>
      <w:pPr>
        <w:ind w:right="200"/>
        <w:spacing w:after="0" w:line="257" w:lineRule="auto"/>
        <w:rPr>
          <w:sz w:val="20"/>
          <w:szCs w:val="20"/>
          <w:color w:val="auto"/>
        </w:rPr>
      </w:pPr>
      <w:r>
        <w:rPr>
          <w:rFonts w:ascii="Arial" w:cs="Arial" w:eastAsia="Arial" w:hAnsi="Arial"/>
          <w:sz w:val="18"/>
          <w:szCs w:val="18"/>
          <w:color w:val="auto"/>
        </w:rPr>
        <w:t>margins. Conversely, favorable weather can accelerate the completion of the project, resulting in cost savings and increased gross profit margins. Typically, Great Lakes is exposed to significant weather in the first and fourth quarters, and certain projects are required to be performed in environmental windows that occur during these periods. See “Business-Seasonality” above.</w:t>
      </w:r>
    </w:p>
    <w:p>
      <w:pPr>
        <w:spacing w:after="0" w:line="188" w:lineRule="exact"/>
        <w:rPr>
          <w:sz w:val="20"/>
          <w:szCs w:val="20"/>
          <w:color w:val="auto"/>
        </w:rPr>
      </w:pPr>
    </w:p>
    <w:p>
      <w:pPr>
        <w:ind w:right="40" w:firstLine="518"/>
        <w:spacing w:after="0" w:line="295" w:lineRule="auto"/>
        <w:rPr>
          <w:sz w:val="20"/>
          <w:szCs w:val="20"/>
          <w:color w:val="auto"/>
        </w:rPr>
      </w:pPr>
      <w:r>
        <w:rPr>
          <w:rFonts w:ascii="Arial" w:cs="Arial" w:eastAsia="Arial" w:hAnsi="Arial"/>
          <w:sz w:val="16"/>
          <w:szCs w:val="16"/>
          <w:color w:val="auto"/>
        </w:rPr>
        <w:t>Weather is difficult to predict and historical records exist for only the last 100-125 years. Changes in weather patterns may cause a deviation from project weather allowances on a more frequent basis and consequently increase or decrease gross profit margin, as applicable, on a project-by-project basis. In a typical year, the Company works on many projects in multiple geographic locations and experiences both positive and negative deviations from project weather allowances. Accordingly, it is unlikely that future climate change will have a material adverse effect on the Company’s results of operations.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19" w:lineRule="exact"/>
        <w:rPr>
          <w:sz w:val="20"/>
          <w:szCs w:val="20"/>
          <w:color w:val="auto"/>
        </w:rPr>
      </w:pPr>
    </w:p>
    <w:p>
      <w:pPr>
        <w:ind w:firstLine="518"/>
        <w:spacing w:after="0" w:line="282" w:lineRule="auto"/>
        <w:rPr>
          <w:sz w:val="20"/>
          <w:szCs w:val="20"/>
          <w:color w:val="auto"/>
        </w:rPr>
      </w:pPr>
      <w:r>
        <w:rPr>
          <w:rFonts w:ascii="Arial" w:cs="Arial" w:eastAsia="Arial" w:hAnsi="Arial"/>
          <w:sz w:val="16"/>
          <w:szCs w:val="16"/>
          <w:color w:val="auto"/>
        </w:rPr>
        <w:t>The Company’s contract backlog represents its estimate of the revenues that will be realized under the portion of the contracts remaining to be performed. For dredging contracts these estimates are based primarily upon the time and costs required to mobilize the necessary assets to and from the project site, the amount and type of material to be dredged and the expected production capabilities of the equipment performing the work. For environmental &amp; infrastructure contracts, these estimates are based on the time and remaining costs required to complete the project, relative to total estimated project costs and project revenues agreed to with the applicable customer. However, these estimates are necessarily subject to variances based upon actual circumstances. Because of these factors, as well as factors affecting the time required to complete each job, backlog is not always indicative of future revenues or profitability. In addition, a significant amount of the Company’s dredging backlog relates to federal government contracts, which can be canceled at any time without penalty, subject to the Company’s right, in some cases, to recover the Company’s actual committed costs and profit on work performed up to the date of cancellation. The Company’s backlog may fluctuate significantly from quarter to quarter based upon the type and size of the projects the Company is awarded from the bid market. A quarterly increase or decrease of the Company’s backlog does not necessarily result in an improvement or a deterioration of the Company’s business. The Company’s backlog includes only those projects for which the Company has obtained a signed contract with the customer. The components of the Company’s backlog including dollar amount and other related information are addressed in more detail in Item 7. “Management’s Discussion and Analysis of Financial Condition and Results of Operations—Bidding Activity and Backlog.”</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Dredging</w:t>
      </w:r>
    </w:p>
    <w:p>
      <w:pPr>
        <w:spacing w:after="0" w:line="113" w:lineRule="exact"/>
        <w:rPr>
          <w:sz w:val="20"/>
          <w:szCs w:val="20"/>
          <w:color w:val="auto"/>
        </w:rPr>
      </w:pPr>
    </w:p>
    <w:p>
      <w:pPr>
        <w:ind w:right="120" w:firstLine="518"/>
        <w:spacing w:after="0" w:line="304" w:lineRule="auto"/>
        <w:rPr>
          <w:sz w:val="20"/>
          <w:szCs w:val="20"/>
          <w:color w:val="auto"/>
        </w:rPr>
      </w:pPr>
      <w:r>
        <w:rPr>
          <w:rFonts w:ascii="Arial" w:cs="Arial" w:eastAsia="Arial" w:hAnsi="Arial"/>
          <w:sz w:val="16"/>
          <w:szCs w:val="16"/>
          <w:color w:val="auto"/>
        </w:rPr>
        <w:t>At December 31, 2017, the Company employed 380 full-time salaried personnel in the U.S., including those in a corporate function. In addition, the Company employs U.S. hourly personnel, most of whom are unionized, on a project-by-project basis. Crews are generally available for hire on relatively short notice. During 2017, the Company employed an average of approximately 650 hourly personnel to meet domestic project requirements.</w:t>
      </w:r>
    </w:p>
    <w:p>
      <w:pPr>
        <w:spacing w:after="0" w:line="154" w:lineRule="exact"/>
        <w:rPr>
          <w:sz w:val="20"/>
          <w:szCs w:val="20"/>
          <w:color w:val="auto"/>
        </w:rPr>
      </w:pPr>
    </w:p>
    <w:p>
      <w:pPr>
        <w:ind w:right="680" w:firstLine="518"/>
        <w:spacing w:after="0" w:line="331" w:lineRule="auto"/>
        <w:rPr>
          <w:sz w:val="20"/>
          <w:szCs w:val="20"/>
          <w:color w:val="auto"/>
        </w:rPr>
      </w:pPr>
      <w:r>
        <w:rPr>
          <w:rFonts w:ascii="Arial" w:cs="Arial" w:eastAsia="Arial" w:hAnsi="Arial"/>
          <w:sz w:val="16"/>
          <w:szCs w:val="16"/>
          <w:color w:val="auto"/>
        </w:rPr>
        <w:t>At December 31, 2017, the Company employed 10 expatriates, 37 foreign nationals and 50 local staff to manage and administer its Middle East operations. During 2017, the Company also employed a daily average of 104 hourly personnel to meet project requirements in the Middle East.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&amp; infrastructure</w:t>
      </w:r>
    </w:p>
    <w:p>
      <w:pPr>
        <w:spacing w:after="0" w:line="113"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At December 31, 2017, the environmental &amp; infrastructure segment employed 95 full-time salaried administrative employees, in addition to an average of approximately 100 hourly employees, some of whom are unionized. The hourly employees are hired on a project-by-project basis and are generally available for hire on relatively short notice.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w:t>
      </w:r>
    </w:p>
    <w:p>
      <w:pPr>
        <w:spacing w:after="0" w:line="119" w:lineRule="exact"/>
        <w:rPr>
          <w:sz w:val="20"/>
          <w:szCs w:val="20"/>
          <w:color w:val="auto"/>
        </w:rPr>
      </w:pPr>
    </w:p>
    <w:p>
      <w:pPr>
        <w:ind w:right="60" w:firstLine="518"/>
        <w:spacing w:after="0" w:line="252" w:lineRule="auto"/>
        <w:rPr>
          <w:sz w:val="20"/>
          <w:szCs w:val="20"/>
          <w:color w:val="auto"/>
        </w:rPr>
      </w:pPr>
      <w:r>
        <w:rPr>
          <w:rFonts w:ascii="Arial" w:cs="Arial" w:eastAsia="Arial" w:hAnsi="Arial"/>
          <w:sz w:val="18"/>
          <w:szCs w:val="18"/>
          <w:color w:val="auto"/>
        </w:rPr>
        <w:t>Safety of its employees is one of the Company’s core values. The Company employs behavioral and system based programs, with both the dredging and the environmental &amp; infrastructure segments utilizing an Incident &amp; Injury Free® (IIF) approach. The Company’s safety culture is committed to training, behavioral based awareness and mutual responsibility for the wellbeing of its employees. The Company’s goal is sustainable safety excellence. Incident prevention in all areas have top priority in the Company’s business planning, in the overall conduct of its business, and in the operation and maintenance of our equipment (marine and land) and facilities.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Unions</w:t>
      </w:r>
    </w:p>
    <w:p>
      <w:pPr>
        <w:spacing w:after="0" w:line="119" w:lineRule="exact"/>
        <w:rPr>
          <w:sz w:val="20"/>
          <w:szCs w:val="20"/>
          <w:color w:val="auto"/>
        </w:rPr>
      </w:pPr>
    </w:p>
    <w:p>
      <w:pPr>
        <w:ind w:right="400" w:firstLine="518"/>
        <w:spacing w:after="0" w:line="267" w:lineRule="auto"/>
        <w:rPr>
          <w:sz w:val="20"/>
          <w:szCs w:val="20"/>
          <w:color w:val="auto"/>
        </w:rPr>
      </w:pPr>
      <w:r>
        <w:rPr>
          <w:rFonts w:ascii="Arial" w:cs="Arial" w:eastAsia="Arial" w:hAnsi="Arial"/>
          <w:sz w:val="18"/>
          <w:szCs w:val="18"/>
          <w:color w:val="auto"/>
        </w:rPr>
        <w:t>The Company is a party to numerous collective bargaining agreements in the U.S. that govern its relationships with its unionized hourly workforce. However, two unions represent a large majority of our dredging employees - the International Union of</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1" w:name="page12"/>
    <w:bookmarkEnd w:id="11"/>
    <w:p>
      <w:pPr>
        <w:ind w:right="100"/>
        <w:spacing w:after="0" w:line="254" w:lineRule="auto"/>
        <w:rPr>
          <w:sz w:val="20"/>
          <w:szCs w:val="20"/>
          <w:color w:val="auto"/>
        </w:rPr>
      </w:pPr>
      <w:r>
        <w:rPr>
          <w:rFonts w:ascii="Arial" w:cs="Arial" w:eastAsia="Arial" w:hAnsi="Arial"/>
          <w:sz w:val="18"/>
          <w:szCs w:val="18"/>
          <w:color w:val="auto"/>
        </w:rPr>
        <w:t>Operating Engineers (“IUOE”), Local 25 and the Seafarers International Union. The Company’s contracts with IUOE, Local 25 expire in September 2018. Our agreements with Seafarers International Union expire in February 2023. The Company has not experienced any major labor disputes in the past five years and believes it has good relationships with the unions that represent a significant number of its hourly employees; however, there can be no assurances that the Company will not experience labor strikes or disturbances in the future.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119" w:lineRule="exact"/>
        <w:rPr>
          <w:sz w:val="20"/>
          <w:szCs w:val="20"/>
          <w:color w:val="auto"/>
        </w:rPr>
      </w:pPr>
    </w:p>
    <w:p>
      <w:pPr>
        <w:ind w:right="220" w:firstLine="518"/>
        <w:spacing w:after="0" w:line="270" w:lineRule="auto"/>
        <w:rPr>
          <w:sz w:val="20"/>
          <w:szCs w:val="20"/>
          <w:color w:val="auto"/>
        </w:rPr>
      </w:pPr>
      <w:r>
        <w:rPr>
          <w:rFonts w:ascii="Arial" w:cs="Arial" w:eastAsia="Arial" w:hAnsi="Arial"/>
          <w:sz w:val="17"/>
          <w:szCs w:val="17"/>
          <w:color w:val="auto"/>
        </w:rPr>
        <w:t>The Company is subject to government regulations pursuant to the Dredging Act, the Jones Act, the Shipping Act, 1916, or “Shipping Act,” and the vessel documentation laws set forth in Chapter 121 of Title 46 of the United States Code. These statutes require vessels engaged in dredging in the navigable waters of the United States to be documented with a coastwise endorsement, to be owned and controlled by U.S. citizens, to be manned by U.S. crews, and to be built in the United States. The U.S. citizen ownership and control standards require the vessel-owning entity to be at least 75% U.S. citizen owned and prohibit the chartering of the vessel to any entity that does not meet the 75% U.S. citizen ownership test.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19" w:lineRule="exact"/>
        <w:rPr>
          <w:sz w:val="20"/>
          <w:szCs w:val="20"/>
          <w:color w:val="auto"/>
        </w:rPr>
      </w:pPr>
    </w:p>
    <w:p>
      <w:pPr>
        <w:ind w:right="80" w:firstLine="518"/>
        <w:spacing w:after="0" w:line="269" w:lineRule="auto"/>
        <w:rPr>
          <w:sz w:val="20"/>
          <w:szCs w:val="20"/>
          <w:color w:val="auto"/>
        </w:rPr>
      </w:pPr>
      <w:r>
        <w:rPr>
          <w:rFonts w:ascii="Arial" w:cs="Arial" w:eastAsia="Arial" w:hAnsi="Arial"/>
          <w:sz w:val="17"/>
          <w:szCs w:val="17"/>
          <w:color w:val="auto"/>
        </w:rPr>
        <w:t>The Company’s operations, facilities and vessels are subject to various environmental laws and regulations related to, among other things: dredging operations; the disposal of dredged material; protection of wetlands; storm water and waste water discharges; demolition activities; asbestos removal; transportation and disposal of wastes and materials; air emissions; and remediation of contaminated soil, sediments, surface water and groundwater. The Company is also subject to laws designed to protect certain marine species and habitats. Compliance with these statutes and regulations can delay appropriation and/or performance of particular projects and increase related project costs. Non-compliance can also result in fines, penalties and claims by third parties seeking damages for alleged personal injury, as well as damages to property and natural resources.</w:t>
      </w:r>
    </w:p>
    <w:p>
      <w:pPr>
        <w:spacing w:after="0" w:line="179" w:lineRule="exact"/>
        <w:rPr>
          <w:sz w:val="20"/>
          <w:szCs w:val="20"/>
          <w:color w:val="auto"/>
        </w:rPr>
      </w:pPr>
    </w:p>
    <w:p>
      <w:pPr>
        <w:ind w:right="120" w:firstLine="518"/>
        <w:spacing w:after="0" w:line="269" w:lineRule="auto"/>
        <w:rPr>
          <w:sz w:val="20"/>
          <w:szCs w:val="20"/>
          <w:color w:val="auto"/>
        </w:rPr>
      </w:pPr>
      <w:r>
        <w:rPr>
          <w:rFonts w:ascii="Arial" w:cs="Arial" w:eastAsia="Arial" w:hAnsi="Arial"/>
          <w:sz w:val="17"/>
          <w:szCs w:val="17"/>
          <w:color w:val="auto"/>
        </w:rPr>
        <w:t>Certain environmental laws such as the U.S. Comprehensive Environmental Response, Compensation and Liability Act of 1980, and the Oil Pollution Act of 1990 impose strict and, under some circumstances joint and several, liability on owners and operators of facilities and vessels for investigation and remediation of releases and discharges of regulated materials, and also impose liability for related damages to natural resources. The Company’s past and ongoing operations involve the use, and from time to time the release or discharge, of regulated materials which could result in liability under these and other environmental laws. The Company has remediated known releases and discharges as deemed necessary, but there can be no guarantee that additional costs will not be incurred if, for example, third party claims arise or new conditions are discovered.</w:t>
      </w:r>
    </w:p>
    <w:p>
      <w:pPr>
        <w:spacing w:after="0" w:line="179" w:lineRule="exact"/>
        <w:rPr>
          <w:sz w:val="20"/>
          <w:szCs w:val="20"/>
          <w:color w:val="auto"/>
        </w:rPr>
      </w:pPr>
    </w:p>
    <w:p>
      <w:pPr>
        <w:ind w:right="180" w:firstLine="518"/>
        <w:spacing w:after="0" w:line="252" w:lineRule="auto"/>
        <w:rPr>
          <w:sz w:val="20"/>
          <w:szCs w:val="20"/>
          <w:color w:val="auto"/>
        </w:rPr>
      </w:pPr>
      <w:r>
        <w:rPr>
          <w:rFonts w:ascii="Arial" w:cs="Arial" w:eastAsia="Arial" w:hAnsi="Arial"/>
          <w:sz w:val="18"/>
          <w:szCs w:val="18"/>
          <w:color w:val="auto"/>
        </w:rPr>
        <w:t>The Company’s projects may involve remediation, demolition, excavation, transportation, management and disposal of hazardous waste and other regulated materials. Various laws strictly regulate the removal, treatment and transportation of hazardous water and other regulated materials and impose liability for human health effects and environmental contamination caused by these materials. The Company takes steps to limit its potential liability by hiring qualified subcontractors from time to time to remove such materials from our projects, and some project contracts require the client to retain liability for hazardous waste generation.</w:t>
      </w:r>
    </w:p>
    <w:p>
      <w:pPr>
        <w:spacing w:after="0" w:line="193" w:lineRule="exact"/>
        <w:rPr>
          <w:sz w:val="20"/>
          <w:szCs w:val="20"/>
          <w:color w:val="auto"/>
        </w:rPr>
      </w:pPr>
    </w:p>
    <w:p>
      <w:pPr>
        <w:ind w:right="200" w:firstLine="518"/>
        <w:spacing w:after="0" w:line="251" w:lineRule="auto"/>
        <w:rPr>
          <w:sz w:val="20"/>
          <w:szCs w:val="20"/>
          <w:color w:val="auto"/>
        </w:rPr>
      </w:pPr>
      <w:r>
        <w:rPr>
          <w:rFonts w:ascii="Arial" w:cs="Arial" w:eastAsia="Arial" w:hAnsi="Arial"/>
          <w:sz w:val="18"/>
          <w:szCs w:val="18"/>
          <w:color w:val="auto"/>
        </w:rPr>
        <w:t>Based on the Company’s experience and available information, the Company believes that the future cost of compliance with existing environmental laws and regulations (and liability for known environmental conditions) will not have a material adverse effect on the Company’s business, financial position, results of operations or cash flows. However, the Company cannot predict what environmental legislation or regulations will be enacted in the future, how existing or future laws or regulations will be enforced, administered or interpreted, or the amount of future expenditures that may be required to comply with these environmental or health and safety laws or regulations or to respond to newly discovered conditions, such as future cleanup matters or other environmental claims.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names and ages of all of the Company’s executive officers and the positions and offices presently held by them.</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360" w:type="dxa"/>
            <w:vAlign w:val="bottom"/>
          </w:tcPr>
          <w:p>
            <w:pPr>
              <w:spacing w:after="0"/>
              <w:rPr>
                <w:sz w:val="20"/>
                <w:szCs w:val="20"/>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420" w:type="dxa"/>
            <w:vAlign w:val="bottom"/>
          </w:tcPr>
          <w:p>
            <w:pPr>
              <w:spacing w:after="0"/>
              <w:rPr>
                <w:sz w:val="20"/>
                <w:szCs w:val="20"/>
                <w:color w:val="auto"/>
              </w:rPr>
            </w:pPr>
          </w:p>
        </w:tc>
        <w:tc>
          <w:tcPr>
            <w:tcW w:w="7200" w:type="dxa"/>
            <w:vAlign w:val="bottom"/>
            <w:tcBorders>
              <w:bottom w:val="single" w:sz="8" w:color="auto"/>
            </w:tcBorders>
          </w:tcPr>
          <w:p>
            <w:pPr>
              <w:jc w:val="right"/>
              <w:ind w:right="3211"/>
              <w:spacing w:after="0"/>
              <w:rPr>
                <w:sz w:val="20"/>
                <w:szCs w:val="20"/>
                <w:color w:val="auto"/>
              </w:rPr>
            </w:pPr>
            <w:r>
              <w:rPr>
                <w:rFonts w:ascii="Arial" w:cs="Arial" w:eastAsia="Arial" w:hAnsi="Arial"/>
                <w:sz w:val="18"/>
                <w:szCs w:val="18"/>
                <w:b w:val="1"/>
                <w:bCs w:val="1"/>
                <w:color w:val="auto"/>
              </w:rPr>
              <w:t>Position</w:t>
            </w:r>
          </w:p>
        </w:tc>
        <w:tc>
          <w:tcPr>
            <w:tcW w:w="20" w:type="dxa"/>
            <w:vAlign w:val="bottom"/>
          </w:tcPr>
          <w:p>
            <w:pPr>
              <w:spacing w:after="0"/>
              <w:rPr>
                <w:sz w:val="20"/>
                <w:szCs w:val="20"/>
                <w:color w:val="auto"/>
              </w:rPr>
            </w:pPr>
          </w:p>
        </w:tc>
      </w:tr>
      <w:tr>
        <w:trPr>
          <w:trHeight w:val="220"/>
        </w:trPr>
        <w:tc>
          <w:tcPr>
            <w:tcW w:w="3200" w:type="dxa"/>
            <w:vAlign w:val="bottom"/>
            <w:gridSpan w:val="2"/>
          </w:tcPr>
          <w:p>
            <w:pPr>
              <w:spacing w:after="0"/>
              <w:rPr>
                <w:sz w:val="20"/>
                <w:szCs w:val="20"/>
                <w:color w:val="auto"/>
              </w:rPr>
            </w:pPr>
            <w:r>
              <w:rPr>
                <w:rFonts w:ascii="Arial" w:cs="Arial" w:eastAsia="Arial" w:hAnsi="Arial"/>
                <w:sz w:val="18"/>
                <w:szCs w:val="18"/>
                <w:color w:val="auto"/>
              </w:rPr>
              <w:t>Lasse J. Petterson</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7620" w:type="dxa"/>
            <w:vAlign w:val="bottom"/>
            <w:gridSpan w:val="2"/>
          </w:tcPr>
          <w:p>
            <w:pPr>
              <w:ind w:left="420"/>
              <w:spacing w:after="0"/>
              <w:rPr>
                <w:sz w:val="20"/>
                <w:szCs w:val="20"/>
                <w:color w:val="auto"/>
              </w:rPr>
            </w:pPr>
            <w:r>
              <w:rPr>
                <w:rFonts w:ascii="Arial" w:cs="Arial" w:eastAsia="Arial" w:hAnsi="Arial"/>
                <w:sz w:val="18"/>
                <w:szCs w:val="18"/>
                <w:color w:val="auto"/>
              </w:rPr>
              <w:t>Chief Executive Officer and Director</w:t>
            </w:r>
          </w:p>
        </w:tc>
        <w:tc>
          <w:tcPr>
            <w:tcW w:w="20" w:type="dxa"/>
            <w:vAlign w:val="bottom"/>
          </w:tcPr>
          <w:p>
            <w:pPr>
              <w:spacing w:after="0"/>
              <w:rPr>
                <w:sz w:val="19"/>
                <w:szCs w:val="19"/>
                <w:color w:val="auto"/>
              </w:rPr>
            </w:pPr>
          </w:p>
        </w:tc>
      </w:tr>
      <w:tr>
        <w:trPr>
          <w:trHeight w:val="227"/>
        </w:trPr>
        <w:tc>
          <w:tcPr>
            <w:tcW w:w="3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Mark W. Marinko</w:t>
            </w:r>
          </w:p>
        </w:tc>
        <w:tc>
          <w:tcPr>
            <w:tcW w:w="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56</w:t>
            </w:r>
          </w:p>
        </w:tc>
        <w:tc>
          <w:tcPr>
            <w:tcW w:w="762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Chief Financial Officer and Senior Vice President</w:t>
            </w:r>
          </w:p>
        </w:tc>
        <w:tc>
          <w:tcPr>
            <w:tcW w:w="20" w:type="dxa"/>
            <w:vAlign w:val="bottom"/>
          </w:tcPr>
          <w:p>
            <w:pPr>
              <w:spacing w:after="0"/>
              <w:rPr>
                <w:sz w:val="19"/>
                <w:szCs w:val="19"/>
                <w:color w:val="auto"/>
              </w:rPr>
            </w:pPr>
          </w:p>
        </w:tc>
      </w:tr>
      <w:tr>
        <w:trPr>
          <w:trHeight w:val="226"/>
        </w:trPr>
        <w:tc>
          <w:tcPr>
            <w:tcW w:w="3200" w:type="dxa"/>
            <w:vAlign w:val="bottom"/>
            <w:gridSpan w:val="2"/>
          </w:tcPr>
          <w:p>
            <w:pPr>
              <w:spacing w:after="0"/>
              <w:rPr>
                <w:sz w:val="20"/>
                <w:szCs w:val="20"/>
                <w:color w:val="auto"/>
              </w:rPr>
            </w:pPr>
            <w:r>
              <w:rPr>
                <w:rFonts w:ascii="Arial" w:cs="Arial" w:eastAsia="Arial" w:hAnsi="Arial"/>
                <w:sz w:val="18"/>
                <w:szCs w:val="18"/>
                <w:color w:val="auto"/>
              </w:rPr>
              <w:t>David E. Simonelli</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7620" w:type="dxa"/>
            <w:vAlign w:val="bottom"/>
            <w:gridSpan w:val="2"/>
          </w:tcPr>
          <w:p>
            <w:pPr>
              <w:ind w:left="420"/>
              <w:spacing w:after="0"/>
              <w:rPr>
                <w:sz w:val="20"/>
                <w:szCs w:val="20"/>
                <w:color w:val="auto"/>
              </w:rPr>
            </w:pPr>
            <w:r>
              <w:rPr>
                <w:rFonts w:ascii="Arial" w:cs="Arial" w:eastAsia="Arial" w:hAnsi="Arial"/>
                <w:sz w:val="18"/>
                <w:szCs w:val="18"/>
                <w:color w:val="auto"/>
              </w:rPr>
              <w:t>President—Dredging Division</w:t>
            </w:r>
          </w:p>
        </w:tc>
        <w:tc>
          <w:tcPr>
            <w:tcW w:w="20" w:type="dxa"/>
            <w:vAlign w:val="bottom"/>
          </w:tcPr>
          <w:p>
            <w:pPr>
              <w:spacing w:after="0"/>
              <w:rPr>
                <w:sz w:val="19"/>
                <w:szCs w:val="19"/>
                <w:color w:val="auto"/>
              </w:rPr>
            </w:pPr>
          </w:p>
        </w:tc>
      </w:tr>
      <w:tr>
        <w:trPr>
          <w:trHeight w:val="227"/>
        </w:trPr>
        <w:tc>
          <w:tcPr>
            <w:tcW w:w="3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Christopher P. Shea</w:t>
            </w:r>
          </w:p>
        </w:tc>
        <w:tc>
          <w:tcPr>
            <w:tcW w:w="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55</w:t>
            </w:r>
          </w:p>
        </w:tc>
        <w:tc>
          <w:tcPr>
            <w:tcW w:w="762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President—Environmental &amp; Infrastructure Division</w:t>
            </w:r>
          </w:p>
        </w:tc>
        <w:tc>
          <w:tcPr>
            <w:tcW w:w="20" w:type="dxa"/>
            <w:vAlign w:val="bottom"/>
          </w:tcPr>
          <w:p>
            <w:pPr>
              <w:spacing w:after="0"/>
              <w:rPr>
                <w:sz w:val="19"/>
                <w:szCs w:val="19"/>
                <w:color w:val="auto"/>
              </w:rPr>
            </w:pPr>
          </w:p>
        </w:tc>
      </w:tr>
      <w:tr>
        <w:trPr>
          <w:trHeight w:val="225"/>
        </w:trPr>
        <w:tc>
          <w:tcPr>
            <w:tcW w:w="3200" w:type="dxa"/>
            <w:vAlign w:val="bottom"/>
            <w:gridSpan w:val="2"/>
          </w:tcPr>
          <w:p>
            <w:pPr>
              <w:spacing w:after="0"/>
              <w:rPr>
                <w:sz w:val="20"/>
                <w:szCs w:val="20"/>
                <w:color w:val="auto"/>
              </w:rPr>
            </w:pPr>
            <w:r>
              <w:rPr>
                <w:rFonts w:ascii="Arial" w:cs="Arial" w:eastAsia="Arial" w:hAnsi="Arial"/>
                <w:sz w:val="18"/>
                <w:szCs w:val="18"/>
                <w:color w:val="auto"/>
              </w:rPr>
              <w:t>Kathleen M. LaVoy</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7620" w:type="dxa"/>
            <w:vAlign w:val="bottom"/>
            <w:gridSpan w:val="2"/>
          </w:tcPr>
          <w:p>
            <w:pPr>
              <w:ind w:left="420"/>
              <w:spacing w:after="0"/>
              <w:rPr>
                <w:sz w:val="20"/>
                <w:szCs w:val="20"/>
                <w:color w:val="auto"/>
              </w:rPr>
            </w:pPr>
            <w:r>
              <w:rPr>
                <w:rFonts w:ascii="Arial" w:cs="Arial" w:eastAsia="Arial" w:hAnsi="Arial"/>
                <w:sz w:val="18"/>
                <w:szCs w:val="18"/>
                <w:color w:val="auto"/>
              </w:rPr>
              <w:t>Senior Vice President, Chief Legal Officer and Corporate Secretary</w:t>
            </w:r>
          </w:p>
        </w:tc>
        <w:tc>
          <w:tcPr>
            <w:tcW w:w="20" w:type="dxa"/>
            <w:vAlign w:val="bottom"/>
          </w:tcPr>
          <w:p>
            <w:pPr>
              <w:spacing w:after="0"/>
              <w:rPr>
                <w:sz w:val="19"/>
                <w:szCs w:val="19"/>
                <w:color w:val="auto"/>
              </w:rPr>
            </w:pPr>
          </w:p>
        </w:tc>
      </w:tr>
      <w:tr>
        <w:trPr>
          <w:trHeight w:val="427"/>
        </w:trPr>
        <w:tc>
          <w:tcPr>
            <w:tcW w:w="2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20" w:type="dxa"/>
            <w:vAlign w:val="bottom"/>
            <w:gridSpan w:val="2"/>
          </w:tcPr>
          <w:p>
            <w:pPr>
              <w:jc w:val="right"/>
              <w:ind w:right="5531"/>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4"/>
                <w:szCs w:val="24"/>
                <w:color w:val="auto"/>
              </w:rPr>
            </w:pPr>
          </w:p>
        </w:tc>
      </w:tr>
      <w:tr>
        <w:trPr>
          <w:trHeight w:val="115"/>
        </w:trPr>
        <w:tc>
          <w:tcPr>
            <w:tcW w:w="28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7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234" w:right="21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Lasse J. Petterson, Chief Executive Officer and Director</w:t>
      </w:r>
    </w:p>
    <w:p>
      <w:pPr>
        <w:spacing w:after="0" w:line="113"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Mr. Petterson has served as Chief Executive Officer (“CEO”) since May 2017. Mr. Petterson most recently has served as a private consultant to clients in the Oil &amp; Gas sector and served as Chief Operating Officer (“COO”) and Executive Vice President at Chicago Bridge and Iron (“CB&amp;I”) from 2009 to 2013. Reporting directly to the CEO, he was responsible for all of CB&amp;I’s engineering, procurement and construction project operations and sales. Prior to CB&amp;I, Mr. Petterson was CEO of Gearbulk, Ltd., a privately held company that owns and operates one of the largest fleets of gantry craned open hatch bulk vessels in the world. He was also President and COO of AMEC Inc. Americas, a subsidiary of AMEC plc, a British multinational consulting, engineering and project management company. Prior to joining AMEC, Mr. Petterson served in various executive and operational positions for Aker Maritime, Inc., the deepwater division of Aker Maritime ASA of Norway over the course of 20 years. He spent the first nine years of his career in various positions at Norwegian Contractors, an offshore oil &amp; gas platform contractor. Mr. Petterson holds both master’s and bachelor’s degrees from the Norwegian University of Technology.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 W. Marinko, Chief Financial Officer and Senior Vice President</w:t>
      </w:r>
    </w:p>
    <w:p>
      <w:pPr>
        <w:spacing w:after="0" w:line="113"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Mr. Marinko has served as Senior Vice President and Chief Financial Officer since June 2014. Mr. Marinko was most recently President of the Consumer Services division at TransUnion leading the direct to consumer and business market, customer service, consumer compliance and marketing for the credit information company. Prior to his position as President, Mr. Marinko has been in increasing accounting and financial roles as Controller and Vice President of Finance at TransUnion since 1996. Prior to TransUnion, Mr. Marinko served as controller of Official Airline Guides. In his over 30 years of professional experience, Mr. Marinko has held roles specializing in accounting, finance, sales, systems and business operations. Mr. Marinko earned a Bachelor of Arts degree in Accounting and Business Administration from Augustana College.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David E. Simonelli, President—Dredging Division</w:t>
      </w:r>
    </w:p>
    <w:p>
      <w:pPr>
        <w:spacing w:after="0" w:line="113" w:lineRule="exact"/>
        <w:rPr>
          <w:sz w:val="20"/>
          <w:szCs w:val="20"/>
          <w:color w:val="auto"/>
        </w:rPr>
      </w:pPr>
    </w:p>
    <w:p>
      <w:pPr>
        <w:ind w:right="340" w:firstLine="518"/>
        <w:spacing w:after="0" w:line="251" w:lineRule="auto"/>
        <w:rPr>
          <w:sz w:val="20"/>
          <w:szCs w:val="20"/>
          <w:color w:val="auto"/>
        </w:rPr>
      </w:pPr>
      <w:r>
        <w:rPr>
          <w:rFonts w:ascii="Arial" w:cs="Arial" w:eastAsia="Arial" w:hAnsi="Arial"/>
          <w:sz w:val="18"/>
          <w:szCs w:val="18"/>
          <w:color w:val="auto"/>
        </w:rPr>
        <w:t>Mr. Simonelli was named President—Dredging Division in April 2010. Mr. Simonelli has overall responsibility for the Dredging Division which includes safety, estimating, engineering, domestic and international operations and plant and equipment. He was named a Vice President of the Company in 2002 and Special Projects Manager in 1996. He joined the Company in 1978 as a Civil Engineer and has since held positions of increasing responsibility in domestic and international operations and project management. Mr. Simonelli earned a Bachelor of Science degree in Civil and Environmental Engineering from the University of Rhode Island. He is a member of the Hydrographic Society, the American Society of Civil Engineers and the Western Dredging Association.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Christopher P. Shea, President—Environmental &amp; Infrastructure Division</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Mr. Shea was named President—Environmental &amp; Infrastructure Division in November 2015. Mr. Shea has overall responsibility for the Environmental</w:t>
      </w:r>
    </w:p>
    <w:p>
      <w:pPr>
        <w:spacing w:after="0" w:line="40" w:lineRule="exact"/>
        <w:rPr>
          <w:sz w:val="20"/>
          <w:szCs w:val="20"/>
          <w:color w:val="auto"/>
        </w:rPr>
      </w:pPr>
    </w:p>
    <w:p>
      <w:pPr>
        <w:ind w:left="180" w:hanging="173"/>
        <w:spacing w:after="0"/>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Infrastructure Division. He has over 25 years of experience in global engineering, environmental services and construction management services. Prior to</w:t>
      </w:r>
    </w:p>
    <w:p>
      <w:pPr>
        <w:spacing w:after="0" w:line="29" w:lineRule="exact"/>
        <w:rPr>
          <w:rFonts w:ascii="Arial" w:cs="Arial" w:eastAsia="Arial" w:hAnsi="Arial"/>
          <w:sz w:val="16"/>
          <w:szCs w:val="16"/>
          <w:color w:val="auto"/>
        </w:rPr>
      </w:pPr>
    </w:p>
    <w:p>
      <w:pPr>
        <w:ind w:right="40"/>
        <w:spacing w:after="0" w:line="249" w:lineRule="auto"/>
        <w:rPr>
          <w:rFonts w:ascii="Arial" w:cs="Arial" w:eastAsia="Arial" w:hAnsi="Arial"/>
          <w:sz w:val="16"/>
          <w:szCs w:val="16"/>
          <w:color w:val="auto"/>
        </w:rPr>
      </w:pPr>
      <w:r>
        <w:rPr>
          <w:rFonts w:ascii="Arial" w:cs="Arial" w:eastAsia="Arial" w:hAnsi="Arial"/>
          <w:sz w:val="18"/>
          <w:szCs w:val="18"/>
          <w:color w:val="auto"/>
        </w:rPr>
        <w:t>joining Great Lakes, Mr. Shea was at CH2M Hill, Inc., a global environmental and engineering consulting services firm, where he was most recently President of the Environmental and Nuclear Business Group. Prior to his nine year tenure at CH2M Hill, Mr. Shea was employed by Envirocon, Inc. as Senior Vice President of Business Development and Strategic Planning. Mr. Shea started his career at Waste Management (formerly Chemical Waste Management) in 1986. He received a BS in Chemistry from the University of Arizona.</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Kathleen M. LaVoy, Senior Vice President, Chief Legal Officer and Corporate Secretary</w:t>
      </w:r>
    </w:p>
    <w:p>
      <w:pPr>
        <w:spacing w:after="0" w:line="113"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Ms. LaVoy was appointed Senior Vice President, Chief Legal Officer and Corporate Secretary in January 2018. Previously, Ms. LaVoy served as our Interim Chief Legal Officer and Corporate Secretary since November 2015. Ms. LaVoy was appointed Vice President and General Counsel, Dredging Operations in July 2012. She joined the Company in 2007 as Assistant General Counsel. Ms. LaVoy received her J.D. cum laude from Northwestern University School of Law and was an associate in the litigation department of the Chicago law firm Winston &amp; Strawn LLP following graduation. Ms. LaVoy earned a Bachelor of Science degree with distinction in Business Administration from the University of North Carolina – Chapel Hill.</w:t>
      </w:r>
    </w:p>
    <w:p>
      <w:pPr>
        <w:spacing w:after="0" w:line="26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119" w:lineRule="exact"/>
        <w:rPr>
          <w:sz w:val="20"/>
          <w:szCs w:val="20"/>
          <w:color w:val="auto"/>
        </w:rPr>
      </w:pPr>
    </w:p>
    <w:p>
      <w:pPr>
        <w:ind w:right="100" w:firstLine="518"/>
        <w:spacing w:after="0" w:line="252" w:lineRule="auto"/>
        <w:rPr>
          <w:sz w:val="20"/>
          <w:szCs w:val="20"/>
          <w:color w:val="auto"/>
        </w:rPr>
      </w:pPr>
      <w:r>
        <w:rPr>
          <w:rFonts w:ascii="Arial" w:cs="Arial" w:eastAsia="Arial" w:hAnsi="Arial"/>
          <w:sz w:val="18"/>
          <w:szCs w:val="18"/>
          <w:color w:val="auto"/>
        </w:rPr>
        <w:t>The following risk factors address the material risks and uncertainties concerning our business. You should carefully consider the following risks and other information contained or incorporated by reference into this Annual Report on Form 10-K when evaluating our business and financial condition and an investment in our common stock. Should any of the following risks or uncertainties develop into actual events, such developments could have material adverse effects on our business, financial condition, cash flows or results of operations. We have grouped our Risk Factors under captions that we believe describe various categories of</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color w:val="auto"/>
        </w:rPr>
        <w:t>potential risk. For the reader’s convenience, we have not duplicated risk factors that could be considered to be included in more than one category.</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w:t>
      </w:r>
    </w:p>
    <w:p>
      <w:pPr>
        <w:spacing w:after="0" w:line="226"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b w:val="1"/>
          <w:bCs w:val="1"/>
          <w:i w:val="1"/>
          <w:iCs w:val="1"/>
          <w:color w:val="auto"/>
        </w:rPr>
        <w:t>We depend on our ability to continue to obtain federal government dredging and other contracts, and are therefore impacted by the amount of government funding for dredging and other projects. A reduction in government funding for dredging or other contracts, or government cancellation of such contracts, could materially adversely affect our business operations, revenues and profits.</w:t>
      </w:r>
    </w:p>
    <w:p>
      <w:pPr>
        <w:spacing w:after="0" w:line="82" w:lineRule="exact"/>
        <w:rPr>
          <w:sz w:val="20"/>
          <w:szCs w:val="20"/>
          <w:color w:val="auto"/>
        </w:rPr>
      </w:pPr>
    </w:p>
    <w:p>
      <w:pPr>
        <w:ind w:right="360" w:firstLine="518"/>
        <w:spacing w:after="0" w:line="257" w:lineRule="auto"/>
        <w:rPr>
          <w:sz w:val="20"/>
          <w:szCs w:val="20"/>
          <w:color w:val="auto"/>
        </w:rPr>
      </w:pPr>
      <w:r>
        <w:rPr>
          <w:rFonts w:ascii="Arial" w:cs="Arial" w:eastAsia="Arial" w:hAnsi="Arial"/>
          <w:sz w:val="18"/>
          <w:szCs w:val="18"/>
          <w:color w:val="auto"/>
        </w:rPr>
        <w:t>A substantial portion of our revenue is derived from federal government contracts, particularly dredging contracts. Revenues related to dredging contracts with federal agencies or companies operating under contracts with federal agencies and the percentage as a total of dredging revenue for the years ended December 31, 2017, 2016 and 2015 were as follows:</w:t>
      </w:r>
    </w:p>
    <w:p>
      <w:pPr>
        <w:spacing w:after="0" w:line="258" w:lineRule="exact"/>
        <w:rPr>
          <w:sz w:val="20"/>
          <w:szCs w:val="20"/>
          <w:color w:val="auto"/>
        </w:rPr>
      </w:pPr>
    </w:p>
    <w:tbl>
      <w:tblPr>
        <w:tblLayout w:type="fixed"/>
        <w:tblInd w:w="1160" w:type="dxa"/>
        <w:tblCellMar>
          <w:top w:w="0" w:type="dxa"/>
          <w:left w:w="0" w:type="dxa"/>
          <w:bottom w:w="0" w:type="dxa"/>
          <w:right w:w="0" w:type="dxa"/>
        </w:tblCellMar>
      </w:tblPr>
      <w:tr>
        <w:trPr>
          <w:trHeight w:val="169"/>
        </w:trPr>
        <w:tc>
          <w:tcPr>
            <w:tcW w:w="4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3"/>
        </w:trPr>
        <w:tc>
          <w:tcPr>
            <w:tcW w:w="4480" w:type="dxa"/>
            <w:vAlign w:val="bottom"/>
            <w:tcBorders>
              <w:bottom w:val="single" w:sz="8" w:color="CFF0FC"/>
            </w:tcBorders>
          </w:tcPr>
          <w:p>
            <w:pPr>
              <w:spacing w:after="0"/>
              <w:rPr>
                <w:sz w:val="13"/>
                <w:szCs w:val="13"/>
                <w:color w:val="auto"/>
              </w:rPr>
            </w:pPr>
          </w:p>
        </w:tc>
        <w:tc>
          <w:tcPr>
            <w:tcW w:w="6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7"/>
              <w:spacing w:after="0" w:line="153"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7"/>
              <w:spacing w:after="0" w:line="153"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7"/>
              <w:spacing w:after="0" w:line="153"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r>
      <w:tr>
        <w:trPr>
          <w:trHeight w:val="22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Federal government dredging revenue (in US $1,000)</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375,276</w:t>
            </w: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409,942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437,072</w:t>
            </w:r>
          </w:p>
        </w:tc>
        <w:tc>
          <w:tcPr>
            <w:tcW w:w="180" w:type="dxa"/>
            <w:vAlign w:val="bottom"/>
            <w:shd w:val="clear" w:color="auto" w:fill="CFF0FC"/>
          </w:tcPr>
          <w:p>
            <w:pPr>
              <w:spacing w:after="0"/>
              <w:rPr>
                <w:sz w:val="19"/>
                <w:szCs w:val="19"/>
                <w:color w:val="auto"/>
              </w:rPr>
            </w:pPr>
          </w:p>
        </w:tc>
      </w:tr>
      <w:tr>
        <w:trPr>
          <w:trHeight w:val="225"/>
        </w:trPr>
        <w:tc>
          <w:tcPr>
            <w:tcW w:w="4480" w:type="dxa"/>
            <w:vAlign w:val="bottom"/>
          </w:tcPr>
          <w:p>
            <w:pPr>
              <w:spacing w:after="0"/>
              <w:rPr>
                <w:sz w:val="20"/>
                <w:szCs w:val="20"/>
                <w:color w:val="auto"/>
              </w:rPr>
            </w:pPr>
            <w:r>
              <w:rPr>
                <w:rFonts w:ascii="Arial" w:cs="Arial" w:eastAsia="Arial" w:hAnsi="Arial"/>
                <w:sz w:val="18"/>
                <w:szCs w:val="18"/>
                <w:color w:val="auto"/>
              </w:rPr>
              <w:t>Percent of dredging revenue from federal government</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3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r>
    </w:tbl>
    <w:p>
      <w:pPr>
        <w:spacing w:after="0" w:line="242" w:lineRule="exact"/>
        <w:rPr>
          <w:sz w:val="20"/>
          <w:szCs w:val="20"/>
          <w:color w:val="auto"/>
        </w:rPr>
      </w:pPr>
    </w:p>
    <w:p>
      <w:pPr>
        <w:ind w:right="200" w:firstLine="518"/>
        <w:spacing w:after="0" w:line="254" w:lineRule="auto"/>
        <w:rPr>
          <w:sz w:val="20"/>
          <w:szCs w:val="20"/>
          <w:color w:val="auto"/>
        </w:rPr>
      </w:pPr>
      <w:r>
        <w:rPr>
          <w:rFonts w:ascii="Arial" w:cs="Arial" w:eastAsia="Arial" w:hAnsi="Arial"/>
          <w:sz w:val="18"/>
          <w:szCs w:val="18"/>
          <w:color w:val="auto"/>
        </w:rPr>
        <w:t>Amounts spent by the federal government on dredging and environmental and infrastructure are subject to the budgetary and legislative processes. We would expect the federal government to continue to improve and maintain ports as it has for many years, which will necessitate a certain level of federal spending. However, there can be no assurance that the federal government will allocate any particular amount or level of funds to be spent on dredging or environmental projects for any specified period.</w:t>
      </w:r>
    </w:p>
    <w:p>
      <w:pPr>
        <w:spacing w:after="0" w:line="191"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In addition, potential contract cancellations, modifications, protests, suspensions or terminations may arise from resolution of these issues and could cause our revenues, profits and cash flows to be lower. Federal government contracts can be canceled at any time without penalty to the government, subject to, in most cases, our contractual right to recover our actual committed costs and profit on work performed up to the date of cancellation. Accordingly, there can be no assurance that the federal government will not cancel any federal government contracts that have been or are awarded to us. Even if a contract is not cancelled, the government may elect to not award further work pursuant to a contract. A significant reduction in government funding for dredging or remediation contracts, could materially adversely affect our business, operations, revenues and profits.</w:t>
      </w:r>
    </w:p>
    <w:p>
      <w:pPr>
        <w:spacing w:after="0" w:line="1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We depend on our ability to qualify as an eligible bidder under government contract criteria and to compete successfully against other qualified bidders in order to obtain government dredging and other contracts. Our inability to qualify or to compete successfully for certain contracts could materially adversely affect our business operations, revenues and profits.</w:t>
      </w:r>
    </w:p>
    <w:p>
      <w:pPr>
        <w:spacing w:after="0" w:line="82" w:lineRule="exact"/>
        <w:rPr>
          <w:sz w:val="20"/>
          <w:szCs w:val="20"/>
          <w:color w:val="auto"/>
        </w:rPr>
      </w:pPr>
    </w:p>
    <w:p>
      <w:pPr>
        <w:ind w:firstLine="518"/>
        <w:spacing w:after="0" w:line="250" w:lineRule="auto"/>
        <w:rPr>
          <w:sz w:val="20"/>
          <w:szCs w:val="20"/>
          <w:color w:val="auto"/>
        </w:rPr>
      </w:pPr>
      <w:r>
        <w:rPr>
          <w:rFonts w:ascii="Arial" w:cs="Arial" w:eastAsia="Arial" w:hAnsi="Arial"/>
          <w:sz w:val="18"/>
          <w:szCs w:val="18"/>
          <w:color w:val="auto"/>
        </w:rPr>
        <w:t>The U.S. government and various state, local and foreign government agencies conduct rigorous competitive processes for awarding many contracts. Some contracts include multiple award task order contracts in which several contractors are selected as eligible bidders for future work. We will face strong competition and pricing pressures for any additional contract awards from the U.S. government and other domestic and foreign government agencies, and we may be required to qualify or continue to qualify under various multiple award task order contract criteria. Our inability to qualify as an eligible bidder under government contract criteria could preclude us from competing for certain government contract awards. In addition, our inability to qualify as an eligible bidder, or to compete successfully when bidding for certain government contracts and to win those contracts, could materially adversely affect our business, operations, revenues and profits.</w:t>
      </w:r>
    </w:p>
    <w:p>
      <w:pPr>
        <w:spacing w:after="0" w:line="198" w:lineRule="exact"/>
        <w:rPr>
          <w:sz w:val="20"/>
          <w:szCs w:val="20"/>
          <w:color w:val="auto"/>
        </w:rPr>
      </w:pPr>
    </w:p>
    <w:p>
      <w:pPr>
        <w:ind w:right="60"/>
        <w:spacing w:after="0" w:line="331" w:lineRule="auto"/>
        <w:rPr>
          <w:sz w:val="20"/>
          <w:szCs w:val="20"/>
          <w:color w:val="auto"/>
        </w:rPr>
      </w:pPr>
      <w:r>
        <w:rPr>
          <w:rFonts w:ascii="Arial" w:cs="Arial" w:eastAsia="Arial" w:hAnsi="Arial"/>
          <w:sz w:val="16"/>
          <w:szCs w:val="16"/>
          <w:b w:val="1"/>
          <w:bCs w:val="1"/>
          <w:i w:val="1"/>
          <w:iCs w:val="1"/>
          <w:color w:val="auto"/>
        </w:rPr>
        <w:t>The nature of our contracts, particularly those that are fixed-price, subjects us to risks associated with cost over-runs, operating cost inflation and potential claims for liquidated damages. If we are unable to accurately estimate our costs to complete our projects, our profitability could suffer.</w:t>
      </w:r>
    </w:p>
    <w:p>
      <w:pPr>
        <w:spacing w:after="0" w:line="26" w:lineRule="exact"/>
        <w:rPr>
          <w:sz w:val="20"/>
          <w:szCs w:val="20"/>
          <w:color w:val="auto"/>
        </w:rPr>
      </w:pPr>
    </w:p>
    <w:p>
      <w:pPr>
        <w:ind w:right="20" w:firstLine="518"/>
        <w:spacing w:after="0" w:line="265" w:lineRule="auto"/>
        <w:rPr>
          <w:sz w:val="20"/>
          <w:szCs w:val="20"/>
          <w:color w:val="auto"/>
        </w:rPr>
      </w:pPr>
      <w:r>
        <w:rPr>
          <w:rFonts w:ascii="Arial" w:cs="Arial" w:eastAsia="Arial" w:hAnsi="Arial"/>
          <w:sz w:val="17"/>
          <w:szCs w:val="17"/>
          <w:color w:val="auto"/>
        </w:rPr>
        <w:t>We conduct our business under various types of contracts where costs are estimated in advance of our performance. Most dredging contracts are fixed-price contracts where the customer pays a fixed price per unit (e.g., cubic yard) of material dredged. In addition, most of our environmental and infrastructure contracts carry similar risks as compared to our fixed-price dredging contracts that may be increased due to the fact that environmental and infrastructure contracts may not involve projects where we have historical knowledge at the same location or specific prior experience to draw from when estimating cost. Fixed-price contracts carry inherent risks, including risks of losses from underestimating costs, operational difficulties, and other changes that can occur over the contract period. In 2017, we experienced delays as a result of Hurricanes Harvey, Irma, Maria and Jose, which caused work stoppages in the impacted areas. If our estimates prove inaccurate, if there are errors or ambiguities as to contract specifications, or if circumstances change due to, among other things, unanticipated conditions or technical problems, difficulties in obtaining permits or approvals, changes in local laws or labor conditions, inclement or hazardous weather conditions, changes in cost of equipment or materials, or our suppliers’ or subcontractor’s inability to perform, then cost over-runs and delays in performance are likely to occur. We may not be able to obtain compensation for additional work performed or expenses incurred, or may be delayed in receiving necessary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4" w:name="page15"/>
    <w:bookmarkEnd w:id="14"/>
    <w:p>
      <w:pPr>
        <w:ind w:right="20"/>
        <w:spacing w:after="0" w:line="252" w:lineRule="auto"/>
        <w:rPr>
          <w:sz w:val="20"/>
          <w:szCs w:val="20"/>
          <w:color w:val="auto"/>
        </w:rPr>
      </w:pPr>
      <w:r>
        <w:rPr>
          <w:rFonts w:ascii="Arial" w:cs="Arial" w:eastAsia="Arial" w:hAnsi="Arial"/>
          <w:sz w:val="18"/>
          <w:szCs w:val="18"/>
          <w:color w:val="auto"/>
        </w:rPr>
        <w:t>approvals or payments. Additionally, we may be required to pay liquidated damages upon our failure to meet schedule or performance requirements of our contracts. Our failure to accurately estimate the resources and time required for fixed-price contracts or our failure to perform our contractual obligations within the expected time frame and costs could result in reduced profits or, in certain cases, a loss for that contract. If we were to significantly underestimate the costs on one or more significant contracts, the resulting losses could have a material adverse effect on our business, operating results, cash flows or financial condition.</w:t>
      </w:r>
    </w:p>
    <w:p>
      <w:pPr>
        <w:spacing w:after="0" w:line="193" w:lineRule="exact"/>
        <w:rPr>
          <w:sz w:val="20"/>
          <w:szCs w:val="20"/>
          <w:color w:val="auto"/>
        </w:rPr>
      </w:pPr>
    </w:p>
    <w:p>
      <w:pPr>
        <w:jc w:val="both"/>
        <w:ind w:right="40"/>
        <w:spacing w:after="0" w:line="267" w:lineRule="auto"/>
        <w:rPr>
          <w:sz w:val="20"/>
          <w:szCs w:val="20"/>
          <w:color w:val="auto"/>
        </w:rPr>
      </w:pPr>
      <w:r>
        <w:rPr>
          <w:rFonts w:ascii="Arial" w:cs="Arial" w:eastAsia="Arial" w:hAnsi="Arial"/>
          <w:sz w:val="18"/>
          <w:szCs w:val="18"/>
          <w:b w:val="1"/>
          <w:bCs w:val="1"/>
          <w:i w:val="1"/>
          <w:iCs w:val="1"/>
          <w:color w:val="auto"/>
        </w:rPr>
        <w:t>Our results of operations depend on the award of new contracts and the timing of the performance of these contracts. As a result, our quarterly and annual operating results may vary significantly.</w:t>
      </w:r>
    </w:p>
    <w:p>
      <w:pPr>
        <w:spacing w:after="0" w:line="73" w:lineRule="exact"/>
        <w:rPr>
          <w:sz w:val="20"/>
          <w:szCs w:val="20"/>
          <w:color w:val="auto"/>
        </w:rPr>
      </w:pPr>
    </w:p>
    <w:p>
      <w:pPr>
        <w:jc w:val="both"/>
        <w:ind w:right="20" w:firstLine="518"/>
        <w:spacing w:after="0" w:line="257" w:lineRule="auto"/>
        <w:rPr>
          <w:sz w:val="20"/>
          <w:szCs w:val="20"/>
          <w:color w:val="auto"/>
        </w:rPr>
      </w:pPr>
      <w:r>
        <w:rPr>
          <w:rFonts w:ascii="Arial" w:cs="Arial" w:eastAsia="Arial" w:hAnsi="Arial"/>
          <w:sz w:val="18"/>
          <w:szCs w:val="18"/>
          <w:color w:val="auto"/>
        </w:rPr>
        <w:t>Our quarterly and annual results of operations have fluctuated from period to period in the past and may continue to fluctuate in the future. Accordingly, you should not rely on the results of any past quarter or quarters as an indication of future performance in our business operations or valuation of our stock. Our operating results could vary greatly from period to period due to factors such as:</w:t>
      </w:r>
    </w:p>
    <w:p>
      <w:pPr>
        <w:spacing w:after="0" w:line="82" w:lineRule="exact"/>
        <w:rPr>
          <w:sz w:val="20"/>
          <w:szCs w:val="20"/>
          <w:color w:val="auto"/>
        </w:rPr>
      </w:pPr>
    </w:p>
    <w:p>
      <w:pPr>
        <w:ind w:left="1020" w:hanging="50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contract awards and the commencement or progress of work under awarded contracts;</w:t>
      </w:r>
    </w:p>
    <w:p>
      <w:pPr>
        <w:spacing w:after="0" w:line="113" w:lineRule="exact"/>
        <w:rPr>
          <w:rFonts w:ascii="Arial" w:cs="Arial" w:eastAsia="Arial" w:hAnsi="Arial"/>
          <w:sz w:val="18"/>
          <w:szCs w:val="18"/>
          <w:color w:val="auto"/>
        </w:rPr>
      </w:pPr>
    </w:p>
    <w:p>
      <w:pPr>
        <w:ind w:left="1020" w:right="40" w:hanging="507"/>
        <w:spacing w:after="0" w:line="26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inclement or hazardous weather conditions that may result in underestimated delays in dredging or environmental, disruption or early termination of projects, unanticipated recovery costs or liability exposure, and additional contract expenses;</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planned and unplanned equipment downtime;</w:t>
      </w:r>
    </w:p>
    <w:p>
      <w:pPr>
        <w:spacing w:after="0" w:line="113" w:lineRule="exact"/>
        <w:rPr>
          <w:rFonts w:ascii="Arial" w:cs="Arial" w:eastAsia="Arial" w:hAnsi="Arial"/>
          <w:sz w:val="18"/>
          <w:szCs w:val="18"/>
          <w:color w:val="auto"/>
        </w:rPr>
      </w:pPr>
    </w:p>
    <w:p>
      <w:pPr>
        <w:ind w:left="1020" w:right="740" w:hanging="507"/>
        <w:spacing w:after="0" w:line="26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recognize revenue from pending change orders, which is not recognized until the recovery is probable and collectability is reasonably assured;</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environmental restrictions requiring that certain projects be performed in winter months to protect wildlife habitats; and</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equipment mobilization to and from projects.</w:t>
      </w:r>
    </w:p>
    <w:p>
      <w:pPr>
        <w:spacing w:after="0" w:line="220" w:lineRule="exact"/>
        <w:rPr>
          <w:sz w:val="20"/>
          <w:szCs w:val="20"/>
          <w:color w:val="auto"/>
        </w:rPr>
      </w:pPr>
    </w:p>
    <w:p>
      <w:pPr>
        <w:jc w:val="both"/>
        <w:ind w:right="660" w:firstLine="518"/>
        <w:spacing w:after="0" w:line="257" w:lineRule="auto"/>
        <w:rPr>
          <w:sz w:val="20"/>
          <w:szCs w:val="20"/>
          <w:color w:val="auto"/>
        </w:rPr>
      </w:pPr>
      <w:r>
        <w:rPr>
          <w:rFonts w:ascii="Arial" w:cs="Arial" w:eastAsia="Arial" w:hAnsi="Arial"/>
          <w:sz w:val="18"/>
          <w:szCs w:val="18"/>
          <w:color w:val="auto"/>
        </w:rPr>
        <w:t>If our results of operations from quarter to quarter fail to meet the expectations of public market analysts and investors, our stock price could be negatively impacted. See “Management’s Discussion and Analysis of Financial Condition and Results of Operations—Primary Factors that Determine Operating Profitability.”</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comply with government contracting regulations, our revenue could suffer, and we could be subject to significant potential liabilities.</w:t>
      </w:r>
    </w:p>
    <w:p>
      <w:pPr>
        <w:spacing w:after="0" w:line="136" w:lineRule="exact"/>
        <w:rPr>
          <w:sz w:val="20"/>
          <w:szCs w:val="20"/>
          <w:color w:val="auto"/>
        </w:rPr>
      </w:pPr>
    </w:p>
    <w:p>
      <w:pPr>
        <w:ind w:firstLine="518"/>
        <w:spacing w:after="0" w:line="251" w:lineRule="auto"/>
        <w:rPr>
          <w:sz w:val="20"/>
          <w:szCs w:val="20"/>
          <w:color w:val="auto"/>
        </w:rPr>
      </w:pPr>
      <w:r>
        <w:rPr>
          <w:rFonts w:ascii="Arial" w:cs="Arial" w:eastAsia="Arial" w:hAnsi="Arial"/>
          <w:sz w:val="18"/>
          <w:szCs w:val="18"/>
          <w:color w:val="auto"/>
        </w:rPr>
        <w:t>Our contracts with federal, state local and foreign governmental customers are subject to various procurement regulations and contract provisions. These regulations also subject us to examinations by government auditors and investigators, from time to time, to ensure compliance and to review costs. Violations of government contracting regulations could result in the imposition of civil and criminal penalties, which could include termination of contracts, forfeiture of profits, imposition of payments and fines and suspension or debarment from future government contracting. If we fail to continue to qualify for or are suspended from work under a government contract for any reason, we could suffer a material adverse effect on our business, operating results, cash flows or financial condition.</w:t>
      </w:r>
    </w:p>
    <w:p>
      <w:pPr>
        <w:spacing w:after="0" w:line="195" w:lineRule="exact"/>
        <w:rPr>
          <w:sz w:val="20"/>
          <w:szCs w:val="20"/>
          <w:color w:val="auto"/>
        </w:rPr>
      </w:pPr>
    </w:p>
    <w:p>
      <w:pPr>
        <w:ind w:firstLine="518"/>
        <w:spacing w:after="0" w:line="252" w:lineRule="auto"/>
        <w:rPr>
          <w:sz w:val="20"/>
          <w:szCs w:val="20"/>
          <w:color w:val="auto"/>
        </w:rPr>
      </w:pPr>
      <w:r>
        <w:rPr>
          <w:rFonts w:ascii="Arial" w:cs="Arial" w:eastAsia="Arial" w:hAnsi="Arial"/>
          <w:sz w:val="18"/>
          <w:szCs w:val="18"/>
          <w:color w:val="auto"/>
        </w:rPr>
        <w:t xml:space="preserve">In addition, we may be subject to litigation brought by private individuals on behalf of the government relating to our government contracts, referred to in this annual report as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which could include claims for up to treble damages.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are sealed by the court at the time of filing. The only parties privy to the information in the complaint are the complainant, the U.S. government and the court. Therefore, it is possible that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have been filed against us and that we are not aware of such actions or have been ordered by the court not to discuss them until the seal is lifted. Thus, it is possible that we are subject to liability exposure arising out of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our international dredging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Revenue from foreign contracts and its percentage to total dredging revenue for the years ended December 31, 2017, 2016 and 2015 were as follows:</w:t>
      </w:r>
    </w:p>
    <w:p>
      <w:pPr>
        <w:spacing w:after="0" w:line="301" w:lineRule="exact"/>
        <w:rPr>
          <w:sz w:val="20"/>
          <w:szCs w:val="20"/>
          <w:color w:val="auto"/>
        </w:rPr>
      </w:pPr>
    </w:p>
    <w:tbl>
      <w:tblPr>
        <w:tblLayout w:type="fixed"/>
        <w:tblInd w:w="1160" w:type="dxa"/>
        <w:tblCellMar>
          <w:top w:w="0" w:type="dxa"/>
          <w:left w:w="0" w:type="dxa"/>
          <w:bottom w:w="0" w:type="dxa"/>
          <w:right w:w="0" w:type="dxa"/>
        </w:tblCellMar>
      </w:tblPr>
      <w:tr>
        <w:trPr>
          <w:trHeight w:val="169"/>
        </w:trPr>
        <w:tc>
          <w:tcPr>
            <w:tcW w:w="4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3"/>
        </w:trPr>
        <w:tc>
          <w:tcPr>
            <w:tcW w:w="4400" w:type="dxa"/>
            <w:vAlign w:val="bottom"/>
            <w:tcBorders>
              <w:bottom w:val="single" w:sz="8" w:color="CFF0FC"/>
            </w:tcBorders>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7"/>
              <w:spacing w:after="0" w:line="153"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7"/>
              <w:spacing w:after="0" w:line="153"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7"/>
              <w:spacing w:after="0" w:line="153"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r>
      <w:tr>
        <w:trPr>
          <w:trHeight w:val="22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Foreign revenue (in US $1,000)</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42,306</w:t>
            </w: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59,413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139,945</w:t>
            </w:r>
          </w:p>
        </w:tc>
        <w:tc>
          <w:tcPr>
            <w:tcW w:w="180" w:type="dxa"/>
            <w:vAlign w:val="bottom"/>
            <w:shd w:val="clear" w:color="auto" w:fill="CFF0FC"/>
          </w:tcPr>
          <w:p>
            <w:pPr>
              <w:spacing w:after="0"/>
              <w:rPr>
                <w:sz w:val="19"/>
                <w:szCs w:val="19"/>
                <w:color w:val="auto"/>
              </w:rPr>
            </w:pPr>
          </w:p>
        </w:tc>
      </w:tr>
      <w:tr>
        <w:trPr>
          <w:trHeight w:val="225"/>
        </w:trPr>
        <w:tc>
          <w:tcPr>
            <w:tcW w:w="4400" w:type="dxa"/>
            <w:vAlign w:val="bottom"/>
          </w:tcPr>
          <w:p>
            <w:pPr>
              <w:spacing w:after="0"/>
              <w:rPr>
                <w:sz w:val="20"/>
                <w:szCs w:val="20"/>
                <w:color w:val="auto"/>
              </w:rPr>
            </w:pPr>
            <w:r>
              <w:rPr>
                <w:rFonts w:ascii="Arial" w:cs="Arial" w:eastAsia="Arial" w:hAnsi="Arial"/>
                <w:sz w:val="18"/>
                <w:szCs w:val="18"/>
                <w:color w:val="auto"/>
              </w:rPr>
              <w:t>Percent of dredging revenue from foreign countries</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bl>
    <w:p>
      <w:pPr>
        <w:spacing w:after="0" w:line="242" w:lineRule="exact"/>
        <w:rPr>
          <w:sz w:val="20"/>
          <w:szCs w:val="20"/>
          <w:color w:val="auto"/>
        </w:rPr>
      </w:pPr>
    </w:p>
    <w:p>
      <w:pPr>
        <w:ind w:right="460" w:firstLine="518"/>
        <w:spacing w:after="0" w:line="257" w:lineRule="auto"/>
        <w:rPr>
          <w:sz w:val="20"/>
          <w:szCs w:val="20"/>
          <w:color w:val="auto"/>
        </w:rPr>
      </w:pPr>
      <w:r>
        <w:rPr>
          <w:rFonts w:ascii="Arial" w:cs="Arial" w:eastAsia="Arial" w:hAnsi="Arial"/>
          <w:sz w:val="18"/>
          <w:szCs w:val="18"/>
          <w:color w:val="auto"/>
        </w:rPr>
        <w:t>The international dredging market is highly competitive and competition in the international market is dominated by four large European dredging companies, all of which operate larger equipment and fleets that are more modern and extensive than the Company’s. In addition, there are several governmentally supported dredging companies that operate on a local or regional basis.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234" w:right="259" w:bottom="1440" w:gutter="0" w:footer="0" w:header="0"/>
        </w:sectPr>
      </w:pPr>
    </w:p>
    <w:bookmarkStart w:id="15" w:name="page16"/>
    <w:bookmarkEnd w:id="15"/>
    <w:p>
      <w:pPr>
        <w:ind w:right="620"/>
        <w:spacing w:after="0" w:line="267" w:lineRule="auto"/>
        <w:rPr>
          <w:sz w:val="20"/>
          <w:szCs w:val="20"/>
          <w:color w:val="auto"/>
        </w:rPr>
      </w:pPr>
      <w:r>
        <w:rPr>
          <w:rFonts w:ascii="Arial" w:cs="Arial" w:eastAsia="Arial" w:hAnsi="Arial"/>
          <w:sz w:val="18"/>
          <w:szCs w:val="18"/>
          <w:color w:val="auto"/>
        </w:rPr>
        <w:t>Competing for international dredging projects requires a substantial investment of resources, skilled personnel and capital investment in equipment and technology, and may adversely affect our ability to deploy resources for domestic dredging projects.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International operations subject us to additional potential risks, including:</w:t>
      </w:r>
    </w:p>
    <w:p>
      <w:pPr>
        <w:spacing w:after="0" w:line="113" w:lineRule="exact"/>
        <w:rPr>
          <w:sz w:val="20"/>
          <w:szCs w:val="20"/>
          <w:color w:val="auto"/>
        </w:rPr>
      </w:pPr>
    </w:p>
    <w:p>
      <w:pPr>
        <w:ind w:left="1020" w:hanging="507"/>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uncertainties concerning import and export license requirements, tariffs and other trade barriers;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and economic instability and risks of terrorist activities;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demand as a result of fluctuations in the price of oil, the primary export in the Middle East;</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enforcing contractual rights and agreements through certain foreign legal systems;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requirements of, and changes in, foreign laws, policies and regulations;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local licensing, permitting and royalty issues, particularly with respect to our overseas operations in Bahrain and the Middle East;</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 without additional expense;</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taxation issues;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difficulty in accounts receivable collection and longer collection periods;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the U.S. Foreign Corrupt Practices Act and international anticorruption laws;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currency fluctuations;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logistical and communication challenges; and</w:t>
      </w:r>
    </w:p>
    <w:p>
      <w:pPr>
        <w:spacing w:after="0" w:line="113" w:lineRule="exact"/>
        <w:rPr>
          <w:rFonts w:ascii="Arial" w:cs="Arial" w:eastAsia="Arial" w:hAnsi="Arial"/>
          <w:sz w:val="18"/>
          <w:szCs w:val="18"/>
          <w:color w:val="auto"/>
        </w:rPr>
      </w:pPr>
    </w:p>
    <w:p>
      <w:pPr>
        <w:ind w:left="1020" w:right="240" w:hanging="507"/>
        <w:spacing w:after="0" w:line="26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effectively insure against political, cultural and economic uncertainties, including acts of terrorism, civil unrest, war or other armed conflict.</w:t>
      </w:r>
    </w:p>
    <w:p>
      <w:pPr>
        <w:spacing w:after="0" w:line="180"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In addition, our international operations are subject to U.S. and other laws and regulations regarding operations in foreign jurisdictions. These numerous and sometimes conflicting laws and regulations include anti-boycott laws, anti-competition laws, anti-corruption laws, tax laws, immigration laws, privacy laws and accounting requirements. There is a risk that some provisions may be breached, for example through inadvertence or mistake, fraudulent or negligent behavior of individual employees or of agents, or failure to comply with certain formal documentation requirements or otherwise. Violations of these laws and regulations could result in fines and penalties, criminal sanctions against us, our officers, or our employees, prohibitions on the conduct of our business and on our ability to operate in one or more countries, and could have a material adverse effect on our business, results of operations or financial condition. In addition, military action, terrorist activities or continued unrest in the Middle East could affect the safety of our personnel in the region and significantly increase the costs of, or disrupt our operations in, the region and could have a material adverse effect on our business, operating results, cash flows or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international revenue is earned from large, single customer contracts.</w:t>
      </w:r>
    </w:p>
    <w:p>
      <w:pPr>
        <w:spacing w:after="0" w:line="113" w:lineRule="exact"/>
        <w:rPr>
          <w:sz w:val="20"/>
          <w:szCs w:val="20"/>
          <w:color w:val="auto"/>
        </w:rPr>
      </w:pPr>
    </w:p>
    <w:p>
      <w:pPr>
        <w:ind w:right="60" w:firstLine="518"/>
        <w:spacing w:after="0" w:line="295" w:lineRule="auto"/>
        <w:rPr>
          <w:sz w:val="20"/>
          <w:szCs w:val="20"/>
          <w:color w:val="auto"/>
        </w:rPr>
      </w:pPr>
      <w:r>
        <w:rPr>
          <w:rFonts w:ascii="Arial" w:cs="Arial" w:eastAsia="Arial" w:hAnsi="Arial"/>
          <w:sz w:val="16"/>
          <w:szCs w:val="16"/>
          <w:color w:val="auto"/>
        </w:rPr>
        <w:t>The Company earns significant revenue from governmental entities and private parties in the Middle East. Revenue from foreign projects has been concentrated in the Middle East which comprised 97%, 89% and 90% of our foreign dredging revenues in the years ended December 31, 2017, 2016 and 2015, respectively. A large, single customer contract represented 76% of the Company’s foreign dredging revenue from all sources in the year ended December 31, 2017. The Company continues to maintain significant equipment in the Middle East region and continues to pursue additional contracts in the region.</w:t>
      </w:r>
    </w:p>
    <w:p>
      <w:pPr>
        <w:spacing w:after="0" w:line="162" w:lineRule="exact"/>
        <w:rPr>
          <w:sz w:val="20"/>
          <w:szCs w:val="20"/>
          <w:color w:val="auto"/>
        </w:rPr>
      </w:pPr>
    </w:p>
    <w:p>
      <w:pPr>
        <w:ind w:right="120" w:firstLine="518"/>
        <w:spacing w:after="0" w:line="269" w:lineRule="auto"/>
        <w:rPr>
          <w:sz w:val="20"/>
          <w:szCs w:val="20"/>
          <w:color w:val="auto"/>
        </w:rPr>
      </w:pPr>
      <w:r>
        <w:rPr>
          <w:rFonts w:ascii="Arial" w:cs="Arial" w:eastAsia="Arial" w:hAnsi="Arial"/>
          <w:sz w:val="17"/>
          <w:szCs w:val="17"/>
          <w:color w:val="auto"/>
        </w:rPr>
        <w:t>Certain factors have occurred suggesting that future revenues from projects with governments in the Middle East could decrease. Historically lower oil prices and the contraction in Middle East commercial and real estate development have slowed the rate of the region’s infrastructure development. If the diplomatic relationship of the United States or our commercial relationship with governments in the Middle East is significantly negatively impacted or terminated, or we encounter significant difficulties in obtaining licensing or permits to do business in these countries, the Company’s international revenues would be materially and adversely impacted. If the government of Bahrain or Saudi Arabia further curtails its infrastructure investment or diversifies its use of dredging vendors, our revenue from these customers could decline further.</w:t>
      </w:r>
    </w:p>
    <w:p>
      <w:pPr>
        <w:spacing w:after="0" w:line="179" w:lineRule="exact"/>
        <w:rPr>
          <w:sz w:val="20"/>
          <w:szCs w:val="20"/>
          <w:color w:val="auto"/>
        </w:rPr>
      </w:pPr>
    </w:p>
    <w:p>
      <w:pPr>
        <w:ind w:right="40" w:firstLine="518"/>
        <w:spacing w:after="0" w:line="252" w:lineRule="auto"/>
        <w:rPr>
          <w:sz w:val="20"/>
          <w:szCs w:val="20"/>
          <w:color w:val="auto"/>
        </w:rPr>
      </w:pPr>
      <w:r>
        <w:rPr>
          <w:rFonts w:ascii="Arial" w:cs="Arial" w:eastAsia="Arial" w:hAnsi="Arial"/>
          <w:sz w:val="18"/>
          <w:szCs w:val="18"/>
          <w:color w:val="auto"/>
        </w:rPr>
        <w:t>Other Middle East governments have national dredging companies and may be incentivized to use the national dredging company of another Middle East government or have significant history with competitive dredging vendors other than the Company. The Company could lose future contracts for work in the Middle East to these competitors or could be forced to accept lower margins on contracts in order to utilize the equipment that is located in the Middle East. In addition, the Company may be forced to shrink the workforce in place or relocate dredging assets from this region in reaction to lower contract earnings. Lower utilization, workforce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67"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reductions or asset relocations could have a material adverse effect on our business, operating results, cash flows or financial condition.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Regional instability in the Middle East may adversely affect business conditions and may disrupt our operations.</w:t>
      </w:r>
    </w:p>
    <w:p>
      <w:pPr>
        <w:spacing w:after="0" w:line="220"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Saudi Arabia, Bahrain and other Middle East countries have experienced political turbulence in the recent past. Political uprisings and conflicts, including armed hostilities and civil unrest, may affect the political stability of the region. In addition, there has been a decline in the relationships between and amongst certain governments in the Middle East, such as continued conflicts between Saudi Arabia and Iran and the boycott of Qatar by Saudi Arabia, United Arab Emirates, Bahrain, and Egypt.</w:t>
      </w:r>
    </w:p>
    <w:p>
      <w:pPr>
        <w:spacing w:after="0" w:line="191" w:lineRule="exact"/>
        <w:rPr>
          <w:sz w:val="20"/>
          <w:szCs w:val="20"/>
          <w:color w:val="auto"/>
        </w:rPr>
      </w:pPr>
    </w:p>
    <w:p>
      <w:pPr>
        <w:jc w:val="both"/>
        <w:ind w:right="480" w:firstLine="518"/>
        <w:spacing w:after="0" w:line="279" w:lineRule="auto"/>
        <w:rPr>
          <w:sz w:val="20"/>
          <w:szCs w:val="20"/>
          <w:color w:val="auto"/>
        </w:rPr>
      </w:pPr>
      <w:r>
        <w:rPr>
          <w:rFonts w:ascii="Arial" w:cs="Arial" w:eastAsia="Arial" w:hAnsi="Arial"/>
          <w:sz w:val="17"/>
          <w:szCs w:val="17"/>
          <w:color w:val="auto"/>
        </w:rPr>
        <w:t>Deterioration in the political, economic, and social conditions or other relevant policies of the government, such as changes in laws or regulations, export restrictions, expropriation of our assets or resource nationalization, could materially and adversely affect our business, access to markets, financial condition, and results of operations. Similar civil unrest and political turbulence has occurred in other countries in the region.</w:t>
      </w:r>
    </w:p>
    <w:p>
      <w:pPr>
        <w:spacing w:after="0" w:line="65" w:lineRule="exact"/>
        <w:rPr>
          <w:sz w:val="20"/>
          <w:szCs w:val="20"/>
          <w:color w:val="auto"/>
        </w:rPr>
      </w:pPr>
    </w:p>
    <w:p>
      <w:pPr>
        <w:ind w:firstLine="518"/>
        <w:spacing w:after="0" w:line="297" w:lineRule="auto"/>
        <w:rPr>
          <w:sz w:val="20"/>
          <w:szCs w:val="20"/>
          <w:color w:val="auto"/>
        </w:rPr>
      </w:pPr>
      <w:r>
        <w:rPr>
          <w:rFonts w:ascii="Arial" w:cs="Arial" w:eastAsia="Arial" w:hAnsi="Arial"/>
          <w:sz w:val="17"/>
          <w:szCs w:val="17"/>
          <w:color w:val="auto"/>
        </w:rPr>
        <w:t>In addition, such events may affect plans for infrastructure investment. If the government changes or significant restrictions are established, our dredging operations in the Middle East, including the value of our assets related to such operations, may be adversely affected.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include certain estimates and assumptions that may differ from actual results.</w:t>
      </w:r>
    </w:p>
    <w:p>
      <w:pPr>
        <w:spacing w:after="0" w:line="113" w:lineRule="exact"/>
        <w:rPr>
          <w:sz w:val="20"/>
          <w:szCs w:val="20"/>
          <w:color w:val="auto"/>
        </w:rPr>
      </w:pPr>
    </w:p>
    <w:p>
      <w:pPr>
        <w:ind w:right="20" w:firstLine="518"/>
        <w:spacing w:after="0" w:line="284" w:lineRule="auto"/>
        <w:rPr>
          <w:sz w:val="20"/>
          <w:szCs w:val="20"/>
          <w:color w:val="auto"/>
        </w:rPr>
      </w:pPr>
      <w:r>
        <w:rPr>
          <w:rFonts w:ascii="Arial" w:cs="Arial" w:eastAsia="Arial" w:hAnsi="Arial"/>
          <w:sz w:val="16"/>
          <w:szCs w:val="16"/>
          <w:color w:val="auto"/>
        </w:rPr>
        <w:t>In preparing our consolidated financial statements in conformity with accounting principles generally accepted in the United States, a number of estimates and assumptions are made by management that affect the amounts reported in the financial statements. These estimates and assumptions must be made because certain information that is used in the preparation of our financial statements is either dependent on future events or cannot be calculated with a high degree of precision from available data. In some instances, these estimates are particularly uncertain and we must exercise significant judgment. Estimates are primarily used in our assessment of the recognition of revenue for costs and estimated earnings under the percentage of completion method of accounting as discussed above, the fair value of reporting units for goodwill impairment analysis, the assessment of impairment of intangibles and other long-lived assets, the purchase price allocations of businesses acquired, accrued insurance claims, income taxes, asset lives used in computing depreciation and amortization, stock-based compensation expense for performance-based stock awards, and accruals for contingencies, including legal matters. At the time they are made, we believe that such estimates are fair when considered in conjunction with our consolidated financial position and results of operations taken as a whole. However, actual results could differ from those estimates and such differences may be material to our financial statements.</w:t>
      </w:r>
    </w:p>
    <w:p>
      <w:pPr>
        <w:spacing w:after="0" w:line="170"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b w:val="1"/>
          <w:bCs w:val="1"/>
          <w:i w:val="1"/>
          <w:iCs w:val="1"/>
          <w:color w:val="auto"/>
        </w:rPr>
        <w:t>Lapses in disclosure controls and procedures or internal control over financial reporting could materially and adversely affect our operations, profitability or reputation.</w:t>
      </w:r>
    </w:p>
    <w:p>
      <w:pPr>
        <w:spacing w:after="0" w:line="73"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There can be no assurance that our disclosure controls and procedures will be effective in the future or that we will not experience a material weakness or significant deficiency in internal control over financial reporting. Any such lapses or deficiencies may materially and adversely affect our business, operating results, cash flows or financial condition, restrict our ability to access the capital markets, require us to expend significant resources to correct the lapses or deficiencies, expose us to regulatory or legal proceedings, including litigation brought by private individuals, subject us to fines, penalties or judgments, harm our reputation, or otherwise cause a decline in investor confidence and our stock price.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Many of our contracts have penalties for late completion.</w:t>
      </w:r>
    </w:p>
    <w:p>
      <w:pPr>
        <w:spacing w:after="0" w:line="113" w:lineRule="exact"/>
        <w:rPr>
          <w:sz w:val="20"/>
          <w:szCs w:val="20"/>
          <w:color w:val="auto"/>
        </w:rPr>
      </w:pPr>
    </w:p>
    <w:p>
      <w:pPr>
        <w:ind w:right="240" w:firstLine="518"/>
        <w:spacing w:after="0" w:line="252" w:lineRule="auto"/>
        <w:rPr>
          <w:sz w:val="20"/>
          <w:szCs w:val="20"/>
          <w:color w:val="auto"/>
        </w:rPr>
      </w:pPr>
      <w:r>
        <w:rPr>
          <w:rFonts w:ascii="Arial" w:cs="Arial" w:eastAsia="Arial" w:hAnsi="Arial"/>
          <w:sz w:val="18"/>
          <w:szCs w:val="18"/>
          <w:color w:val="auto"/>
        </w:rPr>
        <w:t>In many instances, including in our fixed-price contracts, we guarantee that we will complete a project by a scheduled date. If we subsequently fail to complete the project as scheduled, we may be liable for any customer losses resulting from such delay, generally in the form of contractually agreed-upon liquidated damages. In addition, failure to maintain a required schedule could cause us to default on our government contracts, giving rise to a variety of potential damages. To the extent that these events occur, the total costs of the project could exceed our original estimates, and we could experience reduced profits or, in some cases, a loss for that project.</w:t>
      </w:r>
    </w:p>
    <w:p>
      <w:pPr>
        <w:spacing w:after="0" w:line="193"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b w:val="1"/>
          <w:bCs w:val="1"/>
          <w:i w:val="1"/>
          <w:iCs w:val="1"/>
          <w:color w:val="auto"/>
        </w:rPr>
        <w:t>Force majeure events, including natural disasters and terrorists’ actions, could negatively impact our business, which may affect our business, operations, revenues, cash flows and profits.</w:t>
      </w:r>
    </w:p>
    <w:p>
      <w:pPr>
        <w:spacing w:after="0" w:line="73" w:lineRule="exact"/>
        <w:rPr>
          <w:sz w:val="20"/>
          <w:szCs w:val="20"/>
          <w:color w:val="auto"/>
        </w:rPr>
      </w:pPr>
    </w:p>
    <w:p>
      <w:pPr>
        <w:ind w:right="100" w:firstLine="518"/>
        <w:spacing w:after="0" w:line="295" w:lineRule="auto"/>
        <w:rPr>
          <w:sz w:val="20"/>
          <w:szCs w:val="20"/>
          <w:color w:val="auto"/>
        </w:rPr>
      </w:pPr>
      <w:r>
        <w:rPr>
          <w:rFonts w:ascii="Arial" w:cs="Arial" w:eastAsia="Arial" w:hAnsi="Arial"/>
          <w:sz w:val="16"/>
          <w:szCs w:val="16"/>
          <w:color w:val="auto"/>
        </w:rPr>
        <w:t>Force majeure or extraordinary events beyond the control of the contracting parties, such as natural and man-made disasters, as well as terrorist actions, could negatively impact the economies in which we operate. We typically negotiate contract language where we are allowed certain relief from force majeure events in private client contracts and review and attempt to mitigate force majeure events in both public and private client contracts. We remain obligated to perform our services after most extraordinary events subject to relief that may be available pursuant to a force majeure clause.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 w:name="page18"/>
    <w:bookmarkEnd w:id="17"/>
    <w:p>
      <w:pPr>
        <w:ind w:right="20" w:firstLine="518"/>
        <w:spacing w:after="0" w:line="250" w:lineRule="auto"/>
        <w:rPr>
          <w:sz w:val="20"/>
          <w:szCs w:val="20"/>
          <w:color w:val="auto"/>
        </w:rPr>
      </w:pPr>
      <w:r>
        <w:rPr>
          <w:rFonts w:ascii="Arial" w:cs="Arial" w:eastAsia="Arial" w:hAnsi="Arial"/>
          <w:sz w:val="18"/>
          <w:szCs w:val="18"/>
          <w:color w:val="auto"/>
        </w:rPr>
        <w:t>If a contract contains a force majeure provision, we may be able to obtain an extension of time to complete our obligations under such contract, but we will still be subject to our other contractual obligations in the event of such an extraordinary event. Because we cannot predict the length, severity or location of any potential force majeure event, it is not possible to determine the specific effects any such event may have on us. Depending on the specific circumstances of any particular force majeure event, or if we are unable to react quickly to such an event, our operations may be affected significantly, our productivity may be affected, our ability to complete projects in accordance with our contractual obligations may be affected, our payments from customers may be delayed and we may incur increased labor and materials costs, which could have a negative impact on our financial condition, relationships with customers or suppliers, and our reputation.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amount of our estimated backlog is subject to change and not necessarily indicative of future revenues.</w:t>
      </w:r>
    </w:p>
    <w:p>
      <w:pPr>
        <w:spacing w:after="0" w:line="113" w:lineRule="exact"/>
        <w:rPr>
          <w:sz w:val="20"/>
          <w:szCs w:val="20"/>
          <w:color w:val="auto"/>
        </w:rPr>
      </w:pPr>
    </w:p>
    <w:p>
      <w:pPr>
        <w:ind w:right="60" w:firstLine="518"/>
        <w:spacing w:after="0" w:line="267" w:lineRule="auto"/>
        <w:rPr>
          <w:sz w:val="20"/>
          <w:szCs w:val="20"/>
          <w:color w:val="auto"/>
        </w:rPr>
      </w:pPr>
      <w:r>
        <w:rPr>
          <w:rFonts w:ascii="Arial" w:cs="Arial" w:eastAsia="Arial" w:hAnsi="Arial"/>
          <w:sz w:val="17"/>
          <w:szCs w:val="17"/>
          <w:color w:val="auto"/>
        </w:rPr>
        <w:t>Our contract backlog represents our estimate of the revenues that we will realize under the portion of the contracts remaining to be performed. For dredging contracts these estimates are based primarily upon the time and costs required to mobilize the necessary assets to and from the project site, the amount and type of material to be dredged and the expected production capabilities of the equipment performing the work. For environmental and infrastructure contracts, these estimates are based on the time and remaining costs required to complete the project relative to total estimated project costs and project revenues agreed to with the customer. However, these estimates are necessarily subject to variances based upon actual circumstances. From time to time, changes in project scope may occur with respect to contracts reflected in our backlog and could reduce the dollar amount of our backlog and the timing of the revenue and profits that we actually earn. Projects may remain in our backlog for an extended period of time because of the nature of the project and the timing of the particular services or equipment required by the project.</w:t>
      </w:r>
    </w:p>
    <w:p>
      <w:pPr>
        <w:spacing w:after="0" w:line="181"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Because of these factors, as well as factors affecting the time required to complete each job, backlog is not necessarily indicative of future revenues or profitability. In addition, a significant amount of our dredging backlog (81% in 2017) relates to federal government contracts, which can be canceled at any time without penalty to the government, subject, in most cases, to our contractual right to recover our actual committed costs and profit on work performed up to the date of cancellation.</w:t>
      </w:r>
    </w:p>
    <w:p>
      <w:pPr>
        <w:spacing w:after="0" w:line="191" w:lineRule="exact"/>
        <w:rPr>
          <w:sz w:val="20"/>
          <w:szCs w:val="20"/>
          <w:color w:val="auto"/>
        </w:rPr>
      </w:pPr>
    </w:p>
    <w:p>
      <w:pPr>
        <w:ind w:right="320" w:firstLine="518"/>
        <w:spacing w:after="0" w:line="267" w:lineRule="auto"/>
        <w:rPr>
          <w:sz w:val="20"/>
          <w:szCs w:val="20"/>
          <w:color w:val="auto"/>
        </w:rPr>
      </w:pPr>
      <w:r>
        <w:rPr>
          <w:rFonts w:ascii="Arial" w:cs="Arial" w:eastAsia="Arial" w:hAnsi="Arial"/>
          <w:sz w:val="18"/>
          <w:szCs w:val="18"/>
          <w:color w:val="auto"/>
        </w:rPr>
        <w:t>Below is our dredging backlog from federal government contracts as of December 31, 2017, 2016, and 2015 and the percentage of those contracts to total backlog as of the same date.</w:t>
      </w:r>
    </w:p>
    <w:p>
      <w:pPr>
        <w:spacing w:after="0" w:line="249" w:lineRule="exact"/>
        <w:rPr>
          <w:sz w:val="20"/>
          <w:szCs w:val="20"/>
          <w:color w:val="auto"/>
        </w:rPr>
      </w:pPr>
    </w:p>
    <w:tbl>
      <w:tblPr>
        <w:tblLayout w:type="fixed"/>
        <w:tblInd w:w="1160" w:type="dxa"/>
        <w:tblCellMar>
          <w:top w:w="0" w:type="dxa"/>
          <w:left w:w="0" w:type="dxa"/>
          <w:bottom w:w="0" w:type="dxa"/>
          <w:right w:w="0" w:type="dxa"/>
        </w:tblCellMar>
      </w:tblPr>
      <w:tr>
        <w:trPr>
          <w:trHeight w:val="169"/>
        </w:trPr>
        <w:tc>
          <w:tcPr>
            <w:tcW w:w="4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3"/>
        </w:trPr>
        <w:tc>
          <w:tcPr>
            <w:tcW w:w="4620" w:type="dxa"/>
            <w:vAlign w:val="bottom"/>
            <w:tcBorders>
              <w:bottom w:val="single" w:sz="8" w:color="CFF0FC"/>
            </w:tcBorders>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7"/>
              <w:spacing w:after="0" w:line="153"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7"/>
              <w:spacing w:after="0" w:line="153"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7"/>
              <w:spacing w:after="0" w:line="153"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r>
      <w:tr>
        <w:trPr>
          <w:trHeight w:val="22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Federal government dredging backlog (in US $1,000)</w:t>
            </w: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413,678</w:t>
            </w: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269,362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357,619</w:t>
            </w:r>
          </w:p>
        </w:tc>
        <w:tc>
          <w:tcPr>
            <w:tcW w:w="180" w:type="dxa"/>
            <w:vAlign w:val="bottom"/>
            <w:shd w:val="clear" w:color="auto" w:fill="CFF0FC"/>
          </w:tcPr>
          <w:p>
            <w:pPr>
              <w:spacing w:after="0"/>
              <w:rPr>
                <w:sz w:val="19"/>
                <w:szCs w:val="19"/>
                <w:color w:val="auto"/>
              </w:rPr>
            </w:pPr>
          </w:p>
        </w:tc>
      </w:tr>
      <w:tr>
        <w:trPr>
          <w:trHeight w:val="225"/>
        </w:trPr>
        <w:tc>
          <w:tcPr>
            <w:tcW w:w="4620" w:type="dxa"/>
            <w:vAlign w:val="bottom"/>
          </w:tcPr>
          <w:p>
            <w:pPr>
              <w:spacing w:after="0"/>
              <w:rPr>
                <w:sz w:val="20"/>
                <w:szCs w:val="20"/>
                <w:color w:val="auto"/>
              </w:rPr>
            </w:pPr>
            <w:r>
              <w:rPr>
                <w:rFonts w:ascii="Arial" w:cs="Arial" w:eastAsia="Arial" w:hAnsi="Arial"/>
                <w:sz w:val="18"/>
                <w:szCs w:val="18"/>
                <w:color w:val="auto"/>
              </w:rPr>
              <w:t>Percentage of dredging backlog from federal government</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3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r>
    </w:tbl>
    <w:p>
      <w:pPr>
        <w:spacing w:after="0" w:line="242" w:lineRule="exact"/>
        <w:rPr>
          <w:sz w:val="20"/>
          <w:szCs w:val="20"/>
          <w:color w:val="auto"/>
        </w:rPr>
      </w:pPr>
    </w:p>
    <w:p>
      <w:pPr>
        <w:ind w:right="200" w:firstLine="518"/>
        <w:spacing w:after="0" w:line="254" w:lineRule="auto"/>
        <w:rPr>
          <w:sz w:val="20"/>
          <w:szCs w:val="20"/>
          <w:color w:val="auto"/>
        </w:rPr>
      </w:pPr>
      <w:r>
        <w:rPr>
          <w:rFonts w:ascii="Arial" w:cs="Arial" w:eastAsia="Arial" w:hAnsi="Arial"/>
          <w:sz w:val="18"/>
          <w:szCs w:val="18"/>
          <w:color w:val="auto"/>
        </w:rPr>
        <w:t>At times we may have backlog with foreign governments that use local laws and regulations to change terms of a contract in backlog or to limit our ability to receive payment on a timely basis. Other contracts in backlog are with state and local municipalities or private companies that may have funding constraints or impose restrictions on timing. The termination, modification or suspension of projects currently in backlog could have a material adverse effect on our business, operating results, cash flows or financial condition.</w:t>
      </w:r>
    </w:p>
    <w:p>
      <w:pPr>
        <w:spacing w:after="0" w:line="191" w:lineRule="exact"/>
        <w:rPr>
          <w:sz w:val="20"/>
          <w:szCs w:val="20"/>
          <w:color w:val="auto"/>
        </w:rPr>
      </w:pPr>
    </w:p>
    <w:p>
      <w:pPr>
        <w:ind w:right="580"/>
        <w:spacing w:after="0" w:line="267" w:lineRule="auto"/>
        <w:rPr>
          <w:sz w:val="20"/>
          <w:szCs w:val="20"/>
          <w:color w:val="auto"/>
        </w:rPr>
      </w:pPr>
      <w:r>
        <w:rPr>
          <w:rFonts w:ascii="Arial" w:cs="Arial" w:eastAsia="Arial" w:hAnsi="Arial"/>
          <w:sz w:val="18"/>
          <w:szCs w:val="18"/>
          <w:b w:val="1"/>
          <w:bCs w:val="1"/>
          <w:i w:val="1"/>
          <w:iCs w:val="1"/>
          <w:color w:val="auto"/>
        </w:rPr>
        <w:t>Our business would be adversely affected if we failed to comply with Section 27 of the Merchant Marine Act of 1920 (the “Jones Act”) provisions on coastwise trade, or if those provisions were modified or repealed.</w:t>
      </w:r>
    </w:p>
    <w:p>
      <w:pPr>
        <w:spacing w:after="0" w:line="73"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We are subject to the Jones Act and other federal laws that restrict dredging in U.S. waters and maritime transportation between points in the United States to vessels operating under the U.S. flag, built in the United States, at least 75% owned and operated by U.S. citizens and manned by U.S. crews. We are responsible for monitoring the ownership of our common stock to ensure compliance with these laws. If we do not comply with these restrictions, we would be prohibited from operating our vessels in the U.S. market, and under certain circumstances we would be deemed to have undertaken an unapproved foreign transfer, resulting in severe penalties, including permanent loss of U.S. dredging rights for our vessels, fines or forfeiture of the vessels.</w:t>
      </w:r>
    </w:p>
    <w:p>
      <w:pPr>
        <w:spacing w:after="0" w:line="165" w:lineRule="exact"/>
        <w:rPr>
          <w:sz w:val="20"/>
          <w:szCs w:val="20"/>
          <w:color w:val="auto"/>
        </w:rPr>
      </w:pPr>
    </w:p>
    <w:p>
      <w:pPr>
        <w:jc w:val="both"/>
        <w:ind w:right="140" w:firstLine="518"/>
        <w:spacing w:after="0" w:line="254" w:lineRule="auto"/>
        <w:rPr>
          <w:sz w:val="20"/>
          <w:szCs w:val="20"/>
          <w:color w:val="auto"/>
        </w:rPr>
      </w:pPr>
      <w:r>
        <w:rPr>
          <w:rFonts w:ascii="Arial" w:cs="Arial" w:eastAsia="Arial" w:hAnsi="Arial"/>
          <w:sz w:val="18"/>
          <w:szCs w:val="18"/>
          <w:color w:val="auto"/>
        </w:rPr>
        <w:t>In the past, interest groups have unsuccessfully lobbied Congress to modify or repeal the Jones Act to facilitate foreign flag competition for trades and cargoes currently reserved for U.S. flag vessels under the Jones Act. We believe that continued efforts may be made to modify or repeal the Jones Act or other federal laws currently benefiting U.S. flag vessels. If these efforts are ever successful, it could result in significantly increased competition and have a material adverse effect on our business, results of operations, cash flows or financial condition.</w:t>
      </w:r>
    </w:p>
    <w:p>
      <w:pPr>
        <w:spacing w:after="0" w:line="191" w:lineRule="exact"/>
        <w:rPr>
          <w:sz w:val="20"/>
          <w:szCs w:val="20"/>
          <w:color w:val="auto"/>
        </w:rPr>
      </w:pPr>
    </w:p>
    <w:p>
      <w:pPr>
        <w:ind w:right="580"/>
        <w:spacing w:after="0" w:line="267" w:lineRule="auto"/>
        <w:rPr>
          <w:sz w:val="20"/>
          <w:szCs w:val="20"/>
          <w:color w:val="auto"/>
        </w:rPr>
      </w:pPr>
      <w:r>
        <w:rPr>
          <w:rFonts w:ascii="Arial" w:cs="Arial" w:eastAsia="Arial" w:hAnsi="Arial"/>
          <w:sz w:val="18"/>
          <w:szCs w:val="18"/>
          <w:b w:val="1"/>
          <w:bCs w:val="1"/>
          <w:i w:val="1"/>
          <w:iCs w:val="1"/>
          <w:color w:val="auto"/>
        </w:rPr>
        <w:t>Our dependence on petroleum-based products increases our costs as the prices of such products increase, which could adversely affect our business, operations, revenues and profits.</w:t>
      </w:r>
    </w:p>
    <w:p>
      <w:pPr>
        <w:spacing w:after="0" w:line="73" w:lineRule="exact"/>
        <w:rPr>
          <w:sz w:val="20"/>
          <w:szCs w:val="20"/>
          <w:color w:val="auto"/>
        </w:rPr>
      </w:pPr>
    </w:p>
    <w:p>
      <w:pPr>
        <w:ind w:right="360" w:firstLine="518"/>
        <w:spacing w:after="0" w:line="267" w:lineRule="auto"/>
        <w:rPr>
          <w:sz w:val="20"/>
          <w:szCs w:val="20"/>
          <w:color w:val="auto"/>
        </w:rPr>
      </w:pPr>
      <w:r>
        <w:rPr>
          <w:rFonts w:ascii="Arial" w:cs="Arial" w:eastAsia="Arial" w:hAnsi="Arial"/>
          <w:sz w:val="18"/>
          <w:szCs w:val="18"/>
          <w:color w:val="auto"/>
        </w:rPr>
        <w:t>Fuel prices fluctuate based on market events outside of our control. We use diesel fuel and other petroleum-based products to operate our equipment used in our dredging and environmental and infrastructure contracts. Fluctuations in supplies relative to</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8" w:name="page19"/>
    <w:bookmarkEnd w:id="18"/>
    <w:p>
      <w:pPr>
        <w:ind w:right="80"/>
        <w:spacing w:after="0" w:line="295" w:lineRule="auto"/>
        <w:rPr>
          <w:sz w:val="20"/>
          <w:szCs w:val="20"/>
          <w:color w:val="auto"/>
        </w:rPr>
      </w:pPr>
      <w:r>
        <w:rPr>
          <w:rFonts w:ascii="Arial" w:cs="Arial" w:eastAsia="Arial" w:hAnsi="Arial"/>
          <w:sz w:val="16"/>
          <w:szCs w:val="16"/>
          <w:color w:val="auto"/>
        </w:rPr>
        <w:t>demand and other factors can cause unanticipated increases in their cost. Most of our contracts do not allow us to adjust our pricing for higher fuel costs during a contract term and we may be unable to secure price increases reflecting rising costs when renewing or bidding contracts. Future increases in the costs of fuel and other petroleum-based products used in our business, particularly if a bid has been submitted for a contract and the costs of those products have been estimated at amounts less than the actual costs thereof, could result in a lower profit, or even a loss, on one or more contracts.</w:t>
      </w:r>
    </w:p>
    <w:p>
      <w:pPr>
        <w:spacing w:after="0" w:line="162" w:lineRule="exact"/>
        <w:rPr>
          <w:sz w:val="20"/>
          <w:szCs w:val="20"/>
          <w:color w:val="auto"/>
        </w:rPr>
      </w:pPr>
    </w:p>
    <w:p>
      <w:pPr>
        <w:spacing w:after="0" w:line="267" w:lineRule="auto"/>
        <w:rPr>
          <w:sz w:val="20"/>
          <w:szCs w:val="20"/>
          <w:color w:val="auto"/>
        </w:rPr>
      </w:pPr>
      <w:r>
        <w:rPr>
          <w:rFonts w:ascii="Arial" w:cs="Arial" w:eastAsia="Arial" w:hAnsi="Arial"/>
          <w:sz w:val="18"/>
          <w:szCs w:val="18"/>
          <w:b w:val="1"/>
          <w:bCs w:val="1"/>
          <w:i w:val="1"/>
          <w:iCs w:val="1"/>
          <w:color w:val="auto"/>
        </w:rPr>
        <w:t>If we are unable, in the future, to obtain bonding or letters of credit for our contracts, our ability to obtain future contracts will be limited, thereby adversely affecting our business, operating results, cash flows or financial condition.</w:t>
      </w:r>
    </w:p>
    <w:p>
      <w:pPr>
        <w:spacing w:after="0" w:line="73" w:lineRule="exact"/>
        <w:rPr>
          <w:sz w:val="20"/>
          <w:szCs w:val="20"/>
          <w:color w:val="auto"/>
        </w:rPr>
      </w:pPr>
    </w:p>
    <w:p>
      <w:pPr>
        <w:ind w:firstLine="518"/>
        <w:spacing w:after="0" w:line="284" w:lineRule="auto"/>
        <w:rPr>
          <w:sz w:val="20"/>
          <w:szCs w:val="20"/>
          <w:color w:val="auto"/>
        </w:rPr>
      </w:pPr>
      <w:r>
        <w:rPr>
          <w:rFonts w:ascii="Arial" w:cs="Arial" w:eastAsia="Arial" w:hAnsi="Arial"/>
          <w:sz w:val="16"/>
          <w:szCs w:val="16"/>
          <w:color w:val="auto"/>
        </w:rPr>
        <w:t>We are generally required to post bonds in connection with our domestic dredging or environmental contracts and bonds or letters of credit with our foreign dredging contracts to ensure job completion if we ever fail to finish a project. We have entered into bonding agreements with Argonaut Insurance Company, Berkley Insurance Company, Chubb Surety and Liberty Mutual Insurance Company (collectively, the “Sureties”) to which the Sureties act as surety, issue bid bonds, performance bonds and payment bonds, and provide guarantees required by us in the day-to-day operations of our dredging business. The Company also has outstanding bonds with Travelers Casualty and Surety Company of America and Zurich. However, under certain circumstances as specified in the agreement, Zurich is not obligated under the Zurich Bonding Agreement to issue future bonds for us. Historically, we have had a strong bonding capacity, but surety companies issue bonds on a project-by-project basis and can decline to issue bonds at any time or require the posting of collateral as a condition to issuing any bonds. With respect to our foreign dredging business, we generally obtain letters of credit under our Credit Agreement. However, access to our senior credit facility under our Credit Agreement may be limited by failure to meet certain levels of availability or other defined financial or other requirements. If we are unable to obtain bonds or letters of credit on terms reasonably acceptable to us, our ability to take on future work would be severely limited.</w:t>
      </w:r>
    </w:p>
    <w:p>
      <w:pPr>
        <w:spacing w:after="0" w:line="170"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In connection with the sale of our historical demolition business, we were obligated to keep in place the surety bonds on pending demolition projects for the period required under the respective contract for a project. In 2017, we were notified by Zurich of an alleged default triggered on a historical demolition surety performance bond in the aggregate amount of approximately $20 million for failure of the contractor to perform in accordance with the terms of a project. Zurich drew upon the letter of credit in the amount of $20.9 million. In order to fund the draw on the letter of credit, we had to increase the borrowings on our revolving credit facility. As the outstanding letters of credit previously reduced our availability under the revolving credit facility, this draw down on our letter of credit did not impact our liquidity or capital availability. However, in the future, other defaults (or alleged defaults) triggered under any of our surety bonds could have a material adverse effect on our business, results of operations, cash flows or financial condition.</w:t>
      </w:r>
    </w:p>
    <w:p>
      <w:pPr>
        <w:spacing w:after="0" w:line="167" w:lineRule="exact"/>
        <w:rPr>
          <w:sz w:val="20"/>
          <w:szCs w:val="20"/>
          <w:color w:val="auto"/>
        </w:rPr>
      </w:pPr>
    </w:p>
    <w:p>
      <w:pPr>
        <w:ind w:right="100"/>
        <w:spacing w:after="0" w:line="331" w:lineRule="auto"/>
        <w:rPr>
          <w:sz w:val="20"/>
          <w:szCs w:val="20"/>
          <w:color w:val="auto"/>
        </w:rPr>
      </w:pPr>
      <w:r>
        <w:rPr>
          <w:rFonts w:ascii="Arial" w:cs="Arial" w:eastAsia="Arial" w:hAnsi="Arial"/>
          <w:sz w:val="16"/>
          <w:szCs w:val="16"/>
          <w:b w:val="1"/>
          <w:bCs w:val="1"/>
          <w:i w:val="1"/>
          <w:iCs w:val="1"/>
          <w:color w:val="auto"/>
        </w:rPr>
        <w:t>Capital expenditures and other costs necessary to operate and maintain our vessels tend to increase with the age of the vessel and may also increase due to changes in governmental regulations, safety or other equipment standards, which could result in a decrease in our profits.</w:t>
      </w:r>
    </w:p>
    <w:p>
      <w:pPr>
        <w:spacing w:after="0" w:line="26" w:lineRule="exact"/>
        <w:rPr>
          <w:sz w:val="20"/>
          <w:szCs w:val="20"/>
          <w:color w:val="auto"/>
        </w:rPr>
      </w:pPr>
    </w:p>
    <w:p>
      <w:pPr>
        <w:ind w:right="240" w:firstLine="518"/>
        <w:spacing w:after="0" w:line="267" w:lineRule="auto"/>
        <w:rPr>
          <w:sz w:val="20"/>
          <w:szCs w:val="20"/>
          <w:color w:val="auto"/>
        </w:rPr>
      </w:pPr>
      <w:r>
        <w:rPr>
          <w:rFonts w:ascii="Arial" w:cs="Arial" w:eastAsia="Arial" w:hAnsi="Arial"/>
          <w:sz w:val="18"/>
          <w:szCs w:val="18"/>
          <w:color w:val="auto"/>
        </w:rPr>
        <w:t>Capital expenditures and other costs necessary to operate and maintain our vessels tend to increase with the age of the vessel. Accordingly, it is likely that the operating costs of our vessels will increase.</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average age of our more significant vessels as of December 31, 2017, by equipment type, is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00" w:type="dxa"/>
            <w:vAlign w:val="bottom"/>
            <w:vMerge w:val="restart"/>
          </w:tcPr>
          <w:p>
            <w:pPr>
              <w:spacing w:after="0"/>
              <w:rPr>
                <w:sz w:val="20"/>
                <w:szCs w:val="20"/>
                <w:color w:val="auto"/>
              </w:rPr>
            </w:pPr>
            <w:r>
              <w:rPr>
                <w:rFonts w:ascii="Arial" w:cs="Arial" w:eastAsia="Arial" w:hAnsi="Arial"/>
                <w:sz w:val="14"/>
                <w:szCs w:val="14"/>
                <w:b w:val="1"/>
                <w:bCs w:val="1"/>
                <w:color w:val="auto"/>
              </w:rPr>
              <w:t>Type of Equipment</w:t>
            </w:r>
          </w:p>
        </w:tc>
        <w:tc>
          <w:tcPr>
            <w:tcW w:w="120" w:type="dxa"/>
            <w:vAlign w:val="bottom"/>
            <w:vMerge w:val="restart"/>
          </w:tcPr>
          <w:p>
            <w:pPr>
              <w:spacing w:after="0"/>
              <w:rPr>
                <w:sz w:val="14"/>
                <w:szCs w:val="14"/>
                <w:color w:val="auto"/>
              </w:rPr>
            </w:pPr>
          </w:p>
        </w:tc>
        <w:tc>
          <w:tcPr>
            <w:tcW w:w="11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Quantity</w:t>
            </w:r>
          </w:p>
        </w:tc>
        <w:tc>
          <w:tcPr>
            <w:tcW w:w="180" w:type="dxa"/>
            <w:vAlign w:val="bottom"/>
            <w:vMerge w:val="restart"/>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Average Age in</w:t>
            </w:r>
          </w:p>
        </w:tc>
        <w:tc>
          <w:tcPr>
            <w:tcW w:w="0" w:type="dxa"/>
            <w:vAlign w:val="bottom"/>
          </w:tcPr>
          <w:p>
            <w:pPr>
              <w:spacing w:after="0"/>
              <w:rPr>
                <w:sz w:val="1"/>
                <w:szCs w:val="1"/>
                <w:color w:val="auto"/>
              </w:rPr>
            </w:pPr>
          </w:p>
        </w:tc>
      </w:tr>
      <w:tr>
        <w:trPr>
          <w:trHeight w:val="169"/>
        </w:trPr>
        <w:tc>
          <w:tcPr>
            <w:tcW w:w="54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FF0FC"/>
            </w:tcBorders>
            <w:vMerge w:val="continue"/>
          </w:tcPr>
          <w:p>
            <w:pPr>
              <w:spacing w:after="0"/>
              <w:rPr>
                <w:sz w:val="14"/>
                <w:szCs w:val="14"/>
                <w:color w:val="auto"/>
              </w:rPr>
            </w:pPr>
          </w:p>
        </w:tc>
        <w:tc>
          <w:tcPr>
            <w:tcW w:w="11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Years</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Hydraulic Dredges</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gridSpan w:val="2"/>
          </w:tcPr>
          <w:p>
            <w:pPr>
              <w:spacing w:after="0"/>
              <w:rPr>
                <w:sz w:val="20"/>
                <w:szCs w:val="20"/>
                <w:color w:val="auto"/>
              </w:rPr>
            </w:pPr>
            <w:r>
              <w:rPr>
                <w:rFonts w:ascii="Arial" w:cs="Arial" w:eastAsia="Arial" w:hAnsi="Arial"/>
                <w:sz w:val="18"/>
                <w:szCs w:val="18"/>
                <w:color w:val="auto"/>
              </w:rPr>
              <w:t>Hopper Dredges</w:t>
            </w: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Mechanical Dredges</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gridSpan w:val="2"/>
          </w:tcPr>
          <w:p>
            <w:pPr>
              <w:spacing w:after="0"/>
              <w:rPr>
                <w:sz w:val="20"/>
                <w:szCs w:val="20"/>
                <w:color w:val="auto"/>
              </w:rPr>
            </w:pPr>
            <w:r>
              <w:rPr>
                <w:rFonts w:ascii="Arial" w:cs="Arial" w:eastAsia="Arial" w:hAnsi="Arial"/>
                <w:sz w:val="18"/>
                <w:szCs w:val="18"/>
                <w:color w:val="auto"/>
              </w:rPr>
              <w:t>Unloaders</w:t>
            </w: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Drillboats</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Material and Other Barges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8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8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100" w:firstLine="518"/>
        <w:spacing w:after="0" w:line="304" w:lineRule="auto"/>
        <w:rPr>
          <w:sz w:val="20"/>
          <w:szCs w:val="20"/>
          <w:color w:val="auto"/>
        </w:rPr>
      </w:pPr>
      <w:r>
        <w:rPr>
          <w:rFonts w:ascii="Arial" w:cs="Arial" w:eastAsia="Arial" w:hAnsi="Arial"/>
          <w:sz w:val="16"/>
          <w:szCs w:val="16"/>
          <w:color w:val="auto"/>
        </w:rPr>
        <w:t>Remaining economic life has not been presented because it is not reasonably quantifiable because, to the extent that market conditions warrant the expenditures, we can prolong the vessels’ lives. In our domestic market, we operate in an industry where a significant portion of our competitors’ equipment is of a similar age. It is common in the dredging industry to make maintenance and capital expenditures in order to extend the economic life of equipment.</w:t>
      </w:r>
    </w:p>
    <w:p>
      <w:pPr>
        <w:spacing w:after="0" w:line="154" w:lineRule="exact"/>
        <w:rPr>
          <w:sz w:val="20"/>
          <w:szCs w:val="20"/>
          <w:color w:val="auto"/>
        </w:rPr>
      </w:pPr>
    </w:p>
    <w:p>
      <w:pPr>
        <w:ind w:right="140" w:firstLine="518"/>
        <w:spacing w:after="0" w:line="254" w:lineRule="auto"/>
        <w:rPr>
          <w:sz w:val="20"/>
          <w:szCs w:val="20"/>
          <w:color w:val="auto"/>
        </w:rPr>
      </w:pPr>
      <w:r>
        <w:rPr>
          <w:rFonts w:ascii="Arial" w:cs="Arial" w:eastAsia="Arial" w:hAnsi="Arial"/>
          <w:sz w:val="18"/>
          <w:szCs w:val="18"/>
          <w:color w:val="auto"/>
        </w:rPr>
        <w:t>In addition, changes in governmental regulations, safety or other equipment standards, as well as compliance with standards imposed by maritime self-regulatory organizations, standards imposed by vessel classification societies and customer requirements or competition, may require us to make additional expenditures. For example, if the U.S. Coast Guard enacts new standards, we may be required to incur expenditures for alterations or the addition of new equipment (e.g. more fuel efficient engines). Other new standard</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234" w:right="259" w:bottom="1440" w:gutter="0" w:footer="0" w:header="0"/>
        </w:sectPr>
      </w:pPr>
    </w:p>
    <w:bookmarkStart w:id="19" w:name="page20"/>
    <w:bookmarkEnd w:id="19"/>
    <w:p>
      <w:pPr>
        <w:ind w:right="180"/>
        <w:spacing w:after="0" w:line="267" w:lineRule="auto"/>
        <w:rPr>
          <w:sz w:val="20"/>
          <w:szCs w:val="20"/>
          <w:color w:val="auto"/>
        </w:rPr>
      </w:pPr>
      <w:r>
        <w:rPr>
          <w:rFonts w:ascii="Arial" w:cs="Arial" w:eastAsia="Arial" w:hAnsi="Arial"/>
          <w:sz w:val="18"/>
          <w:szCs w:val="18"/>
          <w:color w:val="auto"/>
        </w:rPr>
        <w:t>requirements could be significant. In order to satisfy any such requirement, we may need to take our vessels out of service for extended periods of time, with corresponding losses of revenues.</w:t>
      </w:r>
    </w:p>
    <w:p>
      <w:pPr>
        <w:spacing w:after="0" w:line="180" w:lineRule="exact"/>
        <w:rPr>
          <w:sz w:val="20"/>
          <w:szCs w:val="20"/>
          <w:color w:val="auto"/>
        </w:rPr>
      </w:pPr>
    </w:p>
    <w:p>
      <w:pPr>
        <w:ind w:right="500"/>
        <w:spacing w:after="0" w:line="267" w:lineRule="auto"/>
        <w:rPr>
          <w:sz w:val="20"/>
          <w:szCs w:val="20"/>
          <w:color w:val="auto"/>
        </w:rPr>
      </w:pPr>
      <w:r>
        <w:rPr>
          <w:rFonts w:ascii="Arial" w:cs="Arial" w:eastAsia="Arial" w:hAnsi="Arial"/>
          <w:sz w:val="18"/>
          <w:szCs w:val="18"/>
          <w:b w:val="1"/>
          <w:bCs w:val="1"/>
          <w:i w:val="1"/>
          <w:iCs w:val="1"/>
          <w:color w:val="auto"/>
        </w:rPr>
        <w:t>We may experience equipment or mechanical failures, which could increase costs, reduce revenues and result in penalties for failure to meet project completion requirements.</w:t>
      </w:r>
    </w:p>
    <w:p>
      <w:pPr>
        <w:spacing w:after="0" w:line="73"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The successful performance of contracts requires a high degree of reliability of our vessels, barges and other equipment. The average age of our marine fleet as of December 31, 2017 was 28 years. Breakdowns not only add to the costs of executing a project, but they can also delay the completion of subsequent contracts, which are scheduled to utilize the same assets. We operate a scheduled maintenance program in order to keep all assets in good working order, but despite this, breakdowns can and do occur and may result in loss of revenue.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all of the expected benefits from our restructuring activities.</w:t>
      </w:r>
    </w:p>
    <w:p>
      <w:pPr>
        <w:spacing w:after="0" w:line="113" w:lineRule="exact"/>
        <w:rPr>
          <w:sz w:val="20"/>
          <w:szCs w:val="20"/>
          <w:color w:val="auto"/>
        </w:rPr>
      </w:pPr>
    </w:p>
    <w:p>
      <w:pPr>
        <w:ind w:right="80" w:firstLine="476"/>
        <w:spacing w:after="0" w:line="291" w:lineRule="auto"/>
        <w:rPr>
          <w:sz w:val="20"/>
          <w:szCs w:val="20"/>
          <w:color w:val="auto"/>
        </w:rPr>
      </w:pPr>
      <w:r>
        <w:rPr>
          <w:rFonts w:ascii="Arial" w:cs="Arial" w:eastAsia="Arial" w:hAnsi="Arial"/>
          <w:sz w:val="16"/>
          <w:szCs w:val="16"/>
          <w:color w:val="auto"/>
        </w:rPr>
        <w:t>In October 2017, we announced that we were executing a restructuring plan that would allow us to focus on reducing debt, improving return on capital and enhancing our fleet (the “Restructuring Plan”). Actual total costs, savings, benefits and timing of the Restructuring Plan may vary from our estimates. We therefore cannot ensure that we will achieve the targeted savings or other benefits. Numerous factors may limit the extent to which the anticipated benefits are realized. Unanticipated costs or unrealized savings in connection with the Restructuring Plan could adversely affect our results of operations and financial condition, as well as our likelihood of realizing, and the amount of, expected restructuring charges to be realized in connection with the Restructuring Plan.</w:t>
      </w:r>
    </w:p>
    <w:p>
      <w:pPr>
        <w:spacing w:after="0" w:line="16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b w:val="1"/>
          <w:bCs w:val="1"/>
          <w:i w:val="1"/>
          <w:iCs w:val="1"/>
          <w:color w:val="auto"/>
        </w:rPr>
        <w:t>Our current business strategy may include acquisitions which present certain risks and uncertainties. There are integration and consolidation risks associated with acquisitions. Future acquisitions may result in significant transaction expenses, unexpected liabilities and risks associated with entering new markets, and we may be unable to profitably operate these businesses.</w:t>
      </w:r>
    </w:p>
    <w:p>
      <w:pPr>
        <w:spacing w:after="0" w:line="8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may seek business acquisition activities as a means of broadening our offerings and capturing additional market opportunities by our business units.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We may be exposed to certain additional risks resulting from these activities. Acquisitions may expose us to operational challenges and risks, including:</w:t>
      </w:r>
    </w:p>
    <w:p>
      <w:pPr>
        <w:spacing w:after="0" w:line="125" w:lineRule="exact"/>
        <w:rPr>
          <w:sz w:val="20"/>
          <w:szCs w:val="20"/>
          <w:color w:val="auto"/>
        </w:rPr>
      </w:pPr>
    </w:p>
    <w:p>
      <w:pPr>
        <w:ind w:left="1020" w:hanging="507"/>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effects of valuation methodologies which may not accurately capture the value proposition;</w:t>
      </w:r>
    </w:p>
    <w:p>
      <w:pPr>
        <w:spacing w:after="0" w:line="113" w:lineRule="exact"/>
        <w:rPr>
          <w:rFonts w:ascii="Arial" w:cs="Arial" w:eastAsia="Arial" w:hAnsi="Arial"/>
          <w:sz w:val="18"/>
          <w:szCs w:val="18"/>
          <w:color w:val="auto"/>
        </w:rPr>
      </w:pPr>
    </w:p>
    <w:p>
      <w:pPr>
        <w:ind w:left="1020" w:right="340" w:hanging="507"/>
        <w:spacing w:after="0" w:line="297"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failure to integrate acquired businesses into our operations, financial reporting and controls with the efficiency and effectiveness initially expected resulting in a potentially significant detriment to our financial results and our operations as a whole;</w:t>
      </w:r>
    </w:p>
    <w:p>
      <w:pPr>
        <w:spacing w:after="0" w:line="49" w:lineRule="exact"/>
        <w:rPr>
          <w:rFonts w:ascii="Arial" w:cs="Arial" w:eastAsia="Arial" w:hAnsi="Arial"/>
          <w:sz w:val="17"/>
          <w:szCs w:val="17"/>
          <w:color w:val="auto"/>
        </w:rPr>
      </w:pPr>
    </w:p>
    <w:p>
      <w:pPr>
        <w:ind w:left="1020" w:hanging="507"/>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management of the growth resulting from acquisition activities;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inability to capitalize on expected synergies;</w:t>
      </w:r>
    </w:p>
    <w:p>
      <w:pPr>
        <w:spacing w:after="0" w:line="113" w:lineRule="exact"/>
        <w:rPr>
          <w:rFonts w:ascii="Arial" w:cs="Arial" w:eastAsia="Arial" w:hAnsi="Arial"/>
          <w:sz w:val="18"/>
          <w:szCs w:val="18"/>
          <w:color w:val="auto"/>
        </w:rPr>
      </w:pPr>
    </w:p>
    <w:p>
      <w:pPr>
        <w:ind w:left="1020" w:hanging="507"/>
        <w:spacing w:after="0" w:line="25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assumption of liabilities of an acquired business (for example, litigation, tax liabilities, environmental liabilities), including liabilities that were contingent or unknown at the time of the acquisition and that pose future risks to our working capital needs, cash flows and the profitability of related operations;</w:t>
      </w:r>
    </w:p>
    <w:p>
      <w:pPr>
        <w:spacing w:after="0" w:line="81" w:lineRule="exact"/>
        <w:rPr>
          <w:rFonts w:ascii="Arial" w:cs="Arial" w:eastAsia="Arial" w:hAnsi="Arial"/>
          <w:sz w:val="18"/>
          <w:szCs w:val="18"/>
          <w:color w:val="auto"/>
        </w:rPr>
      </w:pPr>
    </w:p>
    <w:p>
      <w:pPr>
        <w:ind w:left="1020" w:hanging="507"/>
        <w:spacing w:after="0"/>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assumption of unprofitable projects that pose future risks to our working capital needs, cash flows and the profitability of related operations;</w:t>
      </w:r>
    </w:p>
    <w:p>
      <w:pPr>
        <w:spacing w:after="0" w:line="136" w:lineRule="exact"/>
        <w:rPr>
          <w:rFonts w:ascii="Arial" w:cs="Arial" w:eastAsia="Arial" w:hAnsi="Arial"/>
          <w:sz w:val="16"/>
          <w:szCs w:val="16"/>
          <w:color w:val="auto"/>
        </w:rPr>
      </w:pPr>
    </w:p>
    <w:p>
      <w:pPr>
        <w:ind w:left="1020" w:hanging="507"/>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risks associated with entering new markets;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retain key personnel, customers or contracts of any acquired business;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adverse effects on our ability to comply with covenants in our existing debt financing;</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impairment of acquired intangible assets; and</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additional debt financing, which may not be available on attractive terms.</w:t>
      </w:r>
    </w:p>
    <w:p>
      <w:pPr>
        <w:spacing w:after="0" w:line="220" w:lineRule="exact"/>
        <w:rPr>
          <w:sz w:val="20"/>
          <w:szCs w:val="20"/>
          <w:color w:val="auto"/>
        </w:rPr>
      </w:pPr>
    </w:p>
    <w:p>
      <w:pPr>
        <w:ind w:right="100" w:firstLine="518"/>
        <w:spacing w:after="0" w:line="267" w:lineRule="auto"/>
        <w:rPr>
          <w:sz w:val="20"/>
          <w:szCs w:val="20"/>
          <w:color w:val="auto"/>
        </w:rPr>
      </w:pPr>
      <w:r>
        <w:rPr>
          <w:rFonts w:ascii="Arial" w:cs="Arial" w:eastAsia="Arial" w:hAnsi="Arial"/>
          <w:sz w:val="18"/>
          <w:szCs w:val="18"/>
          <w:color w:val="auto"/>
        </w:rPr>
        <w:t>We may not have the appropriate management, financial or other resources needed to integrate any businesses that we acquire. Any future acquisitions may result in significant transaction expenses and unexpected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 the future incur liabilities in connection with the disposition of our historical demolition business.</w:t>
      </w:r>
    </w:p>
    <w:p>
      <w:pPr>
        <w:spacing w:after="0" w:line="113"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On April 24, 2014, the Company announced that it had completed the sale of its historical demolition business. In connection with the sale, the Company retained responsibility for various pre-closing liabilities and obligations and may incur costs and expenses related to these items and asset recoveries. It is possible that claims, which could be material, could be made against the Company pursuant to the agreement pursuant to which the Company’s historical demolition business was sold. In connection with the sale of our</w:t>
      </w:r>
    </w:p>
    <w:p>
      <w:pPr>
        <w:spacing w:after="0" w:line="1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40"/>
          </w:cols>
          <w:pgMar w:left="240" w:top="340" w:right="319" w:bottom="1440" w:gutter="0" w:footer="0" w:header="0"/>
        </w:sectPr>
      </w:pPr>
    </w:p>
    <w:bookmarkStart w:id="20" w:name="page21"/>
    <w:bookmarkEnd w:id="20"/>
    <w:p>
      <w:pPr>
        <w:ind w:right="20"/>
        <w:spacing w:after="0" w:line="279" w:lineRule="auto"/>
        <w:rPr>
          <w:sz w:val="20"/>
          <w:szCs w:val="20"/>
          <w:color w:val="auto"/>
        </w:rPr>
      </w:pPr>
      <w:r>
        <w:rPr>
          <w:rFonts w:ascii="Arial" w:cs="Arial" w:eastAsia="Arial" w:hAnsi="Arial"/>
          <w:sz w:val="17"/>
          <w:szCs w:val="17"/>
          <w:color w:val="auto"/>
        </w:rPr>
        <w:t>historical demolition business, we were obligated to keep in place the surety bonds on pending demolition projects for the period required under the respective contract for a project. As noted above, if there should be a default (or alleged default) triggered under any of such surety bonds, it could have a material adverse effect on our ability to obtain bonds and on our business, results of operations, cash flows or financial condition.</w:t>
      </w:r>
    </w:p>
    <w:p>
      <w:pPr>
        <w:spacing w:after="0" w:line="172"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b w:val="1"/>
          <w:bCs w:val="1"/>
          <w:i w:val="1"/>
          <w:iCs w:val="1"/>
          <w:color w:val="auto"/>
        </w:rPr>
        <w:t>Our realignment, integration, and divestiture activities may not be sufficient to bring our environmental &amp; infrastructure segment back to profitability and could affect our project resourcing capabilities.</w:t>
      </w:r>
    </w:p>
    <w:p>
      <w:pPr>
        <w:spacing w:after="0" w:line="73" w:lineRule="exact"/>
        <w:rPr>
          <w:sz w:val="20"/>
          <w:szCs w:val="20"/>
          <w:color w:val="auto"/>
        </w:rPr>
      </w:pPr>
    </w:p>
    <w:p>
      <w:pPr>
        <w:ind w:right="60" w:firstLine="518"/>
        <w:spacing w:after="0" w:line="267" w:lineRule="auto"/>
        <w:rPr>
          <w:sz w:val="20"/>
          <w:szCs w:val="20"/>
          <w:color w:val="auto"/>
        </w:rPr>
      </w:pPr>
      <w:r>
        <w:rPr>
          <w:rFonts w:ascii="Arial" w:cs="Arial" w:eastAsia="Arial" w:hAnsi="Arial"/>
          <w:sz w:val="17"/>
          <w:szCs w:val="17"/>
          <w:color w:val="auto"/>
        </w:rPr>
        <w:t>We acquired Terra in December 2012 and Magnus in November 2014. In 2015, we initiated activities in the environmental &amp; infrastructure segment to align costs with anticipated revenues and improve project execution. These realignment activities continued in 2016 and culminated in the divestiture of certain assets associated with the service lines of the Terra unit. There can be no assurance that we will meet our cost reduction goals, although we currently believe that we will, or that our goals were aggressive enough in the context of the segment’s needs to reduce expenses. Moreover, we may lose key personnel during the process and that could have a negative impact on our ability to deliver projects and, consequently, on our results of operations. In addition, following the divestiture, the Company retained responsibility for various pre-closing liabilities and obligations and may incur costs and expenses related to these items. In connection with the divestiture, the Company retained responsibility for the collection of certain accounts receivable and work in progress that, if uncollected, may have a negative effect on the Company’s cash flows or financial condition.</w:t>
      </w:r>
    </w:p>
    <w:p>
      <w:pPr>
        <w:spacing w:after="0" w:line="181" w:lineRule="exact"/>
        <w:rPr>
          <w:sz w:val="20"/>
          <w:szCs w:val="20"/>
          <w:color w:val="auto"/>
        </w:rPr>
      </w:pPr>
    </w:p>
    <w:p>
      <w:pPr>
        <w:ind w:right="60" w:firstLine="518"/>
        <w:spacing w:after="0" w:line="250" w:lineRule="auto"/>
        <w:rPr>
          <w:sz w:val="20"/>
          <w:szCs w:val="20"/>
          <w:color w:val="auto"/>
        </w:rPr>
      </w:pPr>
      <w:r>
        <w:rPr>
          <w:rFonts w:ascii="Arial" w:cs="Arial" w:eastAsia="Arial" w:hAnsi="Arial"/>
          <w:sz w:val="18"/>
          <w:szCs w:val="18"/>
          <w:color w:val="auto"/>
        </w:rPr>
        <w:t>We continue to remain subject to risks and uncertainties associated with the environmental &amp; infrastructure segment and the incurrence of additional indebtedness to fund the Magnus acquisition. There could be additional delays, disruptions or other unexpected challenges that arise in connection with our realignment activities which could make it difficult to realize the expected benefits of the acquisitions. We currently have a substantial amount of indebtedness, and if the environmental &amp; infrastructure segment does not generate the earnings or cash flow we expect, our liquidity and ability to continue to service our indebtedness could be adversely impacted. There can be no assurance that we may not discover information that could affect our expectations of the environmental &amp; infrastructure segment’s ability to generate earnings and cash flow on a going forward basis. If the environmental &amp; infrastructure segment’s future results are different from the historical results provided to us during the acquisition process, our results of operations or liquidity could be adversely affected.</w:t>
      </w:r>
    </w:p>
    <w:p>
      <w:pPr>
        <w:spacing w:after="0" w:line="195" w:lineRule="exact"/>
        <w:rPr>
          <w:sz w:val="20"/>
          <w:szCs w:val="20"/>
          <w:color w:val="auto"/>
        </w:rPr>
      </w:pPr>
    </w:p>
    <w:p>
      <w:pPr>
        <w:ind w:right="140" w:firstLine="518"/>
        <w:spacing w:after="0" w:line="254" w:lineRule="auto"/>
        <w:rPr>
          <w:sz w:val="20"/>
          <w:szCs w:val="20"/>
          <w:color w:val="auto"/>
        </w:rPr>
      </w:pPr>
      <w:r>
        <w:rPr>
          <w:rFonts w:ascii="Arial" w:cs="Arial" w:eastAsia="Arial" w:hAnsi="Arial"/>
          <w:sz w:val="18"/>
          <w:szCs w:val="18"/>
          <w:color w:val="auto"/>
        </w:rPr>
        <w:t>Moreover, although we completed the acquisitions because we believe that they will be beneficial to us and our stockholders, there is no assurance that we will be able to realign or integrate the operations of the environmental &amp; infrastructure segment into our operations and achieve these benefits without encountering unexpected difficulties, including unanticipated costs, difficulty in retaining customers, challenges associated with information technology integration and failure to retain key employees.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face liabilities and/or damage to our reputation as a result of certain legal and regulatory proceedings.</w:t>
      </w:r>
    </w:p>
    <w:p>
      <w:pPr>
        <w:spacing w:after="0" w:line="113"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From time to time, we are subject to legal and regulatory proceedings in the ordinary course of our business. These include proceedings relating to aspects of our businesses that are specific to us and proceedings that are typical in the businesses in which we operate. We are currently a defendant in a number of litigation matters, including those described in Item 3. “Legal Proceedings” of this Annual Report on Form 10-K. In certain of these matters, the plaintiffs are seeking large and/or indeterminate amounts of damages. These matters are subject to many uncertainties, and it is possible that some of these matters could ultimately be decided, resolved or settled adversely to the Company. An adverse outcome in a legal or regulatory matter could, depending on the facts, have an adverse effect on our business, results of operations, cash flows or financial condition.</w:t>
      </w:r>
    </w:p>
    <w:p>
      <w:pPr>
        <w:spacing w:after="0" w:line="179" w:lineRule="exact"/>
        <w:rPr>
          <w:sz w:val="20"/>
          <w:szCs w:val="20"/>
          <w:color w:val="auto"/>
        </w:rPr>
      </w:pPr>
    </w:p>
    <w:p>
      <w:pPr>
        <w:ind w:right="380" w:firstLine="518"/>
        <w:spacing w:after="0" w:line="254" w:lineRule="auto"/>
        <w:rPr>
          <w:sz w:val="20"/>
          <w:szCs w:val="20"/>
          <w:color w:val="auto"/>
        </w:rPr>
      </w:pPr>
      <w:r>
        <w:rPr>
          <w:rFonts w:ascii="Arial" w:cs="Arial" w:eastAsia="Arial" w:hAnsi="Arial"/>
          <w:sz w:val="18"/>
          <w:szCs w:val="18"/>
          <w:color w:val="auto"/>
        </w:rPr>
        <w:t>In addition to its potential financial impact, legal and regulatory matters can have a significant adverse reputational impact. Allegations of improper conduct made by private litigants or regulators, whether the ultimate outcome is favorable or unfavorable to us, as well as negative publicity and press speculation about us, whether valid or not, may harm our reputation, which may be damaging to our business, results of operations, cash flows or financial condition.</w:t>
      </w:r>
    </w:p>
    <w:p>
      <w:pPr>
        <w:spacing w:after="0" w:line="191"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b w:val="1"/>
          <w:bCs w:val="1"/>
          <w:i w:val="1"/>
          <w:iCs w:val="1"/>
          <w:color w:val="auto"/>
        </w:rPr>
        <w:t>Our current business strategy includes the construction of new vessels. There are substantial uncertainties associated with such construction, including the possibility of unforeseen delays and cost overruns.</w:t>
      </w:r>
    </w:p>
    <w:p>
      <w:pPr>
        <w:spacing w:after="0" w:line="73" w:lineRule="exact"/>
        <w:rPr>
          <w:sz w:val="20"/>
          <w:szCs w:val="20"/>
          <w:color w:val="auto"/>
        </w:rPr>
      </w:pPr>
    </w:p>
    <w:p>
      <w:pPr>
        <w:ind w:right="40" w:firstLine="518"/>
        <w:spacing w:after="0" w:line="266" w:lineRule="auto"/>
        <w:rPr>
          <w:sz w:val="20"/>
          <w:szCs w:val="20"/>
          <w:color w:val="auto"/>
        </w:rPr>
      </w:pPr>
      <w:r>
        <w:rPr>
          <w:rFonts w:ascii="Arial" w:cs="Arial" w:eastAsia="Arial" w:hAnsi="Arial"/>
          <w:sz w:val="17"/>
          <w:szCs w:val="17"/>
          <w:color w:val="auto"/>
        </w:rPr>
        <w:t>We have previously disclosed our plans to build new vessels, including an ATB trailing suction hopper dredge, which is now in full operation. As the Company previously disclosed, the ATB experienced some delays in operation due to mechanical issues involving the port side gearbox. Although the ATB is now in operation, other unknown mechanical or engineering issues involving the ATB, or other mechanical or engineering issues involving other new vessels, could adversely affect the Company’s business, operating results, cash flows or financial condition. Our future revenues and profitability will also be impacted to some extent by our ability to secure financing for new vessels and bring them into service within the timeline anticipated by the Company. The Company contracts with shipyards to build new vessels and currently has vessels under construction. Construction projects are subject to risks of delay and cost overruns, resulting from shortages of equipment, materials and skilled labor; lack of shipyard availability; unforeseen design and engineering problems; work stoppages; weather interference; unanticipated cost increases; unscheduled delays in the delivery of material and equipment; and financial and other difficulties at shipyards including labor disputes, shipyard insolvency and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234" w:right="259" w:bottom="1440" w:gutter="0" w:footer="0" w:header="0"/>
        </w:sectPr>
      </w:pPr>
    </w:p>
    <w:bookmarkStart w:id="21" w:name="page22"/>
    <w:bookmarkEnd w:id="21"/>
    <w:p>
      <w:pPr>
        <w:spacing w:after="0" w:line="251" w:lineRule="auto"/>
        <w:rPr>
          <w:sz w:val="20"/>
          <w:szCs w:val="20"/>
          <w:color w:val="auto"/>
        </w:rPr>
      </w:pPr>
      <w:r>
        <w:rPr>
          <w:rFonts w:ascii="Arial" w:cs="Arial" w:eastAsia="Arial" w:hAnsi="Arial"/>
          <w:sz w:val="18"/>
          <w:szCs w:val="18"/>
          <w:color w:val="auto"/>
        </w:rPr>
        <w:t>inability to obtain necessary certifications and approvals. A significant delay in the construction of new vessels or a shipyard’s inability to perform under the construction contract could negatively impact the Company’s ability to fulfill contract commitments and to realize timely revenues with respect to vessels under construction. Significant cost overruns or delays for vessels under construction could also adversely affect the Company’s business, operating results, cash flows or financial condition. Changes in governmental regulations, safety or other equipment standards, as well as compliance with standards imposed by maritime self-regulatory organizations and customer requirements or competition, could also substantially increase the cost of such construction beyond what we currently expect such costs to be.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liable for the obligations of our joint ventures, partners and subcontractors.</w:t>
      </w:r>
    </w:p>
    <w:p>
      <w:pPr>
        <w:spacing w:after="0" w:line="113" w:lineRule="exact"/>
        <w:rPr>
          <w:sz w:val="20"/>
          <w:szCs w:val="20"/>
          <w:color w:val="auto"/>
        </w:rPr>
      </w:pPr>
    </w:p>
    <w:p>
      <w:pPr>
        <w:ind w:firstLine="518"/>
        <w:spacing w:after="0" w:line="249" w:lineRule="auto"/>
        <w:rPr>
          <w:sz w:val="20"/>
          <w:szCs w:val="20"/>
          <w:color w:val="auto"/>
        </w:rPr>
      </w:pPr>
      <w:r>
        <w:rPr>
          <w:rFonts w:ascii="Arial" w:cs="Arial" w:eastAsia="Arial" w:hAnsi="Arial"/>
          <w:sz w:val="18"/>
          <w:szCs w:val="18"/>
          <w:color w:val="auto"/>
        </w:rPr>
        <w:t>Some of our projects are performed through joint ventures and similar arrangements with other parties. In addition to the usual liability of contractors for the completion of contracts and the warranty of our work, if work is performed through a joint venture or similar arrangement, we also have potential liability for the work performed by the joint venture or arrangement or a performance or payment default by another member of the joint venture or arrangement. In these projects, even if we satisfactorily complete our project responsibilities within budget, we may incur additional unforeseen costs due to the failure of the other party or parties to the arrangement to perform or complete work, fund expenditures, or make payments in accordance with contract specifications. In some joint ventures and similar arrangements, we may not be the controlling member. In these cases, we may have limited control over the actions of the joint venture. In addition, joint ventures or arrangements may not be subject to the same requirements regarding internal controls and internal control over financial reporting that we follow. To the extent the controlling member makes decisions that negatively impact the joint venture or arrangement or internal control problems arise within the joint venture or arrangement, it could have a material adverse impact on our business, results of operations, cash flows or financial condition.</w:t>
      </w:r>
    </w:p>
    <w:p>
      <w:pPr>
        <w:spacing w:after="0" w:line="199"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Depending on the nature of work required to complete the project, we may choose to subcontract a portion of the project. In our industries, the prime contractor is often responsible for the performance of the entire contract, including subcontract work. Thus, we are subject to the risk associated with the failure of one or more subcontractors to perform as anticipated. In addition, in some cases, we pay our subcontractors before our customers pay us for the related services. If we choose, or are required, to pay our subcontractors for work performed for customers who fail to pay, or delay paying us for the related work, we could experience a material decrease in profitability and liquidity.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regulations could force us to incur capital and operational costs.</w:t>
      </w:r>
    </w:p>
    <w:p>
      <w:pPr>
        <w:spacing w:after="0" w:line="113" w:lineRule="exact"/>
        <w:rPr>
          <w:sz w:val="20"/>
          <w:szCs w:val="20"/>
          <w:color w:val="auto"/>
        </w:rPr>
      </w:pPr>
    </w:p>
    <w:p>
      <w:pPr>
        <w:ind w:firstLine="518"/>
        <w:spacing w:after="0" w:line="250" w:lineRule="auto"/>
        <w:rPr>
          <w:sz w:val="20"/>
          <w:szCs w:val="20"/>
          <w:color w:val="auto"/>
        </w:rPr>
      </w:pPr>
      <w:r>
        <w:rPr>
          <w:rFonts w:ascii="Arial" w:cs="Arial" w:eastAsia="Arial" w:hAnsi="Arial"/>
          <w:sz w:val="18"/>
          <w:szCs w:val="18"/>
          <w:color w:val="auto"/>
        </w:rPr>
        <w:t>Our industries, and more specifically, our operations, facilities and vessels and equipment, are subject to various environmental laws and regulations relating to, among other things: dredging operations; the disposal of dredged material; protection of wetlands; storm water and waste water discharges; environmental and infrastructure activities; asbestos removal; transportation and disposal of hazardous wastes and other regulated materials; air emissions; and disposal or remediation of contaminated soil, sediments, surface water and groundwater. We are also subject to laws designed to protect certain marine or land species and habitats. Compliance with these statutes and regulations can delay permitting and/or performance of particular projects and increase related project costs. These delays and increased costs could have a material adverse effect on our business, results of operations, cash flows or financial condition. Non-compliance can also result in fines, penalties and claims by third parties seeking damages for alleged personal injury, as well as damages to property and natural resources.</w:t>
      </w:r>
    </w:p>
    <w:p>
      <w:pPr>
        <w:spacing w:after="0" w:line="195" w:lineRule="exact"/>
        <w:rPr>
          <w:sz w:val="20"/>
          <w:szCs w:val="20"/>
          <w:color w:val="auto"/>
        </w:rPr>
      </w:pPr>
    </w:p>
    <w:p>
      <w:pPr>
        <w:ind w:firstLine="518"/>
        <w:spacing w:after="0" w:line="267" w:lineRule="auto"/>
        <w:rPr>
          <w:sz w:val="20"/>
          <w:szCs w:val="20"/>
          <w:color w:val="auto"/>
        </w:rPr>
      </w:pPr>
      <w:r>
        <w:rPr>
          <w:rFonts w:ascii="Arial" w:cs="Arial" w:eastAsia="Arial" w:hAnsi="Arial"/>
          <w:sz w:val="17"/>
          <w:szCs w:val="17"/>
          <w:color w:val="auto"/>
        </w:rPr>
        <w:t>Certain environmental laws such as the U.S. Comprehensive Environmental Response, Compensation and Liability Act of 1980 and the Oil Pollution Act of 1990 impose strict and, under some circumstances, joint and several, liability on owners and lessees of land and facilities as well as owners and operators of vessels. Such obligations may include investigation and remediation of releases and discharges of regulated materials, and also impose liability for related damages to natural resources. Our past and ongoing operations, particularly the environmental and remediation operations of Terra and Magnus, involve the use, and from time to time the release or discharge, of regulated materials which could result in liability under these and other environmental laws. We have remediated known releases and discharges as deemed necessary, but there can be no guarantee that additional costs will not be incurred if, for example, third party claims arise or new conditions are discovered.</w:t>
      </w:r>
    </w:p>
    <w:p>
      <w:pPr>
        <w:spacing w:after="0" w:line="185" w:lineRule="exact"/>
        <w:rPr>
          <w:sz w:val="20"/>
          <w:szCs w:val="20"/>
          <w:color w:val="auto"/>
        </w:rPr>
      </w:pPr>
    </w:p>
    <w:p>
      <w:pPr>
        <w:ind w:right="20" w:firstLine="518"/>
        <w:spacing w:after="0" w:line="266" w:lineRule="auto"/>
        <w:rPr>
          <w:sz w:val="20"/>
          <w:szCs w:val="20"/>
          <w:color w:val="auto"/>
        </w:rPr>
      </w:pPr>
      <w:r>
        <w:rPr>
          <w:rFonts w:ascii="Arial" w:cs="Arial" w:eastAsia="Arial" w:hAnsi="Arial"/>
          <w:sz w:val="17"/>
          <w:szCs w:val="17"/>
          <w:color w:val="auto"/>
        </w:rPr>
        <w:t>Our projects may involve excavation, remediation, demolition, transportation, management and disposal of hazardous waste and other regulated materials. Various laws strictly regulate the removal, treatment and transportation of hazardous waste and other regulated materials and impose liability for human health effects and environmental contamination caused by these materials. Our environmental and infrastructure business conducted by Terra and Magnus, for example, requires us to transport and dispose of hazardous substances and other wastes, such as asbestos. Services rendered in connection with hazardous substance and material removal and site development may involve professional judgments by licensed experts about the nature of soil conditions and other physical conditions, including the extent to which hazardous substances and materials are present, and about the probable effect of procedures to mitigate problems or otherwise affect those conditions. If the judgments and the recommendations based upon those judgments are incorrect, we may be liable for resulting damages, which may be material. The failure of certain contractual protections to protect us from incurring such liability, such as staying out of the ownership chain for hazardous waste and other regulated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234" w:right="259" w:bottom="1440" w:gutter="0" w:footer="0" w:header="0"/>
        </w:sectPr>
      </w:pPr>
    </w:p>
    <w:bookmarkStart w:id="22" w:name="page23"/>
    <w:bookmarkEnd w:id="22"/>
    <w:p>
      <w:pPr>
        <w:ind w:right="540"/>
        <w:spacing w:after="0" w:line="267" w:lineRule="auto"/>
        <w:rPr>
          <w:sz w:val="20"/>
          <w:szCs w:val="20"/>
          <w:color w:val="auto"/>
        </w:rPr>
      </w:pPr>
      <w:r>
        <w:rPr>
          <w:rFonts w:ascii="Arial" w:cs="Arial" w:eastAsia="Arial" w:hAnsi="Arial"/>
          <w:sz w:val="18"/>
          <w:szCs w:val="18"/>
          <w:color w:val="auto"/>
        </w:rPr>
        <w:t>materials and securing indemnification obligations from our customers or subcontractors, could have a material adverse effect on our business, results of operations, revenues or profits.</w:t>
      </w:r>
    </w:p>
    <w:p>
      <w:pPr>
        <w:spacing w:after="0" w:line="180" w:lineRule="exact"/>
        <w:rPr>
          <w:sz w:val="20"/>
          <w:szCs w:val="20"/>
          <w:color w:val="auto"/>
        </w:rPr>
      </w:pPr>
    </w:p>
    <w:p>
      <w:pPr>
        <w:ind w:right="180" w:firstLine="518"/>
        <w:spacing w:after="0" w:line="279" w:lineRule="auto"/>
        <w:rPr>
          <w:sz w:val="20"/>
          <w:szCs w:val="20"/>
          <w:color w:val="auto"/>
        </w:rPr>
      </w:pPr>
      <w:r>
        <w:rPr>
          <w:rFonts w:ascii="Arial" w:cs="Arial" w:eastAsia="Arial" w:hAnsi="Arial"/>
          <w:sz w:val="17"/>
          <w:szCs w:val="17"/>
          <w:color w:val="auto"/>
        </w:rPr>
        <w:t>Environmental requirements have generally become more stringent over time, for example in the areas of air emissions controls for vessels and ballast treatment and handling. New or stricter enforcement of existing laws, the discovery of currently unknown conditions or accidental discharges of regulated materials in the future could cause us to incur additional costs for environmental matters which might be significant.</w:t>
      </w:r>
    </w:p>
    <w:p>
      <w:pPr>
        <w:spacing w:after="0" w:line="172" w:lineRule="exact"/>
        <w:rPr>
          <w:sz w:val="20"/>
          <w:szCs w:val="20"/>
          <w:color w:val="auto"/>
        </w:rPr>
      </w:pPr>
    </w:p>
    <w:p>
      <w:pPr>
        <w:ind w:right="320"/>
        <w:spacing w:after="0" w:line="267" w:lineRule="auto"/>
        <w:rPr>
          <w:sz w:val="20"/>
          <w:szCs w:val="20"/>
          <w:color w:val="auto"/>
        </w:rPr>
      </w:pPr>
      <w:r>
        <w:rPr>
          <w:rFonts w:ascii="Arial" w:cs="Arial" w:eastAsia="Arial" w:hAnsi="Arial"/>
          <w:sz w:val="18"/>
          <w:szCs w:val="18"/>
          <w:b w:val="1"/>
          <w:bCs w:val="1"/>
          <w:i w:val="1"/>
          <w:iCs w:val="1"/>
          <w:color w:val="auto"/>
        </w:rPr>
        <w:t>Uncertainty regarding fiscal, immigration, and other policies of the current U.S. Presidential administration or the impact of the Tax Cuts and Jobs Act may adversely affect our business.</w:t>
      </w:r>
    </w:p>
    <w:p>
      <w:pPr>
        <w:spacing w:after="0" w:line="180" w:lineRule="exact"/>
        <w:rPr>
          <w:sz w:val="20"/>
          <w:szCs w:val="20"/>
          <w:color w:val="auto"/>
        </w:rPr>
      </w:pPr>
    </w:p>
    <w:p>
      <w:pPr>
        <w:ind w:right="60" w:firstLine="761"/>
        <w:spacing w:after="0" w:line="273" w:lineRule="auto"/>
        <w:rPr>
          <w:sz w:val="20"/>
          <w:szCs w:val="20"/>
          <w:color w:val="auto"/>
        </w:rPr>
      </w:pPr>
      <w:r>
        <w:rPr>
          <w:rFonts w:ascii="Arial" w:cs="Arial" w:eastAsia="Arial" w:hAnsi="Arial"/>
          <w:sz w:val="17"/>
          <w:szCs w:val="17"/>
          <w:color w:val="auto"/>
        </w:rPr>
        <w:t>The current U.S. Presidential administration has called for changes to fiscal, immigration and other policies, which may include changes to infrastructure spending. We cannot predict the impact, if any, of these changes to our business. Until we know what changes are enacted and when, we will not know whether in total we benefit from, or are negatively affected by, such changes. In addition, the Company may not realize any expected benefits associated with, and could be negatively impacted by, final implementation of the Tax Cuts and Jobs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suffer in the event of a work stoppage by our unionized labor force.</w:t>
      </w:r>
    </w:p>
    <w:p>
      <w:pPr>
        <w:spacing w:after="0" w:line="113" w:lineRule="exact"/>
        <w:rPr>
          <w:sz w:val="20"/>
          <w:szCs w:val="20"/>
          <w:color w:val="auto"/>
        </w:rPr>
      </w:pPr>
    </w:p>
    <w:p>
      <w:pPr>
        <w:ind w:right="120" w:firstLine="518"/>
        <w:spacing w:after="0" w:line="291" w:lineRule="auto"/>
        <w:rPr>
          <w:sz w:val="20"/>
          <w:szCs w:val="20"/>
          <w:color w:val="auto"/>
        </w:rPr>
      </w:pPr>
      <w:r>
        <w:rPr>
          <w:rFonts w:ascii="Arial" w:cs="Arial" w:eastAsia="Arial" w:hAnsi="Arial"/>
          <w:sz w:val="16"/>
          <w:szCs w:val="16"/>
          <w:color w:val="auto"/>
        </w:rPr>
        <w:t>We are a party to numerous collective bargaining agreements in the U.S. that govern our industry’s relationships with our unionized hourly workforce. However, two unions represent approximately 70% of our hourly dredging employees—the International Union of Operating Engineers (“IUOE”), Local 25 and the Seafarers International Union. The Company’s contracts with IUOE, Local 25 expire in September 2018. Our agreements with Seafarers International Union expire in February 2023. The inability to successfully renegotiate contracts with these unions as they expire, or any future strikes, employee slowdowns or similar actions by one or more unions could have a material adverse effect on our ability to operate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employees are covered by federal laws that may provide seagoing employees remedies for job-related claims in addition to those provided by state laws.</w:t>
      </w:r>
    </w:p>
    <w:p>
      <w:pPr>
        <w:spacing w:after="0" w:line="159"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Substantially all of our maritime employees are covered by provisions of the Jones Act, the U.S. Longshore and Harbor Workers’ Compensation Act, the Seaman’s Wage Act and general maritime law. These laws typically operate to make liability limits established by state workers’ compensation laws inapplicable to these employees and to permit these employees and their representatives to pursue actions against employers for job-related injuries in federal or state courts. Because we are not generally protected by the limits imposed by state workers’ compensation statutes with respect to our seagoing employees, we have greater exposure for claims made by these employees as compared to industries whose employees are not covered by these provisions.</w:t>
      </w:r>
    </w:p>
    <w:p>
      <w:pPr>
        <w:spacing w:after="0" w:line="165" w:lineRule="exact"/>
        <w:rPr>
          <w:sz w:val="20"/>
          <w:szCs w:val="20"/>
          <w:color w:val="auto"/>
        </w:rPr>
      </w:pPr>
    </w:p>
    <w:p>
      <w:pPr>
        <w:ind w:right="240"/>
        <w:spacing w:after="0" w:line="267" w:lineRule="auto"/>
        <w:rPr>
          <w:sz w:val="20"/>
          <w:szCs w:val="20"/>
          <w:color w:val="auto"/>
        </w:rPr>
      </w:pPr>
      <w:r>
        <w:rPr>
          <w:rFonts w:ascii="Arial" w:cs="Arial" w:eastAsia="Arial" w:hAnsi="Arial"/>
          <w:sz w:val="18"/>
          <w:szCs w:val="18"/>
          <w:b w:val="1"/>
          <w:bCs w:val="1"/>
          <w:i w:val="1"/>
          <w:iCs w:val="1"/>
          <w:color w:val="auto"/>
        </w:rPr>
        <w:t>Our business is subject to significant operating risks and hazards that could result in damage or destruction to persons or property, which could result in losses or liabilities to us.</w:t>
      </w:r>
    </w:p>
    <w:p>
      <w:pPr>
        <w:spacing w:after="0" w:line="73" w:lineRule="exact"/>
        <w:rPr>
          <w:sz w:val="20"/>
          <w:szCs w:val="20"/>
          <w:color w:val="auto"/>
        </w:rPr>
      </w:pPr>
    </w:p>
    <w:p>
      <w:pPr>
        <w:ind w:right="120" w:firstLine="518"/>
        <w:spacing w:after="0" w:line="269" w:lineRule="auto"/>
        <w:rPr>
          <w:sz w:val="20"/>
          <w:szCs w:val="20"/>
          <w:color w:val="auto"/>
        </w:rPr>
      </w:pPr>
      <w:r>
        <w:rPr>
          <w:rFonts w:ascii="Arial" w:cs="Arial" w:eastAsia="Arial" w:hAnsi="Arial"/>
          <w:sz w:val="17"/>
          <w:szCs w:val="17"/>
          <w:color w:val="auto"/>
        </w:rPr>
        <w:t>The dredging and environmental and infrastructure businesses are generally subject to a number of risks and hazards, including environmental hazards, industrial accidents, encountering unusual or unexpected geological formations, cave-ins below water levels, collisions, disruption of transportation services and flooding. These risks could result in personal injury, damage to, or destruction of, dredges, barges transportation vessels, other maritime vessels, other structures, buildings or equipment, environmental damage, performance delays, monetary losses or legal liability to third parties. We may also be exposed to disruption of our operations, early termination of projects, unanticipated recovery costs and loss of use of our equipment that may materially adversely affect our business, results of operations, cash flows or financial condition.</w:t>
      </w:r>
    </w:p>
    <w:p>
      <w:pPr>
        <w:spacing w:after="0" w:line="179" w:lineRule="exact"/>
        <w:rPr>
          <w:sz w:val="20"/>
          <w:szCs w:val="20"/>
          <w:color w:val="auto"/>
        </w:rPr>
      </w:pPr>
    </w:p>
    <w:p>
      <w:pPr>
        <w:ind w:right="180" w:firstLine="518"/>
        <w:spacing w:after="0" w:line="251" w:lineRule="auto"/>
        <w:rPr>
          <w:sz w:val="20"/>
          <w:szCs w:val="20"/>
          <w:color w:val="auto"/>
        </w:rPr>
      </w:pPr>
      <w:r>
        <w:rPr>
          <w:rFonts w:ascii="Arial" w:cs="Arial" w:eastAsia="Arial" w:hAnsi="Arial"/>
          <w:sz w:val="18"/>
          <w:szCs w:val="18"/>
          <w:color w:val="auto"/>
        </w:rPr>
        <w:t>Our safety record is an important consideration for our customers. Some of our customers require that we maintain certain specified safety record guidelines to be eligible to bid for contracts with these customers. Furthermore, contract terms may provide for automatic termination or forfeiture of some of our contract revenue in the event that our safety record fails to adhere to agreed-upon guidelines during performance of the contract. As a result, if serious accidents or fatalities occur or our safety record was to deteriorate, we may be ineligible to bid on certain work, and existing contracts could be terminated or less profitable than expected. Adverse experience with hazards and claims could have a negative effect on our reputation with our existing or potential new customers and our prospects for future work.</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methods of accounting for recognizing revenue involve significant estimates and could result in a change in previously recorded revenue and profit.</w:t>
      </w:r>
    </w:p>
    <w:p>
      <w:pPr>
        <w:spacing w:after="0" w:line="159" w:lineRule="exact"/>
        <w:rPr>
          <w:sz w:val="20"/>
          <w:szCs w:val="20"/>
          <w:color w:val="auto"/>
        </w:rPr>
      </w:pPr>
    </w:p>
    <w:p>
      <w:pPr>
        <w:ind w:right="140" w:firstLine="518"/>
        <w:spacing w:after="0" w:line="254" w:lineRule="auto"/>
        <w:rPr>
          <w:sz w:val="20"/>
          <w:szCs w:val="20"/>
          <w:color w:val="auto"/>
        </w:rPr>
      </w:pPr>
      <w:r>
        <w:rPr>
          <w:rFonts w:ascii="Arial" w:cs="Arial" w:eastAsia="Arial" w:hAnsi="Arial"/>
          <w:sz w:val="18"/>
          <w:szCs w:val="18"/>
          <w:color w:val="auto"/>
        </w:rPr>
        <w:t>We recognize revenue on our projects using generally accepted accounting principles in the United States (“GAAP”) including the percentage-of-completion method prior to December 31, 2017 and guidance from Revenue from Contracts with Customers, as amended (commonly referred to as ASC 606) subsequent to year-end. The majority of our work is performed on a fixed-price basis. Contract revenue is recorded over time based on estimates which we develop from information known to us at the time of recording,</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340" w:right="259" w:bottom="1440" w:gutter="0" w:footer="0" w:header="0"/>
        </w:sectPr>
      </w:pPr>
    </w:p>
    <w:bookmarkStart w:id="23" w:name="page24"/>
    <w:bookmarkEnd w:id="23"/>
    <w:p>
      <w:pPr>
        <w:ind w:right="80"/>
        <w:spacing w:after="0" w:line="257" w:lineRule="auto"/>
        <w:rPr>
          <w:sz w:val="20"/>
          <w:szCs w:val="20"/>
          <w:color w:val="auto"/>
        </w:rPr>
      </w:pPr>
      <w:r>
        <w:rPr>
          <w:rFonts w:ascii="Arial" w:cs="Arial" w:eastAsia="Arial" w:hAnsi="Arial"/>
          <w:sz w:val="18"/>
          <w:szCs w:val="18"/>
          <w:color w:val="auto"/>
        </w:rPr>
        <w:t>but which may change. The cumulative impact of revisions to estimates is reflected in the period in which these changes are experienced or become known. Given the risks associated with the variables in these types of estimates, it is possible for actual costs to vary from estimates previously made, which may result in reductions or reversals of previously recorded net revenues and profits.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insurance coverage may not be adequate, and we may not be able to obtain insurance at acceptable rates, or at all.</w:t>
      </w:r>
    </w:p>
    <w:p>
      <w:pPr>
        <w:spacing w:after="0" w:line="113" w:lineRule="exact"/>
        <w:rPr>
          <w:sz w:val="20"/>
          <w:szCs w:val="20"/>
          <w:color w:val="auto"/>
        </w:rPr>
      </w:pPr>
    </w:p>
    <w:p>
      <w:pPr>
        <w:ind w:right="220" w:firstLine="518"/>
        <w:spacing w:after="0" w:line="266" w:lineRule="auto"/>
        <w:rPr>
          <w:sz w:val="20"/>
          <w:szCs w:val="20"/>
          <w:color w:val="auto"/>
        </w:rPr>
      </w:pPr>
      <w:r>
        <w:rPr>
          <w:rFonts w:ascii="Arial" w:cs="Arial" w:eastAsia="Arial" w:hAnsi="Arial"/>
          <w:sz w:val="17"/>
          <w:szCs w:val="17"/>
          <w:color w:val="auto"/>
        </w:rPr>
        <w:t>We maintain various insurance policies, including hull and machinery, pollution liability, general liability and personal injury. We partially self-insure risks covered by our policies. While we reserve for such self-insured exposures when appropriate for accounting purposes, we are not required to, and do not, specifically set aside funds for the self-insured portion of claims. We may not have insurance coverage or sufficient insurance coverage for all exposures potentially arising from a project. Furthermore, in situations where there is insurance coverage, if multiple policies are involved, we may be subject to a number of self-retention or deductible amounts which in the aggregate could have an adverse effect on our business, results of operations, cash flows or financial condition. At any given time, we are subject to Jones Act personal injury claims and claims from general contractors and other third parties for personal injuries. Our insurance policies may not be adequate to protect us from liabilities that we incur in our business. We may not be able to obtain similar levels of insurance on reasonable terms, or at all. Our inability to obtain such insurance coverage at acceptable rates or at all could have a material adverse effect on our business, results of operations, cash flows or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face adverse consequences if we are unable to attract and retain key personnel and skilled labor.</w:t>
      </w:r>
    </w:p>
    <w:p>
      <w:pPr>
        <w:spacing w:after="0" w:line="220" w:lineRule="exact"/>
        <w:rPr>
          <w:sz w:val="20"/>
          <w:szCs w:val="20"/>
          <w:color w:val="auto"/>
        </w:rPr>
      </w:pPr>
    </w:p>
    <w:p>
      <w:pPr>
        <w:ind w:firstLine="761"/>
        <w:spacing w:after="0" w:line="284" w:lineRule="auto"/>
        <w:rPr>
          <w:sz w:val="20"/>
          <w:szCs w:val="20"/>
          <w:color w:val="auto"/>
        </w:rPr>
      </w:pPr>
      <w:r>
        <w:rPr>
          <w:rFonts w:ascii="Arial" w:cs="Arial" w:eastAsia="Arial" w:hAnsi="Arial"/>
          <w:sz w:val="16"/>
          <w:szCs w:val="16"/>
          <w:color w:val="auto"/>
        </w:rPr>
        <w:t>Our ability to attract and retain reliable, qualified personnel is a significant factor that enables us to successfully bid for and profitably complete our work. This includes members of our board of directors, management, project managers, estimators, skilled engineers, supervisors, foremen, equipment operators and laborers. The loss of the services of any of our management could have a material adverse effect on us. If we do not succeed in retaining our current key employees and attracting, developing and retaining new highly-skilled employees, our reputation may be harmed and our operations and future earnings may be negatively impacted. We may not be able to maintain an adequate skilled labor force necessary to operate efficiently and to support our growth strategy. We have from time to time experienced, and may in the future experience, shortages of certain types of qualified equipment operating personnel. The supply of experienced engineers, project managers, field supervisors and other skilled workers may not be sufficient to meet current or expected demand. If we are unable to hire employees with the requisite skills, we may also be forced to incur significant training expenses. The occurrence of any of the foregoing could have an adverse effect on our business, results of operations, cash flows or financial condition.</w:t>
      </w:r>
    </w:p>
    <w:p>
      <w:pPr>
        <w:spacing w:after="0" w:line="201" w:lineRule="exact"/>
        <w:rPr>
          <w:sz w:val="20"/>
          <w:szCs w:val="20"/>
          <w:color w:val="auto"/>
        </w:rPr>
      </w:pPr>
    </w:p>
    <w:p>
      <w:pPr>
        <w:ind w:right="120" w:firstLine="761"/>
        <w:spacing w:after="0" w:line="267" w:lineRule="auto"/>
        <w:rPr>
          <w:sz w:val="20"/>
          <w:szCs w:val="20"/>
          <w:color w:val="auto"/>
        </w:rPr>
      </w:pPr>
      <w:r>
        <w:rPr>
          <w:rFonts w:ascii="Arial" w:cs="Arial" w:eastAsia="Arial" w:hAnsi="Arial"/>
          <w:sz w:val="17"/>
          <w:szCs w:val="17"/>
          <w:color w:val="auto"/>
        </w:rPr>
        <w:t>In addition, any abrupt changes in our management or board of directors may lead to concerns regarding the direction or stability of our business, which may be exploited by our competitors, result in the loss of business opportunities, cause concern to our current or potential customers or suppliers, or make it more difficult to retain existing personnel or attract and retain new personnel. Changes in management or the board could be time-consuming, result in significant additional costs to us and could be disruptive of our operations and divert the time and attention of management and our employees away from our business operations and executing on our strategic plan. The unexpected loss of any additional members of our Board of Directors or senior management team could be disruptive to our operations, jeopardize our ability to raise additional funding and have an adverse effect on our business. The failure of our directors or any new members of our Board of Directors or management to perform effectively could have a significant negative impact on our business, financial condition and results of operations.</w:t>
      </w:r>
    </w:p>
    <w:p>
      <w:pPr>
        <w:spacing w:after="0" w:line="181" w:lineRule="exact"/>
        <w:rPr>
          <w:sz w:val="20"/>
          <w:szCs w:val="20"/>
          <w:color w:val="auto"/>
        </w:rPr>
      </w:pPr>
    </w:p>
    <w:p>
      <w:pPr>
        <w:ind w:right="140"/>
        <w:spacing w:after="0" w:line="267" w:lineRule="auto"/>
        <w:rPr>
          <w:sz w:val="20"/>
          <w:szCs w:val="20"/>
          <w:color w:val="auto"/>
        </w:rPr>
      </w:pPr>
      <w:r>
        <w:rPr>
          <w:rFonts w:ascii="Arial" w:cs="Arial" w:eastAsia="Arial" w:hAnsi="Arial"/>
          <w:sz w:val="18"/>
          <w:szCs w:val="18"/>
          <w:b w:val="1"/>
          <w:bCs w:val="1"/>
          <w:i w:val="1"/>
          <w:iCs w:val="1"/>
          <w:color w:val="auto"/>
        </w:rPr>
        <w:t>We rely on information technology systems to conduct our business and disruption, failure or security breaches of these systems could adversely affect our business and results of operations.</w:t>
      </w:r>
    </w:p>
    <w:p>
      <w:pPr>
        <w:spacing w:after="0" w:line="73" w:lineRule="exact"/>
        <w:rPr>
          <w:sz w:val="20"/>
          <w:szCs w:val="20"/>
          <w:color w:val="auto"/>
        </w:rPr>
      </w:pPr>
    </w:p>
    <w:p>
      <w:pPr>
        <w:ind w:right="80" w:firstLine="518"/>
        <w:spacing w:after="0" w:line="283" w:lineRule="auto"/>
        <w:rPr>
          <w:sz w:val="20"/>
          <w:szCs w:val="20"/>
          <w:color w:val="auto"/>
        </w:rPr>
      </w:pPr>
      <w:r>
        <w:rPr>
          <w:rFonts w:ascii="Arial" w:cs="Arial" w:eastAsia="Arial" w:hAnsi="Arial"/>
          <w:sz w:val="16"/>
          <w:szCs w:val="16"/>
          <w:color w:val="auto"/>
        </w:rPr>
        <w:t>We rely on information technology (IT) systems in order to achieve our business objectives. Our portfolio of hardware and software products, solutions and services and our enterprise IT systems may be vulnerable to damage or disruption caused by circumstances beyond our control such as catastrophic events, power outages, natural disasters, computer system or network failures, computer viruses, cyber attacks or other malicious software programs. The failure or disruption of our IT systems to perform as anticipated for any reason could disrupt our business and result in decreased performance, significant remediation costs, transaction errors, loss of data, processing inefficiencies, downtime, failure to properly estimate the work or costs associated with projects, litigation and the loss of customers or suppliers. A significant disruption or failure could have a material adverse effect on our business, operating results, cash flows or financial condition. We are incurring costs associated with designing and implementing a new enterprise resource planning software system (ERP) with the objective of gradually migrating to the new system. Capital expenditures and expenses for the ERP for 2018 and beyond will depend upon the pace of conversion. If implementation is not executed successfully, this could result in business interruptions. If we do not complete the implementation of the ERP timely and successfully, we may incur additional costs associated with completing this project and a delay in our ability to improve existing operations, support future growth and enable us to take advantage of new engineering and other applications and technologies.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We may be affected by market or regulatory responses to climate change.</w:t>
      </w:r>
    </w:p>
    <w:p>
      <w:pPr>
        <w:spacing w:after="0" w:line="113"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Increased concern about the potential impact of greenhouse gases (GHG), such as carbon dioxide resulting from combustion of fossil fuels, on climate change has resulted in efforts to regulate their emission. Legislation, international protocols, regulation or other restrictions on GHG emissions could also affect our customers. Such legislation or restrictions could increase the costs of projects for our customers or, in some cases, prevent a project from going forward, thereby potentially reducing the need for our services which could in turn have a material adverse effect on our operations and financial condition. Additionally, in our normal course of operations, we use a significant amount of fossil fuels. The costs of controlling our GHG emissions or obtaining required emissions allowances in response to any regulatory change in our industry could increase materially.</w:t>
      </w:r>
    </w:p>
    <w:p>
      <w:pPr>
        <w:spacing w:after="0" w:line="179" w:lineRule="exact"/>
        <w:rPr>
          <w:sz w:val="20"/>
          <w:szCs w:val="20"/>
          <w:color w:val="auto"/>
        </w:rPr>
      </w:pPr>
    </w:p>
    <w:p>
      <w:pPr>
        <w:ind w:right="780"/>
        <w:spacing w:after="0" w:line="267" w:lineRule="auto"/>
        <w:rPr>
          <w:sz w:val="20"/>
          <w:szCs w:val="20"/>
          <w:color w:val="auto"/>
        </w:rPr>
      </w:pPr>
      <w:r>
        <w:rPr>
          <w:rFonts w:ascii="Arial" w:cs="Arial" w:eastAsia="Arial" w:hAnsi="Arial"/>
          <w:sz w:val="18"/>
          <w:szCs w:val="18"/>
          <w:b w:val="1"/>
          <w:bCs w:val="1"/>
          <w:i w:val="1"/>
          <w:iCs w:val="1"/>
          <w:color w:val="auto"/>
        </w:rPr>
        <w:t>We may be unable to identify and contract with qualified Minority Business Enterprise (“MBE”) or Disadvantaged Business Enterprise (“DBE”) contractors to perform as subcontractors.</w:t>
      </w:r>
    </w:p>
    <w:p>
      <w:pPr>
        <w:spacing w:after="0" w:line="73" w:lineRule="exact"/>
        <w:rPr>
          <w:sz w:val="20"/>
          <w:szCs w:val="20"/>
          <w:color w:val="auto"/>
        </w:rPr>
      </w:pPr>
    </w:p>
    <w:p>
      <w:pPr>
        <w:ind w:firstLine="518"/>
        <w:spacing w:after="0" w:line="252" w:lineRule="auto"/>
        <w:rPr>
          <w:sz w:val="20"/>
          <w:szCs w:val="20"/>
          <w:color w:val="auto"/>
        </w:rPr>
      </w:pPr>
      <w:r>
        <w:rPr>
          <w:rFonts w:ascii="Arial" w:cs="Arial" w:eastAsia="Arial" w:hAnsi="Arial"/>
          <w:sz w:val="18"/>
          <w:szCs w:val="18"/>
          <w:color w:val="auto"/>
        </w:rPr>
        <w:t>Certain of our government agency projects contain goals for minimum MBE and/or DBE participation clauses. If we subsequently fail to reach our goals for the minimum MBE and/or DBE participation, we may be held responsible for breach of contract, which may include restrictions on our ability to bid on future projects as well as monetary damages. To the extent we are responsible for monetary damages, the total costs of the project could exceed our original estimates, we could experience reduced profits or a loss for that project and there could be a material adverse impact to our financial position, results of operations, cash flows and liquidity.</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Financing</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indebtedness, which makes us more vulnerable to adverse economic and competitive conditions.</w:t>
      </w:r>
    </w:p>
    <w:p>
      <w:pPr>
        <w:spacing w:after="0" w:line="113" w:lineRule="exact"/>
        <w:rPr>
          <w:sz w:val="20"/>
          <w:szCs w:val="20"/>
          <w:color w:val="auto"/>
        </w:rPr>
      </w:pPr>
    </w:p>
    <w:p>
      <w:pPr>
        <w:ind w:right="20" w:firstLine="518"/>
        <w:spacing w:after="0" w:line="295" w:lineRule="auto"/>
        <w:rPr>
          <w:sz w:val="20"/>
          <w:szCs w:val="20"/>
          <w:color w:val="auto"/>
        </w:rPr>
      </w:pPr>
      <w:r>
        <w:rPr>
          <w:rFonts w:ascii="Arial" w:cs="Arial" w:eastAsia="Arial" w:hAnsi="Arial"/>
          <w:sz w:val="16"/>
          <w:szCs w:val="16"/>
          <w:color w:val="auto"/>
        </w:rPr>
        <w:t>We currently have a substantial amount of indebtedness. As of (i) December 31, 2017, we had indebtedness of $420.0 million, consisting of $325.0 million of our senior subordinated notes and $95.0 million of borrowings on our revolving credit facility, in each case excluding approximately $34.3 million of undrawn letters of credit and $76.8 million of additional borrowing capacity under our revolving credit facility and excluding contingent obligations, including $1.3 billion of performance bonds outstanding under the Company’s Zurich Bonding Agreement and agreements with the Sureties. Our debt could:</w:t>
      </w:r>
    </w:p>
    <w:p>
      <w:pPr>
        <w:spacing w:after="0" w:line="56" w:lineRule="exact"/>
        <w:rPr>
          <w:sz w:val="20"/>
          <w:szCs w:val="20"/>
          <w:color w:val="auto"/>
        </w:rPr>
      </w:pPr>
    </w:p>
    <w:p>
      <w:pPr>
        <w:ind w:left="1020" w:right="200" w:hanging="507"/>
        <w:spacing w:after="0" w:line="297"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require us to dedicate a portion of our cash flow from operations to payments on our indebtedness, thereby reducing the availability of our cash flow to fund working capital and capital expenditures, pay dividends and other general corporate purposes;</w:t>
      </w:r>
    </w:p>
    <w:p>
      <w:pPr>
        <w:spacing w:after="0" w:line="49" w:lineRule="exact"/>
        <w:rPr>
          <w:rFonts w:ascii="Arial" w:cs="Arial" w:eastAsia="Arial" w:hAnsi="Arial"/>
          <w:sz w:val="17"/>
          <w:szCs w:val="17"/>
          <w:color w:val="auto"/>
        </w:rPr>
      </w:pPr>
    </w:p>
    <w:p>
      <w:pPr>
        <w:ind w:left="1020" w:hanging="507"/>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our industries;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affect our competitiveness compared to our less leveraged competitors;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our exposure to both general and industry-specific adverse economic conditions; and</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among other things, our ability to borrow additional funds.</w:t>
      </w:r>
    </w:p>
    <w:p>
      <w:pPr>
        <w:spacing w:after="0" w:line="220" w:lineRule="exact"/>
        <w:rPr>
          <w:sz w:val="20"/>
          <w:szCs w:val="20"/>
          <w:color w:val="auto"/>
        </w:rPr>
      </w:pPr>
    </w:p>
    <w:p>
      <w:pPr>
        <w:ind w:right="520" w:firstLine="518"/>
        <w:spacing w:after="0" w:line="304" w:lineRule="auto"/>
        <w:rPr>
          <w:sz w:val="20"/>
          <w:szCs w:val="20"/>
          <w:color w:val="auto"/>
        </w:rPr>
      </w:pPr>
      <w:r>
        <w:rPr>
          <w:rFonts w:ascii="Arial" w:cs="Arial" w:eastAsia="Arial" w:hAnsi="Arial"/>
          <w:sz w:val="16"/>
          <w:szCs w:val="16"/>
          <w:color w:val="auto"/>
        </w:rPr>
        <w:t>We and our subsidiaries also may be able to incur substantial additional indebtedness in the future. The terms of our revolving credit facility, the indenture under which our senior subordinated notes are issued, and our term loan facility limit, but do not prohibit, us or our subsidiaries from incurring additional indebtedness. If new indebtedness is added to our current debt levels, the related risks that we and our subsidiaries now face could intensify.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in our financing arrangements limit, and other future financing agreements may limit, our ability to operate our business.</w:t>
      </w:r>
    </w:p>
    <w:p>
      <w:pPr>
        <w:spacing w:after="0" w:line="113" w:lineRule="exact"/>
        <w:rPr>
          <w:sz w:val="20"/>
          <w:szCs w:val="20"/>
          <w:color w:val="auto"/>
        </w:rPr>
      </w:pPr>
    </w:p>
    <w:p>
      <w:pPr>
        <w:ind w:right="240" w:firstLine="518"/>
        <w:spacing w:after="0" w:line="267" w:lineRule="auto"/>
        <w:rPr>
          <w:sz w:val="20"/>
          <w:szCs w:val="20"/>
          <w:color w:val="auto"/>
        </w:rPr>
      </w:pPr>
      <w:r>
        <w:rPr>
          <w:rFonts w:ascii="Arial" w:cs="Arial" w:eastAsia="Arial" w:hAnsi="Arial"/>
          <w:sz w:val="18"/>
          <w:szCs w:val="18"/>
          <w:color w:val="auto"/>
        </w:rPr>
        <w:t>The credit agreement governing our senior revolving credit facility, the indenture governing our senior subordinated notes and any of our other future financing agreements, may contain covenants imposing operating and financial restrictions on our business.</w:t>
      </w:r>
    </w:p>
    <w:p>
      <w:pPr>
        <w:spacing w:after="0" w:line="180"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For example, the credit agreement governing our senior revolving credit facility requires us to satisfy certain net leverage and fixed charge coverage ratios. If we fail to meet or satisfy any of these covenants (after applicable cure periods), we would be in default and the lenders (through the administrative agent or collateral agent, as applicable) could elect to declare all amounts outstanding to be immediately due and payable, enforce their interests in the collateral pledged/or and restrict our ability to make additional borrowings, as applicable. The covenants and restrictions in the credit agreement, the indenture and the term loan facility, subject to specified exceptions and to varying degrees, restrict our ability to, among other things:</w:t>
      </w:r>
    </w:p>
    <w:p>
      <w:pPr>
        <w:spacing w:after="0" w:line="74" w:lineRule="exact"/>
        <w:rPr>
          <w:sz w:val="20"/>
          <w:szCs w:val="20"/>
          <w:color w:val="auto"/>
        </w:rPr>
      </w:pPr>
    </w:p>
    <w:p>
      <w:pPr>
        <w:ind w:left="1020" w:hanging="507"/>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create, incur, assume or permit to exist any liens;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340" w:right="259" w:bottom="1440" w:gutter="0" w:footer="0" w:header="0"/>
        </w:sectPr>
      </w:pPr>
    </w:p>
    <w:bookmarkStart w:id="25" w:name="page26"/>
    <w:bookmarkEnd w:id="25"/>
    <w:p>
      <w:pPr>
        <w:ind w:left="1020" w:hanging="507"/>
        <w:spacing w:after="0"/>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make investments, loans and advancements; merge or consolidate with, or dispose of all or substantially all assets to, a third party;</w:t>
      </w:r>
    </w:p>
    <w:p>
      <w:pPr>
        <w:spacing w:after="0" w:line="124" w:lineRule="exact"/>
        <w:rPr>
          <w:rFonts w:ascii="Arial" w:cs="Arial" w:eastAsia="Arial" w:hAnsi="Arial"/>
          <w:sz w:val="17"/>
          <w:szCs w:val="17"/>
          <w:color w:val="auto"/>
        </w:rPr>
      </w:pPr>
    </w:p>
    <w:p>
      <w:pPr>
        <w:ind w:left="1020" w:hanging="507"/>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acquisitions;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dividends;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capital expenditures;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prepay other indebtedness; and</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issue capital stock.</w:t>
      </w:r>
    </w:p>
    <w:p>
      <w:pPr>
        <w:spacing w:after="0" w:line="220" w:lineRule="exact"/>
        <w:rPr>
          <w:sz w:val="20"/>
          <w:szCs w:val="20"/>
          <w:color w:val="auto"/>
        </w:rPr>
      </w:pPr>
    </w:p>
    <w:p>
      <w:pPr>
        <w:ind w:right="80" w:firstLine="518"/>
        <w:spacing w:after="0" w:line="267" w:lineRule="auto"/>
        <w:rPr>
          <w:sz w:val="20"/>
          <w:szCs w:val="20"/>
          <w:color w:val="auto"/>
        </w:rPr>
      </w:pPr>
      <w:r>
        <w:rPr>
          <w:rFonts w:ascii="Arial" w:cs="Arial" w:eastAsia="Arial" w:hAnsi="Arial"/>
          <w:sz w:val="18"/>
          <w:szCs w:val="18"/>
          <w:color w:val="auto"/>
        </w:rPr>
        <w:t>These restrictions may interfere with our ability to obtain financings or to engage in other business activities, which could have a material adverse effect on our results of operations, cash flows or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capital and credit market conditions may affect our ability to meet liquidity needs, access to capital and cost of capital.</w:t>
      </w:r>
    </w:p>
    <w:p>
      <w:pPr>
        <w:spacing w:after="0" w:line="113" w:lineRule="exact"/>
        <w:rPr>
          <w:sz w:val="20"/>
          <w:szCs w:val="20"/>
          <w:color w:val="auto"/>
        </w:rPr>
      </w:pPr>
    </w:p>
    <w:p>
      <w:pPr>
        <w:ind w:firstLine="518"/>
        <w:spacing w:after="0" w:line="297" w:lineRule="auto"/>
        <w:rPr>
          <w:sz w:val="20"/>
          <w:szCs w:val="20"/>
          <w:color w:val="auto"/>
        </w:rPr>
      </w:pPr>
      <w:r>
        <w:rPr>
          <w:rFonts w:ascii="Arial" w:cs="Arial" w:eastAsia="Arial" w:hAnsi="Arial"/>
          <w:sz w:val="17"/>
          <w:szCs w:val="17"/>
          <w:color w:val="auto"/>
        </w:rPr>
        <w:t>The domestic and worldwide capital and credit markets may experience significant volatility, disruptions and dislocations with respect to price and credit availability. Should we need additional funds or to refinance our existing indebtedness, we may not be able to obtain such additional funds.</w:t>
      </w:r>
    </w:p>
    <w:p>
      <w:pPr>
        <w:spacing w:after="0" w:line="156"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We need liquidity to pay our operating expenses, interest on our debt and dividends on our capital stock. Without sufficient liquidity, we will be forced to curtail our operations, and our business will suffer. The principal sources of our liquidity are cash flow from operations and borrowings under our senior revolving credit facility. Earnings from our operations and our working capital requirements can vary significantly from period to period based primarily on the mix of our projects underway and the percentage of project work completed during the period. Capital expenditures may also vary significantly from period to period. While we manage cash requirements for working capital and capital expenditure needs, unpredictability in cash collections and payments has required us in the past and may require us to borrow on our line of credit from time to time to meet the needs of our operations.</w:t>
      </w:r>
    </w:p>
    <w:p>
      <w:pPr>
        <w:spacing w:after="0" w:line="169" w:lineRule="exact"/>
        <w:rPr>
          <w:sz w:val="20"/>
          <w:szCs w:val="20"/>
          <w:color w:val="auto"/>
        </w:rPr>
      </w:pPr>
    </w:p>
    <w:p>
      <w:pPr>
        <w:ind w:right="20" w:firstLine="518"/>
        <w:spacing w:after="0" w:line="252" w:lineRule="auto"/>
        <w:rPr>
          <w:sz w:val="20"/>
          <w:szCs w:val="20"/>
          <w:color w:val="auto"/>
        </w:rPr>
      </w:pPr>
      <w:r>
        <w:rPr>
          <w:rFonts w:ascii="Arial" w:cs="Arial" w:eastAsia="Arial" w:hAnsi="Arial"/>
          <w:sz w:val="18"/>
          <w:szCs w:val="18"/>
          <w:color w:val="auto"/>
        </w:rPr>
        <w:t>In the event these resources do not satisfy our liquidity needs, we may have to seek additional financing. The availability of additional financing will depend on a variety of factors such as market conditions, the general availability of credit, the volume of trading activities, our credit ratings and credit capacity, as well as the possibility that customers or lenders could develop a negative perception of our long- or short-term financial prospects if the level of our business activity decreased due to a market downturn. If internal sources of liquidity prove to be insufficient, we may not be able to successfully obtain additional financing on favorable terms, or at all.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maintain or expand our credit capacity, which would adversely affect our operations and business.</w:t>
      </w:r>
    </w:p>
    <w:p>
      <w:pPr>
        <w:spacing w:after="0" w:line="113"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We use credit facilities to support our working capital and acquisition needs. If we exhaust our borrowing capacity under our Credit Agreement, and cash flows from operations do not increase sufficiently, our ability to fund the working capital, capital expenditure and other needs of our existing operations could be constrained and our business and results of operations could be materially adversely affected. If we experience operational difficulties or our operating results do not improve, we may need to increase our available borrowing capacity or seek amendments to the terms of our Credit Agreement. There can be no assurance that we will be able to secure any additional capacity or amendment to our Credit Agreement or to do so on terms that are acceptable to us, in which case, our costs of borrowing could rise and our business and results of operations could be materially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Regulatory requirements for derivative transactions could have an adverse impact on our ability to hedge risks associated with our business.</w:t>
      </w:r>
    </w:p>
    <w:p>
      <w:pPr>
        <w:spacing w:after="0" w:line="136" w:lineRule="exact"/>
        <w:rPr>
          <w:sz w:val="20"/>
          <w:szCs w:val="20"/>
          <w:color w:val="auto"/>
        </w:rPr>
      </w:pPr>
    </w:p>
    <w:p>
      <w:pPr>
        <w:ind w:right="100" w:firstLine="761"/>
        <w:spacing w:after="0" w:line="266" w:lineRule="auto"/>
        <w:rPr>
          <w:sz w:val="20"/>
          <w:szCs w:val="20"/>
          <w:color w:val="auto"/>
        </w:rPr>
      </w:pPr>
      <w:r>
        <w:rPr>
          <w:rFonts w:ascii="Arial" w:cs="Arial" w:eastAsia="Arial" w:hAnsi="Arial"/>
          <w:sz w:val="17"/>
          <w:szCs w:val="17"/>
          <w:color w:val="auto"/>
        </w:rPr>
        <w:t>We may enter into interest rate swap agreements to manage the interest rate paid with respect to our fixed rate indebtedness, foreign exchange forward contracts to hedge currency risk and heating oil commodity swap contracts to hedge the risk that fluctuations in diesel fuel prices will have an adverse impact on cash flows associated with our domestic dredging contracts. The Dodd-Frank Wall Street Reform and Consumer Protection Act (“Dodd-Frank”) and regulations adopted by a number of U.S. federal regulatory agencies created a comprehensive statutory and regulatory framework for derivative transactions, including foreign currency and other over-the-counter derivative hedging transactions. While a number of provisions of Dodd-Frank have been implemented, certain key provisions have not yet been implemented or remain subject to uncertainty. Furthermore, certain provisions of Dodd-Frank may be modified or repealed in the future. Any substantial change in the financial regulatory environment could create additional new compliance costs for us or cause us to alter the manner in which we manage risk, which could have a materially adverse effect on our business. The rules adopted or to be adopted under Dodd-Frank may significantly reduce our ability to execute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6" w:name="page27"/>
    <w:bookmarkEnd w:id="26"/>
    <w:p>
      <w:pPr>
        <w:spacing w:after="0" w:line="254" w:lineRule="auto"/>
        <w:rPr>
          <w:sz w:val="20"/>
          <w:szCs w:val="20"/>
          <w:color w:val="auto"/>
        </w:rPr>
      </w:pPr>
      <w:r>
        <w:rPr>
          <w:rFonts w:ascii="Arial" w:cs="Arial" w:eastAsia="Arial" w:hAnsi="Arial"/>
          <w:sz w:val="18"/>
          <w:szCs w:val="18"/>
          <w:color w:val="auto"/>
        </w:rPr>
        <w:t>strategic hedges to manage our interest expense, reduce our fuel commodity uncertainty and hedge our currency risk thus protecting our cash flows. In addition, the banks and other derivatives dealers who are our contractual counterparties are required to comply with extensive regulation under Dodd-Frank. The cost of our counterparties’ compliance will likely be passed on to customers such as ourselves, thus potentially decreasing the benefits to us of hedging transactions and potentially reducing our profitability.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foreign exchange risks, and improper management of that risk could result in large cash losses.</w:t>
      </w:r>
    </w:p>
    <w:p>
      <w:pPr>
        <w:spacing w:after="0" w:line="113"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We are exposed to market risk associated with changes in foreign currency exchange rates. The primary foreign currencies to which the Company has exposure are the Bahraini dinar and the Brazilian real. Our international contracts may be denominated in foreign currencies, which will result in additional risk of fluctuating currency values and exchange rates, hard currency shortages and controls on currency exchange. Changes in the value of foreign currencies could increase our U.S. dollar costs for, or reduce our U.S. dollar revenues from, our foreign operations. Any increased costs or reduced revenues as a result of foreign currency fluctuations could affect our profits. The value of the Bahraini dinar has historically been pegged to the value of the U.S. dollar, which has effectively eliminated the foreign currency risk with respect to that currency. However, if the Bahraini dinar were no longer to be so pegged, whether due to civil unrest in Bahrain or otherwise, the Company could become subject to additional, and substantial, foreign currency risk.</w:t>
      </w:r>
    </w:p>
    <w:p>
      <w:pPr>
        <w:spacing w:after="0" w:line="167" w:lineRule="exact"/>
        <w:rPr>
          <w:sz w:val="20"/>
          <w:szCs w:val="20"/>
          <w:color w:val="auto"/>
        </w:rPr>
      </w:pPr>
    </w:p>
    <w:p>
      <w:pPr>
        <w:ind w:right="440"/>
        <w:spacing w:after="0" w:line="267" w:lineRule="auto"/>
        <w:rPr>
          <w:sz w:val="20"/>
          <w:szCs w:val="20"/>
          <w:color w:val="auto"/>
        </w:rPr>
      </w:pPr>
      <w:r>
        <w:rPr>
          <w:rFonts w:ascii="Arial" w:cs="Arial" w:eastAsia="Arial" w:hAnsi="Arial"/>
          <w:sz w:val="18"/>
          <w:szCs w:val="18"/>
          <w:b w:val="1"/>
          <w:bCs w:val="1"/>
          <w:i w:val="1"/>
          <w:iCs w:val="1"/>
          <w:color w:val="auto"/>
        </w:rPr>
        <w:t>Changes in macroeconomic indicators, the overall business climate, and other factors could lead to our goodwill and other intangible assets becoming impaired, which may require us to take significant non-cash charges against earnings.</w:t>
      </w:r>
    </w:p>
    <w:p>
      <w:pPr>
        <w:spacing w:after="0" w:line="73" w:lineRule="exact"/>
        <w:rPr>
          <w:sz w:val="20"/>
          <w:szCs w:val="20"/>
          <w:color w:val="auto"/>
        </w:rPr>
      </w:pPr>
    </w:p>
    <w:p>
      <w:pPr>
        <w:ind w:right="40" w:firstLine="518"/>
        <w:spacing w:after="0" w:line="267" w:lineRule="auto"/>
        <w:rPr>
          <w:sz w:val="20"/>
          <w:szCs w:val="20"/>
          <w:color w:val="auto"/>
        </w:rPr>
      </w:pPr>
      <w:r>
        <w:rPr>
          <w:rFonts w:ascii="Arial" w:cs="Arial" w:eastAsia="Arial" w:hAnsi="Arial"/>
          <w:sz w:val="17"/>
          <w:szCs w:val="17"/>
          <w:color w:val="auto"/>
        </w:rPr>
        <w:t>Under current accounting guidelines, we must assess, at least annually and potentially more frequently, whether the value of our goodwill and other intangible assets have been impaired. Any impairment of goodwill or other intangible assets as a result of such analysis would result in a non-cash charge against earnings, which charge could materially adversely affect our business, operating results, cash flows or financial condition. We test goodwill annually for impairment in the third quarter of each year, or more frequently should circumstances dictate. A significant and sustained decline in our future cash flows, a significant adverse change in the economic environment, slower growth rates or our stock price falling below our net book value per share for a sustained period could result in the need to perform additional impairment analysis in future periods. If we were to conclude that a future write-down of goodwill or other intangible assets is necessary, then we would be required to record a non-cash charge against earnings, which, in turn, could have a material adverse effect on our business, results of operations, cash flows or financial condition.</w:t>
      </w:r>
    </w:p>
    <w:p>
      <w:pPr>
        <w:spacing w:after="0" w:line="181" w:lineRule="exact"/>
        <w:rPr>
          <w:sz w:val="20"/>
          <w:szCs w:val="20"/>
          <w:color w:val="auto"/>
        </w:rPr>
      </w:pPr>
    </w:p>
    <w:p>
      <w:pPr>
        <w:ind w:right="180"/>
        <w:spacing w:after="0" w:line="267" w:lineRule="auto"/>
        <w:rPr>
          <w:sz w:val="20"/>
          <w:szCs w:val="20"/>
          <w:color w:val="auto"/>
        </w:rPr>
      </w:pPr>
      <w:r>
        <w:rPr>
          <w:rFonts w:ascii="Arial" w:cs="Arial" w:eastAsia="Arial" w:hAnsi="Arial"/>
          <w:sz w:val="18"/>
          <w:szCs w:val="18"/>
          <w:b w:val="1"/>
          <w:bCs w:val="1"/>
          <w:i w:val="1"/>
          <w:iCs w:val="1"/>
          <w:color w:val="auto"/>
        </w:rPr>
        <w:t>We have made and may continue to make debt or equity investments in privately financed projects in, or may accept extended payment terms for, privately financed projects in which we could sustain significant losses.</w:t>
      </w:r>
    </w:p>
    <w:p>
      <w:pPr>
        <w:spacing w:after="0" w:line="73" w:lineRule="exact"/>
        <w:rPr>
          <w:sz w:val="20"/>
          <w:szCs w:val="20"/>
          <w:color w:val="auto"/>
        </w:rPr>
      </w:pPr>
    </w:p>
    <w:p>
      <w:pPr>
        <w:ind w:right="20" w:firstLine="518"/>
        <w:spacing w:after="0" w:line="284" w:lineRule="auto"/>
        <w:rPr>
          <w:sz w:val="20"/>
          <w:szCs w:val="20"/>
          <w:color w:val="auto"/>
        </w:rPr>
      </w:pPr>
      <w:r>
        <w:rPr>
          <w:rFonts w:ascii="Arial" w:cs="Arial" w:eastAsia="Arial" w:hAnsi="Arial"/>
          <w:sz w:val="16"/>
          <w:szCs w:val="16"/>
          <w:color w:val="auto"/>
        </w:rPr>
        <w:t>We have participated and may continue to participate in privately financed projects that enable state and local governments and other customers to finance dredging, environmental and infrastructure projects, such as dredging of local navigable waterways and lakes, coastal protection and environmental and infrastructure projects. These projects typically include the facilitation of non-recourse financing and the provision of dredging, environmental, infrastructure, and related services. We may incur contractually reimbursable costs and may accept extended payment terms, extend debt financing and/or make an equity investment in an entity prior to, in connection with, or as part of project financing, and in some cases we may be the sole or primary source of the project financing. Project financing may also involve the use of real estate, environmental, wetlands or similar credits. If a project is unable to obtain other financing on terms acceptable to it in amounts sufficient to repay or redeem our investments, we could incur losses on our investments and any related contractual receivables. After completion of these projects, the return on our equity investments can be dependent on the operational success of the project and market factors or sale of the aforementioned credits, which may not be under our control. As a result, we could sustain a loss of part or all of our equity investments in such projects or have to recognize the value of the credits at a lower amount than expected in the contract bid.</w:t>
      </w:r>
    </w:p>
    <w:p>
      <w:pPr>
        <w:spacing w:after="0" w:line="270"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Risks Related to our Stock</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is subject to restrictions on foreign ownership.</w:t>
      </w:r>
    </w:p>
    <w:p>
      <w:pPr>
        <w:spacing w:after="0" w:line="113" w:lineRule="exact"/>
        <w:rPr>
          <w:sz w:val="20"/>
          <w:szCs w:val="20"/>
          <w:color w:val="auto"/>
        </w:rPr>
      </w:pPr>
    </w:p>
    <w:p>
      <w:pPr>
        <w:ind w:right="40" w:firstLine="518"/>
        <w:spacing w:after="0" w:line="284" w:lineRule="auto"/>
        <w:rPr>
          <w:sz w:val="20"/>
          <w:szCs w:val="20"/>
          <w:color w:val="auto"/>
        </w:rPr>
      </w:pPr>
      <w:r>
        <w:rPr>
          <w:rFonts w:ascii="Arial" w:cs="Arial" w:eastAsia="Arial" w:hAnsi="Arial"/>
          <w:sz w:val="16"/>
          <w:szCs w:val="16"/>
          <w:color w:val="auto"/>
        </w:rPr>
        <w:t>We are subject to government regulations pursuant to the Dredging Act, the Jones Act, the Shipping Act and the vessel documentation laws set forth in Chapter 121 of Title 46 of the United States Code. These statutes require vessels engaged in the transport of merchandise or passengers or dredging in the navigable waters of the U.S. to be owned and controlled by U.S. citizens. The U.S. citizenship ownership and control standards require the vessel-owning entity to be at least 75% U.S.-citizen owned. Our certificate of incorporation contains provisions limiting non-citizenship ownership of our capital stock. If our board of directors determines that persons who are not citizens of the U.S. own more than 22.5% of our outstanding capital stock or more than 22.5% of our voting power, we may redeem such stock. The required redemption price could be materially different from the current price of our common stock or the price at which the non-citizen acquired the common stock. If a non-citizen purchases our common stock, there can be no assurance that he will not be required to divest the shares and such divestiture could result in a material loss. Such restrictions and redemption rights may make our equity securities less attractive to potential investors, which may result in our common stock having a lower market price than it might have in the absence of such restrictions and redemption rights.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Delaware law and our charter documents may impede or discourage a takeover that you may consider favorable.</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provisions of our certificate of incorporation and bylaws may deter, delay or prevent a third-party from acquiring us. These provisions include:</w:t>
      </w:r>
    </w:p>
    <w:p>
      <w:pPr>
        <w:spacing w:after="0" w:line="136" w:lineRule="exact"/>
        <w:rPr>
          <w:sz w:val="20"/>
          <w:szCs w:val="20"/>
          <w:color w:val="auto"/>
        </w:rPr>
      </w:pPr>
    </w:p>
    <w:p>
      <w:pPr>
        <w:ind w:left="1020" w:hanging="507"/>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limitations on the ability of stockholders to amend our charter documents, including stockholder supermajority voting requirements;</w:t>
      </w:r>
    </w:p>
    <w:p>
      <w:pPr>
        <w:spacing w:after="0" w:line="124" w:lineRule="exact"/>
        <w:rPr>
          <w:rFonts w:ascii="Arial" w:cs="Arial" w:eastAsia="Arial" w:hAnsi="Arial"/>
          <w:sz w:val="17"/>
          <w:szCs w:val="17"/>
          <w:color w:val="auto"/>
        </w:rPr>
      </w:pPr>
    </w:p>
    <w:p>
      <w:pPr>
        <w:ind w:left="1020" w:hanging="507"/>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classified board of directors with staggered three-year terms;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advance notice requirements for nominations for election to the board of directors and for stockholder proposals; and</w:t>
      </w:r>
    </w:p>
    <w:p>
      <w:pPr>
        <w:spacing w:after="0" w:line="113" w:lineRule="exact"/>
        <w:rPr>
          <w:rFonts w:ascii="Arial" w:cs="Arial" w:eastAsia="Arial" w:hAnsi="Arial"/>
          <w:sz w:val="18"/>
          <w:szCs w:val="18"/>
          <w:color w:val="auto"/>
        </w:rPr>
      </w:pPr>
    </w:p>
    <w:p>
      <w:pPr>
        <w:ind w:left="1020" w:right="300" w:hanging="507"/>
        <w:spacing w:after="0" w:line="26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authority of our board of directors to issue, without stockholder approval, up to 1,000,000 shares of preferred stock with such terms as the board of directors may determine and to issue additional shares of our common stock.</w:t>
      </w:r>
    </w:p>
    <w:p>
      <w:pPr>
        <w:spacing w:after="0" w:line="180"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We are also subject to the protections of Section 203 of the Delaware General Corporation Law, which prevents us from engaging in a business combination with a person who acquires at least 15% of our common stock for a period of three years from the date such person acquired such common stock, unless board or stockholder approval was obtained.</w:t>
      </w:r>
    </w:p>
    <w:p>
      <w:pPr>
        <w:spacing w:after="0" w:line="188" w:lineRule="exact"/>
        <w:rPr>
          <w:sz w:val="20"/>
          <w:szCs w:val="20"/>
          <w:color w:val="auto"/>
        </w:rPr>
      </w:pPr>
    </w:p>
    <w:p>
      <w:pPr>
        <w:jc w:val="both"/>
        <w:ind w:right="180" w:firstLine="518"/>
        <w:spacing w:after="0" w:line="257" w:lineRule="auto"/>
        <w:rPr>
          <w:sz w:val="20"/>
          <w:szCs w:val="20"/>
          <w:color w:val="auto"/>
        </w:rPr>
      </w:pPr>
      <w:r>
        <w:rPr>
          <w:rFonts w:ascii="Arial" w:cs="Arial" w:eastAsia="Arial" w:hAnsi="Arial"/>
          <w:sz w:val="18"/>
          <w:szCs w:val="18"/>
          <w:color w:val="auto"/>
        </w:rPr>
        <w:t>These provisions could have the effect of delaying, deferring or preventing a change in control of our company, discourage others from making tender offers for our shares, lower the market price of our stock or impede the ability of our stockholders to change our management, even if such changes would be beneficial to our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stockholders may not receive dividends because of restrictions in our debt agreements, Delaware law and state regulatory requirements.</w:t>
      </w:r>
    </w:p>
    <w:p>
      <w:pPr>
        <w:spacing w:after="0" w:line="136" w:lineRule="exact"/>
        <w:rPr>
          <w:sz w:val="20"/>
          <w:szCs w:val="20"/>
          <w:color w:val="auto"/>
        </w:rPr>
      </w:pPr>
    </w:p>
    <w:p>
      <w:pPr>
        <w:ind w:firstLine="518"/>
        <w:spacing w:after="0" w:line="252" w:lineRule="auto"/>
        <w:rPr>
          <w:sz w:val="20"/>
          <w:szCs w:val="20"/>
          <w:color w:val="auto"/>
        </w:rPr>
      </w:pPr>
      <w:r>
        <w:rPr>
          <w:rFonts w:ascii="Arial" w:cs="Arial" w:eastAsia="Arial" w:hAnsi="Arial"/>
          <w:sz w:val="18"/>
          <w:szCs w:val="18"/>
          <w:color w:val="auto"/>
        </w:rPr>
        <w:t>Our ability to pay dividends is restricted by the agreements governing our debt, including our Credit Agreement, our bonding agreements and the indenture governing our senior unsecured notes. In addition, under Delaware law, our board of directors may not authorize payment of a dividend unless it is either paid out of our surplus, as calculated in accordance with the Delaware General Corporation Law, or, if we do not have a surplus, it is paid out of our net profits for the fiscal year in which the dividend is declared and/or the preceding fiscal year. To the extent we do not have adequate surplus or net profits, we will be prohibited from paying dividends.</w:t>
      </w:r>
    </w:p>
    <w:p>
      <w:pPr>
        <w:spacing w:after="0" w:line="193"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b w:val="1"/>
          <w:bCs w:val="1"/>
          <w:i w:val="1"/>
          <w:iCs w:val="1"/>
          <w:color w:val="auto"/>
        </w:rPr>
        <w:t>The market price of our common stock may fluctuate significantly, and this may make it difficult for holders to resell our common stock when they want or at prices that they find attractive.</w:t>
      </w:r>
    </w:p>
    <w:p>
      <w:pPr>
        <w:spacing w:after="0" w:line="73"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price of our common stock on the NASDAQ Global Market constantly changes. We expect that the market price of our common stock will continue to fluctuate. The market price of our common stock may fluctuate as a result of a variety of factors, many of which are beyond our control. These factors include:</w:t>
      </w:r>
    </w:p>
    <w:p>
      <w:pPr>
        <w:spacing w:after="0" w:line="82" w:lineRule="exact"/>
        <w:rPr>
          <w:sz w:val="20"/>
          <w:szCs w:val="20"/>
          <w:color w:val="auto"/>
        </w:rPr>
      </w:pPr>
    </w:p>
    <w:p>
      <w:pPr>
        <w:ind w:left="1020" w:hanging="507"/>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market conditions;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quarterly variations in our operating results;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results that vary from the expectations of management, securities analysts and investors;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of strategic developments, significant contracts, acquisitions and other material events by us or our competitors;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operating and securities price performance of other companies that investors believe are comparable to us;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future sales of our equity or equity-related securities;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economy and the financial markets;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governmental regulations; and</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geopolitical conditions, such as acts or threats of terrorism, political instability, civil unrest or military conflicts.</w:t>
      </w:r>
    </w:p>
    <w:p>
      <w:pPr>
        <w:spacing w:after="0" w:line="220" w:lineRule="exact"/>
        <w:rPr>
          <w:sz w:val="20"/>
          <w:szCs w:val="20"/>
          <w:color w:val="auto"/>
        </w:rPr>
      </w:pPr>
    </w:p>
    <w:p>
      <w:pPr>
        <w:ind w:right="80" w:firstLine="518"/>
        <w:spacing w:after="0" w:line="267" w:lineRule="auto"/>
        <w:rPr>
          <w:sz w:val="20"/>
          <w:szCs w:val="20"/>
          <w:color w:val="auto"/>
        </w:rPr>
      </w:pPr>
      <w:r>
        <w:rPr>
          <w:rFonts w:ascii="Arial" w:cs="Arial" w:eastAsia="Arial" w:hAnsi="Arial"/>
          <w:sz w:val="18"/>
          <w:szCs w:val="18"/>
          <w:color w:val="auto"/>
        </w:rPr>
        <w:t>In addition, in recent years, global stock markets have experienced extreme price and volume fluctuations. This volatility has had a significant effect on the market price of securities issued by many companies for reasons often unrelated to their operating</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340"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performance. These broad market fluctuations may adversely affect the market price of our common stock, regardless of our operating results.</w:t>
      </w:r>
    </w:p>
    <w:p>
      <w:pPr>
        <w:spacing w:after="0" w:line="220" w:lineRule="exact"/>
        <w:rPr>
          <w:sz w:val="20"/>
          <w:szCs w:val="20"/>
          <w:color w:val="auto"/>
        </w:rPr>
      </w:pPr>
    </w:p>
    <w:p>
      <w:pPr>
        <w:jc w:val="both"/>
        <w:ind w:right="320" w:firstLine="518"/>
        <w:spacing w:after="0" w:line="283" w:lineRule="auto"/>
        <w:rPr>
          <w:sz w:val="20"/>
          <w:szCs w:val="20"/>
          <w:color w:val="auto"/>
        </w:rPr>
      </w:pPr>
      <w:r>
        <w:rPr>
          <w:rFonts w:ascii="Arial" w:cs="Arial" w:eastAsia="Arial" w:hAnsi="Arial"/>
          <w:sz w:val="16"/>
          <w:szCs w:val="16"/>
          <w:color w:val="auto"/>
        </w:rPr>
        <w:t>Volatility in the financial markets could cause a decline in our stock price, which could trigger an impairment of the goodwill of individual reporting units that could be material to our consolidated financial statements. A significant drop in the price of our stock could also expose us to the risk of securities class action lawsuits, which could result in substantial costs and divert management's attention and resources, which could adversely affect our business.</w:t>
      </w:r>
    </w:p>
    <w:p>
      <w:pPr>
        <w:spacing w:after="0" w:line="254" w:lineRule="auto"/>
        <w:rPr>
          <w:sz w:val="20"/>
          <w:szCs w:val="20"/>
          <w:color w:val="auto"/>
        </w:rPr>
      </w:pPr>
      <w:r>
        <w:rPr>
          <w:rFonts w:ascii="Arial" w:cs="Arial" w:eastAsia="Arial" w:hAnsi="Arial"/>
          <w:sz w:val="18"/>
          <w:szCs w:val="18"/>
          <w:color w:val="auto"/>
        </w:rPr>
        <w:t>Additionally, volatility or a lack of positive performance in our stock price may adversely affect our ability to retain key employees, many of whom are awarded equity securities, the value of which is dependent on the performance of our stock price.</w:t>
      </w:r>
    </w:p>
    <w:p>
      <w:pPr>
        <w:spacing w:after="0" w:line="29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4"/>
          <w:szCs w:val="14"/>
          <w:b w:val="1"/>
          <w:bCs w:val="1"/>
          <w:color w:val="auto"/>
        </w:rPr>
        <w:t>Unresolved Staff Comments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owns or leases the properties described below. The Company believes that its existing facilities are adequate for its operations.</w:t>
      </w:r>
    </w:p>
    <w:p>
      <w:pPr>
        <w:spacing w:after="0" w:line="338" w:lineRule="exact"/>
        <w:rPr>
          <w:sz w:val="20"/>
          <w:szCs w:val="20"/>
          <w:color w:val="auto"/>
        </w:rPr>
      </w:pPr>
    </w:p>
    <w:p>
      <w:pPr>
        <w:ind w:right="40" w:firstLine="761"/>
        <w:spacing w:after="0" w:line="297" w:lineRule="auto"/>
        <w:rPr>
          <w:sz w:val="20"/>
          <w:szCs w:val="20"/>
          <w:color w:val="auto"/>
        </w:rPr>
      </w:pPr>
      <w:r>
        <w:rPr>
          <w:rFonts w:ascii="Arial" w:cs="Arial" w:eastAsia="Arial" w:hAnsi="Arial"/>
          <w:sz w:val="17"/>
          <w:szCs w:val="17"/>
          <w:color w:val="auto"/>
        </w:rPr>
        <w:t>The Company’s headquarters are located at 2122 York Road, Oak Brook, Illinois 60523, with approximately 64,275 square feet of office space that it leases with a term expiring in 2019. As of December 31, 2017 the Company owns or leases the following additional facilities: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Dredging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ind w:left="1980"/>
              <w:spacing w:after="0"/>
              <w:rPr>
                <w:sz w:val="20"/>
                <w:szCs w:val="20"/>
                <w:color w:val="auto"/>
              </w:rPr>
            </w:pPr>
            <w:r>
              <w:rPr>
                <w:rFonts w:ascii="Arial" w:cs="Arial" w:eastAsia="Arial" w:hAnsi="Arial"/>
                <w:sz w:val="14"/>
                <w:szCs w:val="14"/>
                <w:b w:val="1"/>
                <w:bCs w:val="1"/>
                <w:color w:val="auto"/>
              </w:rPr>
              <w:t>Location</w:t>
            </w:r>
          </w:p>
        </w:tc>
        <w:tc>
          <w:tcPr>
            <w:tcW w:w="200" w:type="dxa"/>
            <w:vAlign w:val="bottom"/>
            <w:vMerge w:val="restart"/>
          </w:tcPr>
          <w:p>
            <w:pPr>
              <w:spacing w:after="0"/>
              <w:rPr>
                <w:sz w:val="14"/>
                <w:szCs w:val="14"/>
                <w:color w:val="auto"/>
              </w:rPr>
            </w:pPr>
          </w:p>
        </w:tc>
        <w:tc>
          <w:tcPr>
            <w:tcW w:w="1720" w:type="dxa"/>
            <w:vAlign w:val="bottom"/>
            <w:gridSpan w:val="2"/>
          </w:tcPr>
          <w:p>
            <w:pPr>
              <w:ind w:left="480"/>
              <w:spacing w:after="0"/>
              <w:rPr>
                <w:sz w:val="20"/>
                <w:szCs w:val="20"/>
                <w:color w:val="auto"/>
              </w:rPr>
            </w:pPr>
            <w:r>
              <w:rPr>
                <w:rFonts w:ascii="Arial" w:cs="Arial" w:eastAsia="Arial" w:hAnsi="Arial"/>
                <w:sz w:val="14"/>
                <w:szCs w:val="14"/>
                <w:b w:val="1"/>
                <w:bCs w:val="1"/>
                <w:color w:val="auto"/>
              </w:rPr>
              <w:t>Type of</w:t>
            </w:r>
          </w:p>
        </w:tc>
        <w:tc>
          <w:tcPr>
            <w:tcW w:w="1340" w:type="dxa"/>
            <w:vAlign w:val="bottom"/>
          </w:tcPr>
          <w:p>
            <w:pPr>
              <w:spacing w:after="0"/>
              <w:rPr>
                <w:sz w:val="14"/>
                <w:szCs w:val="14"/>
                <w:color w:val="auto"/>
              </w:rPr>
            </w:pPr>
          </w:p>
        </w:tc>
        <w:tc>
          <w:tcPr>
            <w:tcW w:w="18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Size</w:t>
            </w:r>
          </w:p>
        </w:tc>
        <w:tc>
          <w:tcPr>
            <w:tcW w:w="280" w:type="dxa"/>
            <w:vAlign w:val="bottom"/>
            <w:vMerge w:val="restart"/>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7"/>
              </w:rPr>
              <w:t>Leased or</w:t>
            </w:r>
          </w:p>
        </w:tc>
        <w:tc>
          <w:tcPr>
            <w:tcW w:w="0" w:type="dxa"/>
            <w:vAlign w:val="bottom"/>
          </w:tcPr>
          <w:p>
            <w:pPr>
              <w:spacing w:after="0"/>
              <w:rPr>
                <w:sz w:val="1"/>
                <w:szCs w:val="1"/>
                <w:color w:val="auto"/>
              </w:rPr>
            </w:pPr>
          </w:p>
        </w:tc>
      </w:tr>
      <w:tr>
        <w:trPr>
          <w:trHeight w:val="169"/>
        </w:trPr>
        <w:tc>
          <w:tcPr>
            <w:tcW w:w="45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vMerge w:val="continue"/>
          </w:tcPr>
          <w:p>
            <w:pPr>
              <w:spacing w:after="0"/>
              <w:rPr>
                <w:sz w:val="14"/>
                <w:szCs w:val="14"/>
                <w:color w:val="auto"/>
              </w:rPr>
            </w:pPr>
          </w:p>
        </w:tc>
        <w:tc>
          <w:tcPr>
            <w:tcW w:w="14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Facility</w:t>
            </w:r>
          </w:p>
        </w:tc>
        <w:tc>
          <w:tcPr>
            <w:tcW w:w="280" w:type="dxa"/>
            <w:vAlign w:val="bottom"/>
            <w:tcBorders>
              <w:bottom w:val="single" w:sz="8" w:color="CFF0FC"/>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FF0FC"/>
            </w:tcBorders>
            <w:vMerge w:val="continue"/>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Owned</w:t>
            </w:r>
          </w:p>
        </w:tc>
        <w:tc>
          <w:tcPr>
            <w:tcW w:w="0" w:type="dxa"/>
            <w:vAlign w:val="bottom"/>
          </w:tcPr>
          <w:p>
            <w:pPr>
              <w:spacing w:after="0"/>
              <w:rPr>
                <w:sz w:val="1"/>
                <w:szCs w:val="1"/>
                <w:color w:val="auto"/>
              </w:rPr>
            </w:pPr>
          </w:p>
        </w:tc>
      </w:tr>
      <w:tr>
        <w:trPr>
          <w:trHeight w:val="220"/>
        </w:trPr>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Staten Island, New York</w:t>
            </w:r>
          </w:p>
        </w:tc>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Yard</w:t>
            </w:r>
          </w:p>
        </w:tc>
        <w:tc>
          <w:tcPr>
            <w:tcW w:w="13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4.4</w:t>
            </w:r>
          </w:p>
        </w:tc>
        <w:tc>
          <w:tcPr>
            <w:tcW w:w="20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Acres</w:t>
            </w:r>
          </w:p>
        </w:tc>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Owned</w:t>
            </w:r>
          </w:p>
        </w:tc>
        <w:tc>
          <w:tcPr>
            <w:tcW w:w="0" w:type="dxa"/>
            <w:vAlign w:val="bottom"/>
          </w:tcPr>
          <w:p>
            <w:pPr>
              <w:spacing w:after="0"/>
              <w:rPr>
                <w:sz w:val="1"/>
                <w:szCs w:val="1"/>
                <w:color w:val="auto"/>
              </w:rPr>
            </w:pPr>
          </w:p>
        </w:tc>
      </w:tr>
      <w:tr>
        <w:trPr>
          <w:trHeight w:val="226"/>
        </w:trPr>
        <w:tc>
          <w:tcPr>
            <w:tcW w:w="4700" w:type="dxa"/>
            <w:vAlign w:val="bottom"/>
            <w:gridSpan w:val="2"/>
          </w:tcPr>
          <w:p>
            <w:pPr>
              <w:spacing w:after="0"/>
              <w:rPr>
                <w:sz w:val="20"/>
                <w:szCs w:val="20"/>
                <w:color w:val="auto"/>
              </w:rPr>
            </w:pPr>
            <w:r>
              <w:rPr>
                <w:rFonts w:ascii="Arial" w:cs="Arial" w:eastAsia="Arial" w:hAnsi="Arial"/>
                <w:sz w:val="18"/>
                <w:szCs w:val="18"/>
                <w:color w:val="auto"/>
              </w:rPr>
              <w:t>Morgan City, Louisiana</w:t>
            </w:r>
          </w:p>
        </w:tc>
        <w:tc>
          <w:tcPr>
            <w:tcW w:w="1720" w:type="dxa"/>
            <w:vAlign w:val="bottom"/>
            <w:gridSpan w:val="2"/>
          </w:tcPr>
          <w:p>
            <w:pPr>
              <w:spacing w:after="0"/>
              <w:rPr>
                <w:sz w:val="20"/>
                <w:szCs w:val="20"/>
                <w:color w:val="auto"/>
              </w:rPr>
            </w:pPr>
            <w:r>
              <w:rPr>
                <w:rFonts w:ascii="Arial" w:cs="Arial" w:eastAsia="Arial" w:hAnsi="Arial"/>
                <w:sz w:val="18"/>
                <w:szCs w:val="18"/>
                <w:color w:val="auto"/>
              </w:rPr>
              <w:t>Yard</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6.4</w:t>
            </w:r>
          </w:p>
        </w:tc>
        <w:tc>
          <w:tcPr>
            <w:tcW w:w="2080" w:type="dxa"/>
            <w:vAlign w:val="bottom"/>
            <w:gridSpan w:val="2"/>
          </w:tcPr>
          <w:p>
            <w:pPr>
              <w:ind w:left="140"/>
              <w:spacing w:after="0"/>
              <w:rPr>
                <w:sz w:val="20"/>
                <w:szCs w:val="20"/>
                <w:color w:val="auto"/>
              </w:rPr>
            </w:pPr>
            <w:r>
              <w:rPr>
                <w:rFonts w:ascii="Arial" w:cs="Arial" w:eastAsia="Arial" w:hAnsi="Arial"/>
                <w:sz w:val="18"/>
                <w:szCs w:val="18"/>
                <w:color w:val="auto"/>
              </w:rPr>
              <w:t>Acres</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Owned</w:t>
            </w:r>
          </w:p>
        </w:tc>
        <w:tc>
          <w:tcPr>
            <w:tcW w:w="0" w:type="dxa"/>
            <w:vAlign w:val="bottom"/>
          </w:tcPr>
          <w:p>
            <w:pPr>
              <w:spacing w:after="0"/>
              <w:rPr>
                <w:sz w:val="1"/>
                <w:szCs w:val="1"/>
                <w:color w:val="auto"/>
              </w:rPr>
            </w:pPr>
          </w:p>
        </w:tc>
      </w:tr>
      <w:tr>
        <w:trPr>
          <w:trHeight w:val="227"/>
        </w:trPr>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Norfolk, Virginia</w:t>
            </w:r>
          </w:p>
        </w:tc>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Yard</w:t>
            </w:r>
          </w:p>
        </w:tc>
        <w:tc>
          <w:tcPr>
            <w:tcW w:w="13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15.3</w:t>
            </w:r>
          </w:p>
        </w:tc>
        <w:tc>
          <w:tcPr>
            <w:tcW w:w="20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Acres</w:t>
            </w:r>
          </w:p>
        </w:tc>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Owned</w:t>
            </w:r>
          </w:p>
        </w:tc>
        <w:tc>
          <w:tcPr>
            <w:tcW w:w="0" w:type="dxa"/>
            <w:vAlign w:val="bottom"/>
          </w:tcPr>
          <w:p>
            <w:pPr>
              <w:spacing w:after="0"/>
              <w:rPr>
                <w:sz w:val="1"/>
                <w:szCs w:val="1"/>
                <w:color w:val="auto"/>
              </w:rPr>
            </w:pPr>
          </w:p>
        </w:tc>
      </w:tr>
      <w:tr>
        <w:trPr>
          <w:trHeight w:val="226"/>
        </w:trPr>
        <w:tc>
          <w:tcPr>
            <w:tcW w:w="4700" w:type="dxa"/>
            <w:vAlign w:val="bottom"/>
            <w:gridSpan w:val="2"/>
          </w:tcPr>
          <w:p>
            <w:pPr>
              <w:spacing w:after="0"/>
              <w:rPr>
                <w:sz w:val="20"/>
                <w:szCs w:val="20"/>
                <w:color w:val="auto"/>
              </w:rPr>
            </w:pPr>
            <w:r>
              <w:rPr>
                <w:rFonts w:ascii="Arial" w:cs="Arial" w:eastAsia="Arial" w:hAnsi="Arial"/>
                <w:sz w:val="18"/>
                <w:szCs w:val="18"/>
                <w:color w:val="auto"/>
              </w:rPr>
              <w:t>Chickasaw, AL</w:t>
            </w:r>
          </w:p>
        </w:tc>
        <w:tc>
          <w:tcPr>
            <w:tcW w:w="1720" w:type="dxa"/>
            <w:vAlign w:val="bottom"/>
            <w:gridSpan w:val="2"/>
          </w:tcPr>
          <w:p>
            <w:pPr>
              <w:spacing w:after="0"/>
              <w:rPr>
                <w:sz w:val="20"/>
                <w:szCs w:val="20"/>
                <w:color w:val="auto"/>
              </w:rPr>
            </w:pPr>
            <w:r>
              <w:rPr>
                <w:rFonts w:ascii="Arial" w:cs="Arial" w:eastAsia="Arial" w:hAnsi="Arial"/>
                <w:sz w:val="18"/>
                <w:szCs w:val="18"/>
                <w:color w:val="auto"/>
              </w:rPr>
              <w:t>Yard</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2080" w:type="dxa"/>
            <w:vAlign w:val="bottom"/>
            <w:gridSpan w:val="2"/>
          </w:tcPr>
          <w:p>
            <w:pPr>
              <w:ind w:left="140"/>
              <w:spacing w:after="0"/>
              <w:rPr>
                <w:sz w:val="20"/>
                <w:szCs w:val="20"/>
                <w:color w:val="auto"/>
              </w:rPr>
            </w:pPr>
            <w:r>
              <w:rPr>
                <w:rFonts w:ascii="Arial" w:cs="Arial" w:eastAsia="Arial" w:hAnsi="Arial"/>
                <w:sz w:val="18"/>
                <w:szCs w:val="18"/>
                <w:color w:val="auto"/>
              </w:rPr>
              <w:t>Acres</w:t>
            </w:r>
          </w:p>
        </w:tc>
        <w:tc>
          <w:tcPr>
            <w:tcW w:w="15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7"/>
        </w:trPr>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Kingwood, Texas</w:t>
            </w:r>
          </w:p>
        </w:tc>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Office</w:t>
            </w:r>
          </w:p>
        </w:tc>
        <w:tc>
          <w:tcPr>
            <w:tcW w:w="13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750</w:t>
            </w:r>
          </w:p>
        </w:tc>
        <w:tc>
          <w:tcPr>
            <w:tcW w:w="20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Square feet</w:t>
            </w:r>
          </w:p>
        </w:tc>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6"/>
        </w:trPr>
        <w:tc>
          <w:tcPr>
            <w:tcW w:w="4700" w:type="dxa"/>
            <w:vAlign w:val="bottom"/>
            <w:gridSpan w:val="2"/>
          </w:tcPr>
          <w:p>
            <w:pPr>
              <w:spacing w:after="0"/>
              <w:rPr>
                <w:sz w:val="20"/>
                <w:szCs w:val="20"/>
                <w:color w:val="auto"/>
              </w:rPr>
            </w:pPr>
            <w:r>
              <w:rPr>
                <w:rFonts w:ascii="Arial" w:cs="Arial" w:eastAsia="Arial" w:hAnsi="Arial"/>
                <w:sz w:val="18"/>
                <w:szCs w:val="18"/>
                <w:color w:val="auto"/>
              </w:rPr>
              <w:t>Cape Girardeau, Missouri</w:t>
            </w:r>
          </w:p>
        </w:tc>
        <w:tc>
          <w:tcPr>
            <w:tcW w:w="1720" w:type="dxa"/>
            <w:vAlign w:val="bottom"/>
            <w:gridSpan w:val="2"/>
          </w:tcPr>
          <w:p>
            <w:pPr>
              <w:spacing w:after="0"/>
              <w:rPr>
                <w:sz w:val="20"/>
                <w:szCs w:val="20"/>
                <w:color w:val="auto"/>
              </w:rPr>
            </w:pPr>
            <w:r>
              <w:rPr>
                <w:rFonts w:ascii="Arial" w:cs="Arial" w:eastAsia="Arial" w:hAnsi="Arial"/>
                <w:sz w:val="18"/>
                <w:szCs w:val="18"/>
                <w:color w:val="auto"/>
              </w:rPr>
              <w:t>Office</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726</w:t>
            </w:r>
          </w:p>
        </w:tc>
        <w:tc>
          <w:tcPr>
            <w:tcW w:w="2080" w:type="dxa"/>
            <w:vAlign w:val="bottom"/>
            <w:gridSpan w:val="2"/>
          </w:tcPr>
          <w:p>
            <w:pPr>
              <w:ind w:left="140"/>
              <w:spacing w:after="0"/>
              <w:rPr>
                <w:sz w:val="20"/>
                <w:szCs w:val="20"/>
                <w:color w:val="auto"/>
              </w:rPr>
            </w:pPr>
            <w:r>
              <w:rPr>
                <w:rFonts w:ascii="Arial" w:cs="Arial" w:eastAsia="Arial" w:hAnsi="Arial"/>
                <w:sz w:val="18"/>
                <w:szCs w:val="18"/>
                <w:color w:val="auto"/>
              </w:rPr>
              <w:t>Square feet</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Owned</w:t>
            </w:r>
          </w:p>
        </w:tc>
        <w:tc>
          <w:tcPr>
            <w:tcW w:w="0" w:type="dxa"/>
            <w:vAlign w:val="bottom"/>
          </w:tcPr>
          <w:p>
            <w:pPr>
              <w:spacing w:after="0"/>
              <w:rPr>
                <w:sz w:val="1"/>
                <w:szCs w:val="1"/>
                <w:color w:val="auto"/>
              </w:rPr>
            </w:pPr>
          </w:p>
        </w:tc>
      </w:tr>
      <w:tr>
        <w:trPr>
          <w:trHeight w:val="227"/>
        </w:trPr>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Cape Girardeau, Missouri</w:t>
            </w:r>
          </w:p>
        </w:tc>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Storage</w:t>
            </w:r>
          </w:p>
        </w:tc>
        <w:tc>
          <w:tcPr>
            <w:tcW w:w="13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7,200</w:t>
            </w:r>
          </w:p>
        </w:tc>
        <w:tc>
          <w:tcPr>
            <w:tcW w:w="20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Square feet</w:t>
            </w:r>
          </w:p>
        </w:tc>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Owned</w:t>
            </w:r>
          </w:p>
        </w:tc>
        <w:tc>
          <w:tcPr>
            <w:tcW w:w="0" w:type="dxa"/>
            <w:vAlign w:val="bottom"/>
          </w:tcPr>
          <w:p>
            <w:pPr>
              <w:spacing w:after="0"/>
              <w:rPr>
                <w:sz w:val="1"/>
                <w:szCs w:val="1"/>
                <w:color w:val="auto"/>
              </w:rPr>
            </w:pPr>
          </w:p>
        </w:tc>
      </w:tr>
      <w:tr>
        <w:trPr>
          <w:trHeight w:val="225"/>
        </w:trPr>
        <w:tc>
          <w:tcPr>
            <w:tcW w:w="4700" w:type="dxa"/>
            <w:vAlign w:val="bottom"/>
            <w:gridSpan w:val="2"/>
          </w:tcPr>
          <w:p>
            <w:pPr>
              <w:spacing w:after="0"/>
              <w:rPr>
                <w:sz w:val="20"/>
                <w:szCs w:val="20"/>
                <w:color w:val="auto"/>
              </w:rPr>
            </w:pPr>
            <w:r>
              <w:rPr>
                <w:rFonts w:ascii="Arial" w:cs="Arial" w:eastAsia="Arial" w:hAnsi="Arial"/>
                <w:sz w:val="18"/>
                <w:szCs w:val="18"/>
                <w:color w:val="auto"/>
              </w:rPr>
              <w:t>Cape Girardeau, Missouri</w:t>
            </w:r>
          </w:p>
        </w:tc>
        <w:tc>
          <w:tcPr>
            <w:tcW w:w="1720" w:type="dxa"/>
            <w:vAlign w:val="bottom"/>
            <w:gridSpan w:val="2"/>
          </w:tcPr>
          <w:p>
            <w:pPr>
              <w:spacing w:after="0"/>
              <w:rPr>
                <w:sz w:val="20"/>
                <w:szCs w:val="20"/>
                <w:color w:val="auto"/>
              </w:rPr>
            </w:pPr>
            <w:r>
              <w:rPr>
                <w:rFonts w:ascii="Arial" w:cs="Arial" w:eastAsia="Arial" w:hAnsi="Arial"/>
                <w:sz w:val="18"/>
                <w:szCs w:val="18"/>
                <w:color w:val="auto"/>
              </w:rPr>
              <w:t>Yard</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18.4</w:t>
            </w:r>
          </w:p>
        </w:tc>
        <w:tc>
          <w:tcPr>
            <w:tcW w:w="2080" w:type="dxa"/>
            <w:vAlign w:val="bottom"/>
            <w:gridSpan w:val="2"/>
          </w:tcPr>
          <w:p>
            <w:pPr>
              <w:ind w:left="140"/>
              <w:spacing w:after="0"/>
              <w:rPr>
                <w:sz w:val="20"/>
                <w:szCs w:val="20"/>
                <w:color w:val="auto"/>
              </w:rPr>
            </w:pPr>
            <w:r>
              <w:rPr>
                <w:rFonts w:ascii="Arial" w:cs="Arial" w:eastAsia="Arial" w:hAnsi="Arial"/>
                <w:sz w:val="18"/>
                <w:szCs w:val="18"/>
                <w:color w:val="auto"/>
              </w:rPr>
              <w:t>Acres</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Owned</w:t>
            </w:r>
          </w:p>
        </w:tc>
        <w:tc>
          <w:tcPr>
            <w:tcW w:w="0" w:type="dxa"/>
            <w:vAlign w:val="bottom"/>
          </w:tcPr>
          <w:p>
            <w:pPr>
              <w:spacing w:after="0"/>
              <w:rPr>
                <w:sz w:val="1"/>
                <w:szCs w:val="1"/>
                <w:color w:val="auto"/>
              </w:rPr>
            </w:pPr>
          </w:p>
        </w:tc>
      </w:tr>
      <w:tr>
        <w:trPr>
          <w:trHeight w:val="573"/>
        </w:trPr>
        <w:tc>
          <w:tcPr>
            <w:tcW w:w="4700" w:type="dxa"/>
            <w:vAlign w:val="bottom"/>
            <w:gridSpan w:val="2"/>
          </w:tcPr>
          <w:p>
            <w:pPr>
              <w:spacing w:after="0"/>
              <w:rPr>
                <w:sz w:val="20"/>
                <w:szCs w:val="20"/>
                <w:color w:val="auto"/>
              </w:rPr>
            </w:pPr>
            <w:r>
              <w:rPr>
                <w:rFonts w:ascii="Arial" w:cs="Arial" w:eastAsia="Arial" w:hAnsi="Arial"/>
                <w:sz w:val="18"/>
                <w:szCs w:val="18"/>
                <w:i w:val="1"/>
                <w:iCs w:val="1"/>
                <w:color w:val="auto"/>
              </w:rPr>
              <w:t>Environmental &amp; infrastructure</w:t>
            </w: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4500" w:type="dxa"/>
            <w:vAlign w:val="bottom"/>
            <w:vMerge w:val="restart"/>
          </w:tcPr>
          <w:p>
            <w:pPr>
              <w:ind w:left="1980"/>
              <w:spacing w:after="0"/>
              <w:rPr>
                <w:sz w:val="20"/>
                <w:szCs w:val="20"/>
                <w:color w:val="auto"/>
              </w:rPr>
            </w:pPr>
            <w:r>
              <w:rPr>
                <w:rFonts w:ascii="Arial" w:cs="Arial" w:eastAsia="Arial" w:hAnsi="Arial"/>
                <w:sz w:val="14"/>
                <w:szCs w:val="14"/>
                <w:b w:val="1"/>
                <w:bCs w:val="1"/>
                <w:color w:val="auto"/>
              </w:rPr>
              <w:t>Location</w:t>
            </w:r>
          </w:p>
        </w:tc>
        <w:tc>
          <w:tcPr>
            <w:tcW w:w="200" w:type="dxa"/>
            <w:vAlign w:val="bottom"/>
            <w:vMerge w:val="restart"/>
          </w:tcPr>
          <w:p>
            <w:pPr>
              <w:spacing w:after="0"/>
              <w:rPr>
                <w:sz w:val="24"/>
                <w:szCs w:val="24"/>
                <w:color w:val="auto"/>
              </w:rPr>
            </w:pPr>
          </w:p>
        </w:tc>
        <w:tc>
          <w:tcPr>
            <w:tcW w:w="1720" w:type="dxa"/>
            <w:vAlign w:val="bottom"/>
            <w:gridSpan w:val="2"/>
          </w:tcPr>
          <w:p>
            <w:pPr>
              <w:ind w:left="480"/>
              <w:spacing w:after="0"/>
              <w:rPr>
                <w:sz w:val="20"/>
                <w:szCs w:val="20"/>
                <w:color w:val="auto"/>
              </w:rPr>
            </w:pPr>
            <w:r>
              <w:rPr>
                <w:rFonts w:ascii="Arial" w:cs="Arial" w:eastAsia="Arial" w:hAnsi="Arial"/>
                <w:sz w:val="14"/>
                <w:szCs w:val="14"/>
                <w:b w:val="1"/>
                <w:bCs w:val="1"/>
                <w:color w:val="auto"/>
              </w:rPr>
              <w:t>Type of</w:t>
            </w:r>
          </w:p>
        </w:tc>
        <w:tc>
          <w:tcPr>
            <w:tcW w:w="1340" w:type="dxa"/>
            <w:vAlign w:val="bottom"/>
          </w:tcPr>
          <w:p>
            <w:pPr>
              <w:spacing w:after="0"/>
              <w:rPr>
                <w:sz w:val="24"/>
                <w:szCs w:val="24"/>
                <w:color w:val="auto"/>
              </w:rPr>
            </w:pPr>
          </w:p>
        </w:tc>
        <w:tc>
          <w:tcPr>
            <w:tcW w:w="18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Size</w:t>
            </w:r>
          </w:p>
        </w:tc>
        <w:tc>
          <w:tcPr>
            <w:tcW w:w="280" w:type="dxa"/>
            <w:vAlign w:val="bottom"/>
            <w:vMerge w:val="restart"/>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7"/>
              </w:rPr>
              <w:t>Leased or</w:t>
            </w:r>
          </w:p>
        </w:tc>
        <w:tc>
          <w:tcPr>
            <w:tcW w:w="0" w:type="dxa"/>
            <w:vAlign w:val="bottom"/>
          </w:tcPr>
          <w:p>
            <w:pPr>
              <w:spacing w:after="0"/>
              <w:rPr>
                <w:sz w:val="1"/>
                <w:szCs w:val="1"/>
                <w:color w:val="auto"/>
              </w:rPr>
            </w:pPr>
          </w:p>
        </w:tc>
      </w:tr>
      <w:tr>
        <w:trPr>
          <w:trHeight w:val="169"/>
        </w:trPr>
        <w:tc>
          <w:tcPr>
            <w:tcW w:w="450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4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Facility</w:t>
            </w:r>
          </w:p>
        </w:tc>
        <w:tc>
          <w:tcPr>
            <w:tcW w:w="28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Owned</w:t>
            </w:r>
          </w:p>
        </w:tc>
        <w:tc>
          <w:tcPr>
            <w:tcW w:w="0" w:type="dxa"/>
            <w:vAlign w:val="bottom"/>
          </w:tcPr>
          <w:p>
            <w:pPr>
              <w:spacing w:after="0"/>
              <w:rPr>
                <w:sz w:val="1"/>
                <w:szCs w:val="1"/>
                <w:color w:val="auto"/>
              </w:rPr>
            </w:pPr>
          </w:p>
        </w:tc>
      </w:tr>
      <w:tr>
        <w:trPr>
          <w:trHeight w:val="219"/>
        </w:trPr>
        <w:tc>
          <w:tcPr>
            <w:tcW w:w="4700" w:type="dxa"/>
            <w:vAlign w:val="bottom"/>
            <w:gridSpan w:val="2"/>
          </w:tcPr>
          <w:p>
            <w:pPr>
              <w:spacing w:after="0"/>
              <w:rPr>
                <w:sz w:val="20"/>
                <w:szCs w:val="20"/>
                <w:color w:val="auto"/>
              </w:rPr>
            </w:pPr>
            <w:r>
              <w:rPr>
                <w:rFonts w:ascii="Arial" w:cs="Arial" w:eastAsia="Arial" w:hAnsi="Arial"/>
                <w:sz w:val="18"/>
                <w:szCs w:val="18"/>
                <w:color w:val="auto"/>
              </w:rPr>
              <w:t>Centennial, Colorado</w:t>
            </w:r>
          </w:p>
        </w:tc>
        <w:tc>
          <w:tcPr>
            <w:tcW w:w="1720" w:type="dxa"/>
            <w:vAlign w:val="bottom"/>
            <w:gridSpan w:val="2"/>
          </w:tcPr>
          <w:p>
            <w:pPr>
              <w:spacing w:after="0"/>
              <w:rPr>
                <w:sz w:val="20"/>
                <w:szCs w:val="20"/>
                <w:color w:val="auto"/>
              </w:rPr>
            </w:pPr>
            <w:r>
              <w:rPr>
                <w:rFonts w:ascii="Arial" w:cs="Arial" w:eastAsia="Arial" w:hAnsi="Arial"/>
                <w:sz w:val="18"/>
                <w:szCs w:val="18"/>
                <w:color w:val="auto"/>
              </w:rPr>
              <w:t>Office</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5,464</w:t>
            </w:r>
          </w:p>
        </w:tc>
        <w:tc>
          <w:tcPr>
            <w:tcW w:w="2080" w:type="dxa"/>
            <w:vAlign w:val="bottom"/>
            <w:gridSpan w:val="2"/>
          </w:tcPr>
          <w:p>
            <w:pPr>
              <w:ind w:left="140"/>
              <w:spacing w:after="0"/>
              <w:rPr>
                <w:sz w:val="20"/>
                <w:szCs w:val="20"/>
                <w:color w:val="auto"/>
              </w:rPr>
            </w:pPr>
            <w:r>
              <w:rPr>
                <w:rFonts w:ascii="Arial" w:cs="Arial" w:eastAsia="Arial" w:hAnsi="Arial"/>
                <w:sz w:val="18"/>
                <w:szCs w:val="18"/>
                <w:color w:val="auto"/>
              </w:rPr>
              <w:t>Square feet</w:t>
            </w:r>
          </w:p>
        </w:tc>
        <w:tc>
          <w:tcPr>
            <w:tcW w:w="15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7"/>
        </w:trPr>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Portage, Michigan</w:t>
            </w:r>
          </w:p>
        </w:tc>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Office</w:t>
            </w:r>
          </w:p>
        </w:tc>
        <w:tc>
          <w:tcPr>
            <w:tcW w:w="13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1,344</w:t>
            </w:r>
          </w:p>
        </w:tc>
        <w:tc>
          <w:tcPr>
            <w:tcW w:w="20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Square feet</w:t>
            </w:r>
          </w:p>
        </w:tc>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6"/>
        </w:trPr>
        <w:tc>
          <w:tcPr>
            <w:tcW w:w="4700" w:type="dxa"/>
            <w:vAlign w:val="bottom"/>
            <w:gridSpan w:val="2"/>
          </w:tcPr>
          <w:p>
            <w:pPr>
              <w:spacing w:after="0"/>
              <w:rPr>
                <w:sz w:val="20"/>
                <w:szCs w:val="20"/>
                <w:color w:val="auto"/>
              </w:rPr>
            </w:pPr>
            <w:r>
              <w:rPr>
                <w:rFonts w:ascii="Arial" w:cs="Arial" w:eastAsia="Arial" w:hAnsi="Arial"/>
                <w:sz w:val="18"/>
                <w:szCs w:val="18"/>
                <w:color w:val="auto"/>
              </w:rPr>
              <w:t>Kalkaska, Michigan</w:t>
            </w:r>
          </w:p>
        </w:tc>
        <w:tc>
          <w:tcPr>
            <w:tcW w:w="1720" w:type="dxa"/>
            <w:vAlign w:val="bottom"/>
            <w:gridSpan w:val="2"/>
          </w:tcPr>
          <w:p>
            <w:pPr>
              <w:spacing w:after="0"/>
              <w:rPr>
                <w:sz w:val="20"/>
                <w:szCs w:val="20"/>
                <w:color w:val="auto"/>
              </w:rPr>
            </w:pPr>
            <w:r>
              <w:rPr>
                <w:rFonts w:ascii="Arial" w:cs="Arial" w:eastAsia="Arial" w:hAnsi="Arial"/>
                <w:sz w:val="18"/>
                <w:szCs w:val="18"/>
                <w:color w:val="auto"/>
              </w:rPr>
              <w:t>Office</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8,200</w:t>
            </w:r>
          </w:p>
        </w:tc>
        <w:tc>
          <w:tcPr>
            <w:tcW w:w="2080" w:type="dxa"/>
            <w:vAlign w:val="bottom"/>
            <w:gridSpan w:val="2"/>
          </w:tcPr>
          <w:p>
            <w:pPr>
              <w:ind w:left="140"/>
              <w:spacing w:after="0"/>
              <w:rPr>
                <w:sz w:val="20"/>
                <w:szCs w:val="20"/>
                <w:color w:val="auto"/>
              </w:rPr>
            </w:pPr>
            <w:r>
              <w:rPr>
                <w:rFonts w:ascii="Arial" w:cs="Arial" w:eastAsia="Arial" w:hAnsi="Arial"/>
                <w:sz w:val="18"/>
                <w:szCs w:val="18"/>
                <w:color w:val="auto"/>
              </w:rPr>
              <w:t>Square feet</w:t>
            </w:r>
          </w:p>
        </w:tc>
        <w:tc>
          <w:tcPr>
            <w:tcW w:w="15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7"/>
        </w:trPr>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Kalkaska, Michigan</w:t>
            </w:r>
          </w:p>
        </w:tc>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Yard</w:t>
            </w:r>
          </w:p>
        </w:tc>
        <w:tc>
          <w:tcPr>
            <w:tcW w:w="13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7.0</w:t>
            </w:r>
          </w:p>
        </w:tc>
        <w:tc>
          <w:tcPr>
            <w:tcW w:w="20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Acres</w:t>
            </w:r>
          </w:p>
        </w:tc>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6"/>
        </w:trPr>
        <w:tc>
          <w:tcPr>
            <w:tcW w:w="4700" w:type="dxa"/>
            <w:vAlign w:val="bottom"/>
            <w:gridSpan w:val="2"/>
          </w:tcPr>
          <w:p>
            <w:pPr>
              <w:spacing w:after="0"/>
              <w:rPr>
                <w:sz w:val="20"/>
                <w:szCs w:val="20"/>
                <w:color w:val="auto"/>
              </w:rPr>
            </w:pPr>
            <w:r>
              <w:rPr>
                <w:rFonts w:ascii="Arial" w:cs="Arial" w:eastAsia="Arial" w:hAnsi="Arial"/>
                <w:sz w:val="18"/>
                <w:szCs w:val="18"/>
                <w:color w:val="auto"/>
              </w:rPr>
              <w:t>Rocklin, CA</w:t>
            </w:r>
          </w:p>
        </w:tc>
        <w:tc>
          <w:tcPr>
            <w:tcW w:w="1720" w:type="dxa"/>
            <w:vAlign w:val="bottom"/>
            <w:gridSpan w:val="2"/>
          </w:tcPr>
          <w:p>
            <w:pPr>
              <w:spacing w:after="0"/>
              <w:rPr>
                <w:sz w:val="20"/>
                <w:szCs w:val="20"/>
                <w:color w:val="auto"/>
              </w:rPr>
            </w:pPr>
            <w:r>
              <w:rPr>
                <w:rFonts w:ascii="Arial" w:cs="Arial" w:eastAsia="Arial" w:hAnsi="Arial"/>
                <w:sz w:val="18"/>
                <w:szCs w:val="18"/>
                <w:color w:val="auto"/>
              </w:rPr>
              <w:t>Office</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12,623</w:t>
            </w:r>
          </w:p>
        </w:tc>
        <w:tc>
          <w:tcPr>
            <w:tcW w:w="2080" w:type="dxa"/>
            <w:vAlign w:val="bottom"/>
            <w:gridSpan w:val="2"/>
          </w:tcPr>
          <w:p>
            <w:pPr>
              <w:ind w:left="140"/>
              <w:spacing w:after="0"/>
              <w:rPr>
                <w:sz w:val="20"/>
                <w:szCs w:val="20"/>
                <w:color w:val="auto"/>
              </w:rPr>
            </w:pPr>
            <w:r>
              <w:rPr>
                <w:rFonts w:ascii="Arial" w:cs="Arial" w:eastAsia="Arial" w:hAnsi="Arial"/>
                <w:sz w:val="18"/>
                <w:szCs w:val="18"/>
                <w:color w:val="auto"/>
              </w:rPr>
              <w:t>Square feet</w:t>
            </w:r>
          </w:p>
        </w:tc>
        <w:tc>
          <w:tcPr>
            <w:tcW w:w="15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7"/>
        </w:trPr>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Rocklin, CA*</w:t>
            </w:r>
          </w:p>
        </w:tc>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Yard</w:t>
            </w:r>
          </w:p>
        </w:tc>
        <w:tc>
          <w:tcPr>
            <w:tcW w:w="13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5.0</w:t>
            </w:r>
          </w:p>
        </w:tc>
        <w:tc>
          <w:tcPr>
            <w:tcW w:w="20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Acres</w:t>
            </w:r>
          </w:p>
        </w:tc>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6"/>
        </w:trPr>
        <w:tc>
          <w:tcPr>
            <w:tcW w:w="4700" w:type="dxa"/>
            <w:vAlign w:val="bottom"/>
            <w:gridSpan w:val="2"/>
          </w:tcPr>
          <w:p>
            <w:pPr>
              <w:spacing w:after="0"/>
              <w:rPr>
                <w:sz w:val="20"/>
                <w:szCs w:val="20"/>
                <w:color w:val="auto"/>
              </w:rPr>
            </w:pPr>
            <w:r>
              <w:rPr>
                <w:rFonts w:ascii="Arial" w:cs="Arial" w:eastAsia="Arial" w:hAnsi="Arial"/>
                <w:sz w:val="18"/>
                <w:szCs w:val="18"/>
                <w:color w:val="auto"/>
              </w:rPr>
              <w:t>Rocklin, CA*</w:t>
            </w:r>
          </w:p>
        </w:tc>
        <w:tc>
          <w:tcPr>
            <w:tcW w:w="1720" w:type="dxa"/>
            <w:vAlign w:val="bottom"/>
            <w:gridSpan w:val="2"/>
          </w:tcPr>
          <w:p>
            <w:pPr>
              <w:spacing w:after="0"/>
              <w:rPr>
                <w:sz w:val="20"/>
                <w:szCs w:val="20"/>
                <w:color w:val="auto"/>
              </w:rPr>
            </w:pPr>
            <w:r>
              <w:rPr>
                <w:rFonts w:ascii="Arial" w:cs="Arial" w:eastAsia="Arial" w:hAnsi="Arial"/>
                <w:sz w:val="18"/>
                <w:szCs w:val="18"/>
                <w:color w:val="auto"/>
              </w:rPr>
              <w:t>Storage</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14,731</w:t>
            </w:r>
          </w:p>
        </w:tc>
        <w:tc>
          <w:tcPr>
            <w:tcW w:w="2080" w:type="dxa"/>
            <w:vAlign w:val="bottom"/>
            <w:gridSpan w:val="2"/>
          </w:tcPr>
          <w:p>
            <w:pPr>
              <w:ind w:left="140"/>
              <w:spacing w:after="0"/>
              <w:rPr>
                <w:sz w:val="20"/>
                <w:szCs w:val="20"/>
                <w:color w:val="auto"/>
              </w:rPr>
            </w:pPr>
            <w:r>
              <w:rPr>
                <w:rFonts w:ascii="Arial" w:cs="Arial" w:eastAsia="Arial" w:hAnsi="Arial"/>
                <w:sz w:val="18"/>
                <w:szCs w:val="18"/>
                <w:color w:val="auto"/>
              </w:rPr>
              <w:t>Square feet</w:t>
            </w:r>
          </w:p>
        </w:tc>
        <w:tc>
          <w:tcPr>
            <w:tcW w:w="15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7"/>
        </w:trPr>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Roswell, Georgia</w:t>
            </w:r>
          </w:p>
        </w:tc>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Office</w:t>
            </w:r>
          </w:p>
        </w:tc>
        <w:tc>
          <w:tcPr>
            <w:tcW w:w="13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1,494</w:t>
            </w:r>
          </w:p>
        </w:tc>
        <w:tc>
          <w:tcPr>
            <w:tcW w:w="20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Square feet</w:t>
            </w:r>
          </w:p>
        </w:tc>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6"/>
        </w:trPr>
        <w:tc>
          <w:tcPr>
            <w:tcW w:w="4700" w:type="dxa"/>
            <w:vAlign w:val="bottom"/>
            <w:gridSpan w:val="2"/>
          </w:tcPr>
          <w:p>
            <w:pPr>
              <w:spacing w:after="0"/>
              <w:rPr>
                <w:sz w:val="20"/>
                <w:szCs w:val="20"/>
                <w:color w:val="auto"/>
              </w:rPr>
            </w:pPr>
            <w:r>
              <w:rPr>
                <w:rFonts w:ascii="Arial" w:cs="Arial" w:eastAsia="Arial" w:hAnsi="Arial"/>
                <w:sz w:val="18"/>
                <w:szCs w:val="18"/>
                <w:color w:val="auto"/>
              </w:rPr>
              <w:t>Denton, Texas</w:t>
            </w:r>
          </w:p>
        </w:tc>
        <w:tc>
          <w:tcPr>
            <w:tcW w:w="1720" w:type="dxa"/>
            <w:vAlign w:val="bottom"/>
            <w:gridSpan w:val="2"/>
          </w:tcPr>
          <w:p>
            <w:pPr>
              <w:spacing w:after="0"/>
              <w:rPr>
                <w:sz w:val="20"/>
                <w:szCs w:val="20"/>
                <w:color w:val="auto"/>
              </w:rPr>
            </w:pPr>
            <w:r>
              <w:rPr>
                <w:rFonts w:ascii="Arial" w:cs="Arial" w:eastAsia="Arial" w:hAnsi="Arial"/>
                <w:sz w:val="18"/>
                <w:szCs w:val="18"/>
                <w:color w:val="auto"/>
              </w:rPr>
              <w:t>Office</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3,766</w:t>
            </w:r>
          </w:p>
        </w:tc>
        <w:tc>
          <w:tcPr>
            <w:tcW w:w="2080" w:type="dxa"/>
            <w:vAlign w:val="bottom"/>
            <w:gridSpan w:val="2"/>
          </w:tcPr>
          <w:p>
            <w:pPr>
              <w:ind w:left="140"/>
              <w:spacing w:after="0"/>
              <w:rPr>
                <w:sz w:val="20"/>
                <w:szCs w:val="20"/>
                <w:color w:val="auto"/>
              </w:rPr>
            </w:pPr>
            <w:r>
              <w:rPr>
                <w:rFonts w:ascii="Arial" w:cs="Arial" w:eastAsia="Arial" w:hAnsi="Arial"/>
                <w:sz w:val="18"/>
                <w:szCs w:val="18"/>
                <w:color w:val="auto"/>
              </w:rPr>
              <w:t>Square feet</w:t>
            </w:r>
          </w:p>
        </w:tc>
        <w:tc>
          <w:tcPr>
            <w:tcW w:w="15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7"/>
        </w:trPr>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Brielle, New Jersey</w:t>
            </w:r>
          </w:p>
        </w:tc>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Office</w:t>
            </w:r>
          </w:p>
        </w:tc>
        <w:tc>
          <w:tcPr>
            <w:tcW w:w="13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4,800</w:t>
            </w:r>
          </w:p>
        </w:tc>
        <w:tc>
          <w:tcPr>
            <w:tcW w:w="20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Square feet</w:t>
            </w:r>
          </w:p>
        </w:tc>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00"/>
        <w:spacing w:after="0" w:line="267" w:lineRule="auto"/>
        <w:rPr>
          <w:sz w:val="20"/>
          <w:szCs w:val="20"/>
          <w:color w:val="auto"/>
        </w:rPr>
      </w:pPr>
      <w:r>
        <w:rPr>
          <w:rFonts w:ascii="Arial" w:cs="Arial" w:eastAsia="Arial" w:hAnsi="Arial"/>
          <w:sz w:val="18"/>
          <w:szCs w:val="18"/>
          <w:color w:val="auto"/>
        </w:rPr>
        <w:t>*The environmental &amp; infrastructure segment leases the Rocklin, California facilities from the former shareholders of Magnus pursuant to leases expiring in 2019. See Note 16, Related-Party Transactions, to the Company’s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9" w:name="page30"/>
    <w:bookmarkEnd w:id="29"/>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4"/>
          <w:szCs w:val="14"/>
          <w:b w:val="1"/>
          <w:bCs w:val="1"/>
          <w:color w:val="auto"/>
        </w:rPr>
        <w:t>Legal Proceedings</w:t>
      </w:r>
    </w:p>
    <w:p>
      <w:pPr>
        <w:spacing w:after="0" w:line="119"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Various legal actions, claims, assessments and other contingencies arising in the ordinary course of business are pending against the Company and certain of its subsidiaries.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 accrual when it is probable a liability has been incurred and the amount of loss can be reasonably estimated. Except as described below, the Company does not believe any of these proceedings, individually or in the aggregate, would be expected to have a material effect on results of operations, cash flows or financial condition.</w:t>
      </w:r>
    </w:p>
    <w:p>
      <w:pPr>
        <w:spacing w:after="0" w:line="169"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On April 23, 2014, the Company completed the sale of NASDI, LLC (“NASDI”) and Yankee Environmental Services, LLC (“Yankee”), which together comprised the Company’s historical demolition business, to a privately owned demolition company. Under the terms of the divestiture, the Company retained certain pre-closing liabilities relating to the disposed business. Certain of these liabilities and a legal action brought by the Company to enforce the buyer’s obligations under the sale agreement are described below.</w:t>
      </w:r>
    </w:p>
    <w:p>
      <w:pPr>
        <w:spacing w:after="0" w:line="191" w:lineRule="exact"/>
        <w:rPr>
          <w:sz w:val="20"/>
          <w:szCs w:val="20"/>
          <w:color w:val="auto"/>
        </w:rPr>
      </w:pPr>
    </w:p>
    <w:p>
      <w:pPr>
        <w:ind w:right="120" w:firstLine="518"/>
        <w:spacing w:after="0" w:line="251" w:lineRule="auto"/>
        <w:rPr>
          <w:sz w:val="20"/>
          <w:szCs w:val="20"/>
          <w:color w:val="auto"/>
        </w:rPr>
      </w:pPr>
      <w:r>
        <w:rPr>
          <w:rFonts w:ascii="Arial" w:cs="Arial" w:eastAsia="Arial" w:hAnsi="Arial"/>
          <w:sz w:val="18"/>
          <w:szCs w:val="18"/>
          <w:color w:val="auto"/>
        </w:rPr>
        <w:t>On January 14, 2015, the Company and our subsidiary, NASDI Holdings, LLC, brought an action in the Delaware Court of Chancery to enforce the terms of the Company’s agreement to sell NASDI and Yankee. Under the terms of the agreement, the Company received cash of $5.3 million and retained the right to receive additional proceeds based upon future collections of outstanding accounts receivable and work in process existing at the date of close. The Company seeks specific performance of buyer’s obligation to collect and to remit the additional proceeds, and other related relief. Defendants have filed counterclaims alleging that the Company misrepresented the quality of its contracts and receivables prior to the sale. The Company denies defendants’ allegations and intends to vigorously defend against the counterclaims.</w:t>
      </w:r>
    </w:p>
    <w:p>
      <w:pPr>
        <w:spacing w:after="0" w:line="29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4"/>
          <w:szCs w:val="14"/>
          <w:b w:val="1"/>
          <w:bCs w:val="1"/>
          <w:color w:val="auto"/>
        </w:rPr>
        <w:t>Mine Safety Disclosures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30" w:name="page31"/>
    <w:bookmarkEnd w:id="30"/>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20" w:lineRule="exact"/>
        <w:rPr>
          <w:sz w:val="20"/>
          <w:szCs w:val="20"/>
          <w:color w:val="auto"/>
        </w:rPr>
      </w:pPr>
    </w:p>
    <w:p>
      <w:pPr>
        <w:ind w:right="1700"/>
        <w:spacing w:after="0" w:line="374"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80" w:firstLine="518"/>
        <w:spacing w:after="0" w:line="297" w:lineRule="auto"/>
        <w:rPr>
          <w:sz w:val="20"/>
          <w:szCs w:val="20"/>
          <w:color w:val="auto"/>
        </w:rPr>
      </w:pPr>
      <w:r>
        <w:rPr>
          <w:rFonts w:ascii="Arial" w:cs="Arial" w:eastAsia="Arial" w:hAnsi="Arial"/>
          <w:sz w:val="17"/>
          <w:szCs w:val="17"/>
          <w:color w:val="auto"/>
        </w:rPr>
        <w:t>Our common stock is traded under the symbol “GLDD” on the NASDAQ Global Market. The table below sets forth, for the calendar quarters indicated, the high and low sales prices of the common stock as reported by NASDAQ from January 1, 2016 through December 31, 2017.</w:t>
      </w:r>
    </w:p>
    <w:p>
      <w:pPr>
        <w:spacing w:after="0" w:line="226" w:lineRule="exact"/>
        <w:rPr>
          <w:sz w:val="20"/>
          <w:szCs w:val="20"/>
          <w:color w:val="auto"/>
        </w:rPr>
      </w:pPr>
    </w:p>
    <w:tbl>
      <w:tblPr>
        <w:tblLayout w:type="fixed"/>
        <w:tblInd w:w="1720" w:type="dxa"/>
        <w:tblCellMar>
          <w:top w:w="0" w:type="dxa"/>
          <w:left w:w="0" w:type="dxa"/>
          <w:bottom w:w="0" w:type="dxa"/>
          <w:right w:w="0" w:type="dxa"/>
        </w:tblCellMar>
      </w:tblPr>
      <w:tr>
        <w:trPr>
          <w:trHeight w:val="169"/>
        </w:trPr>
        <w:tc>
          <w:tcPr>
            <w:tcW w:w="33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5"/>
              </w:rPr>
              <w:t>Common Stock</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3"/>
        </w:trPr>
        <w:tc>
          <w:tcPr>
            <w:tcW w:w="3320" w:type="dxa"/>
            <w:vAlign w:val="bottom"/>
            <w:tcBorders>
              <w:bottom w:val="single" w:sz="8" w:color="CFF0FC"/>
            </w:tcBorders>
          </w:tcPr>
          <w:p>
            <w:pPr>
              <w:spacing w:after="0"/>
              <w:rPr>
                <w:sz w:val="13"/>
                <w:szCs w:val="13"/>
                <w:color w:val="auto"/>
              </w:rPr>
            </w:pPr>
          </w:p>
        </w:tc>
        <w:tc>
          <w:tcPr>
            <w:tcW w:w="184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High</w:t>
            </w:r>
          </w:p>
        </w:tc>
        <w:tc>
          <w:tcPr>
            <w:tcW w:w="44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35"/>
              <w:spacing w:after="0" w:line="153" w:lineRule="exact"/>
              <w:rPr>
                <w:sz w:val="20"/>
                <w:szCs w:val="20"/>
                <w:color w:val="auto"/>
              </w:rPr>
            </w:pPr>
            <w:r>
              <w:rPr>
                <w:rFonts w:ascii="Arial" w:cs="Arial" w:eastAsia="Arial" w:hAnsi="Arial"/>
                <w:sz w:val="14"/>
                <w:szCs w:val="14"/>
                <w:b w:val="1"/>
                <w:bCs w:val="1"/>
                <w:color w:val="auto"/>
              </w:rPr>
              <w:t>Low</w:t>
            </w:r>
          </w:p>
        </w:tc>
        <w:tc>
          <w:tcPr>
            <w:tcW w:w="80" w:type="dxa"/>
            <w:vAlign w:val="bottom"/>
            <w:tcBorders>
              <w:bottom w:val="single" w:sz="8" w:color="CFF0FC"/>
            </w:tcBorders>
          </w:tcPr>
          <w:p>
            <w:pPr>
              <w:spacing w:after="0"/>
              <w:rPr>
                <w:sz w:val="13"/>
                <w:szCs w:val="13"/>
                <w:color w:val="auto"/>
              </w:rPr>
            </w:pPr>
          </w:p>
        </w:tc>
      </w:tr>
      <w:tr>
        <w:trPr>
          <w:trHeight w:val="220"/>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First Quarter 2016</w:t>
            </w:r>
          </w:p>
        </w:tc>
        <w:tc>
          <w:tcPr>
            <w:tcW w:w="2680" w:type="dxa"/>
            <w:vAlign w:val="bottom"/>
            <w:gridSpan w:val="2"/>
            <w:shd w:val="clear" w:color="auto" w:fill="CFF0FC"/>
          </w:tcPr>
          <w:p>
            <w:pPr>
              <w:jc w:val="right"/>
              <w:ind w:right="689"/>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w:t>
            </w:r>
          </w:p>
        </w:tc>
        <w:tc>
          <w:tcPr>
            <w:tcW w:w="6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FF0FC"/>
          </w:tcPr>
          <w:p>
            <w:pPr>
              <w:spacing w:after="0"/>
              <w:rPr>
                <w:sz w:val="19"/>
                <w:szCs w:val="19"/>
                <w:color w:val="auto"/>
              </w:rPr>
            </w:pPr>
          </w:p>
        </w:tc>
      </w:tr>
      <w:tr>
        <w:trPr>
          <w:trHeight w:val="226"/>
        </w:trPr>
        <w:tc>
          <w:tcPr>
            <w:tcW w:w="3320" w:type="dxa"/>
            <w:vAlign w:val="bottom"/>
          </w:tcPr>
          <w:p>
            <w:pPr>
              <w:spacing w:after="0"/>
              <w:rPr>
                <w:sz w:val="20"/>
                <w:szCs w:val="20"/>
                <w:color w:val="auto"/>
              </w:rPr>
            </w:pPr>
            <w:r>
              <w:rPr>
                <w:rFonts w:ascii="Arial" w:cs="Arial" w:eastAsia="Arial" w:hAnsi="Arial"/>
                <w:sz w:val="18"/>
                <w:szCs w:val="18"/>
                <w:color w:val="auto"/>
              </w:rPr>
              <w:t>Second Quarter 2016</w:t>
            </w:r>
          </w:p>
        </w:tc>
        <w:tc>
          <w:tcPr>
            <w:tcW w:w="2680" w:type="dxa"/>
            <w:vAlign w:val="bottom"/>
            <w:gridSpan w:val="2"/>
          </w:tcPr>
          <w:p>
            <w:pPr>
              <w:jc w:val="right"/>
              <w:ind w:right="689"/>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4.50</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3.42</w:t>
            </w:r>
          </w:p>
        </w:tc>
        <w:tc>
          <w:tcPr>
            <w:tcW w:w="80" w:type="dxa"/>
            <w:vAlign w:val="bottom"/>
          </w:tcPr>
          <w:p>
            <w:pPr>
              <w:spacing w:after="0"/>
              <w:rPr>
                <w:sz w:val="19"/>
                <w:szCs w:val="19"/>
                <w:color w:val="auto"/>
              </w:rPr>
            </w:pPr>
          </w:p>
        </w:tc>
      </w:tr>
      <w:tr>
        <w:trPr>
          <w:trHeight w:val="227"/>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Third Quarter 2016</w:t>
            </w:r>
          </w:p>
        </w:tc>
        <w:tc>
          <w:tcPr>
            <w:tcW w:w="2680" w:type="dxa"/>
            <w:vAlign w:val="bottom"/>
            <w:gridSpan w:val="2"/>
            <w:shd w:val="clear" w:color="auto" w:fill="CFF0FC"/>
          </w:tcPr>
          <w:p>
            <w:pPr>
              <w:jc w:val="right"/>
              <w:ind w:right="689"/>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w:t>
            </w:r>
          </w:p>
        </w:tc>
        <w:tc>
          <w:tcPr>
            <w:tcW w:w="6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80" w:type="dxa"/>
            <w:vAlign w:val="bottom"/>
            <w:shd w:val="clear" w:color="auto" w:fill="CFF0FC"/>
          </w:tcPr>
          <w:p>
            <w:pPr>
              <w:spacing w:after="0"/>
              <w:rPr>
                <w:sz w:val="19"/>
                <w:szCs w:val="19"/>
                <w:color w:val="auto"/>
              </w:rPr>
            </w:pPr>
          </w:p>
        </w:tc>
      </w:tr>
      <w:tr>
        <w:trPr>
          <w:trHeight w:val="225"/>
        </w:trPr>
        <w:tc>
          <w:tcPr>
            <w:tcW w:w="3320" w:type="dxa"/>
            <w:vAlign w:val="bottom"/>
          </w:tcPr>
          <w:p>
            <w:pPr>
              <w:spacing w:after="0"/>
              <w:rPr>
                <w:sz w:val="20"/>
                <w:szCs w:val="20"/>
                <w:color w:val="auto"/>
              </w:rPr>
            </w:pPr>
            <w:r>
              <w:rPr>
                <w:rFonts w:ascii="Arial" w:cs="Arial" w:eastAsia="Arial" w:hAnsi="Arial"/>
                <w:sz w:val="18"/>
                <w:szCs w:val="18"/>
                <w:color w:val="auto"/>
              </w:rPr>
              <w:t>Fourth Quarter 2016</w:t>
            </w:r>
          </w:p>
        </w:tc>
        <w:tc>
          <w:tcPr>
            <w:tcW w:w="2680" w:type="dxa"/>
            <w:vAlign w:val="bottom"/>
            <w:gridSpan w:val="2"/>
          </w:tcPr>
          <w:p>
            <w:pPr>
              <w:jc w:val="right"/>
              <w:ind w:right="689"/>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5.00</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3.05</w:t>
            </w:r>
          </w:p>
        </w:tc>
        <w:tc>
          <w:tcPr>
            <w:tcW w:w="80" w:type="dxa"/>
            <w:vAlign w:val="bottom"/>
          </w:tcPr>
          <w:p>
            <w:pPr>
              <w:spacing w:after="0"/>
              <w:rPr>
                <w:sz w:val="19"/>
                <w:szCs w:val="19"/>
                <w:color w:val="auto"/>
              </w:rPr>
            </w:pPr>
          </w:p>
        </w:tc>
      </w:tr>
      <w:tr>
        <w:trPr>
          <w:trHeight w:val="441"/>
        </w:trPr>
        <w:tc>
          <w:tcPr>
            <w:tcW w:w="3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5"/>
              </w:rPr>
              <w:t>Common Stock</w:t>
            </w: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53"/>
        </w:trPr>
        <w:tc>
          <w:tcPr>
            <w:tcW w:w="3320" w:type="dxa"/>
            <w:vAlign w:val="bottom"/>
            <w:tcBorders>
              <w:bottom w:val="single" w:sz="8" w:color="CFF0FC"/>
            </w:tcBorders>
          </w:tcPr>
          <w:p>
            <w:pPr>
              <w:spacing w:after="0"/>
              <w:rPr>
                <w:sz w:val="13"/>
                <w:szCs w:val="13"/>
                <w:color w:val="auto"/>
              </w:rPr>
            </w:pPr>
          </w:p>
        </w:tc>
        <w:tc>
          <w:tcPr>
            <w:tcW w:w="184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High</w:t>
            </w:r>
          </w:p>
        </w:tc>
        <w:tc>
          <w:tcPr>
            <w:tcW w:w="44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35"/>
              <w:spacing w:after="0" w:line="153" w:lineRule="exact"/>
              <w:rPr>
                <w:sz w:val="20"/>
                <w:szCs w:val="20"/>
                <w:color w:val="auto"/>
              </w:rPr>
            </w:pPr>
            <w:r>
              <w:rPr>
                <w:rFonts w:ascii="Arial" w:cs="Arial" w:eastAsia="Arial" w:hAnsi="Arial"/>
                <w:sz w:val="14"/>
                <w:szCs w:val="14"/>
                <w:b w:val="1"/>
                <w:bCs w:val="1"/>
                <w:color w:val="auto"/>
              </w:rPr>
              <w:t>Low</w:t>
            </w:r>
          </w:p>
        </w:tc>
        <w:tc>
          <w:tcPr>
            <w:tcW w:w="80" w:type="dxa"/>
            <w:vAlign w:val="bottom"/>
            <w:tcBorders>
              <w:bottom w:val="single" w:sz="8" w:color="CFF0FC"/>
            </w:tcBorders>
          </w:tcPr>
          <w:p>
            <w:pPr>
              <w:spacing w:after="0"/>
              <w:rPr>
                <w:sz w:val="13"/>
                <w:szCs w:val="13"/>
                <w:color w:val="auto"/>
              </w:rPr>
            </w:pPr>
          </w:p>
        </w:tc>
      </w:tr>
      <w:tr>
        <w:trPr>
          <w:trHeight w:val="220"/>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First Quarter 2017</w:t>
            </w:r>
          </w:p>
        </w:tc>
        <w:tc>
          <w:tcPr>
            <w:tcW w:w="2680" w:type="dxa"/>
            <w:vAlign w:val="bottom"/>
            <w:gridSpan w:val="2"/>
            <w:shd w:val="clear" w:color="auto" w:fill="CFF0FC"/>
          </w:tcPr>
          <w:p>
            <w:pPr>
              <w:jc w:val="right"/>
              <w:ind w:right="689"/>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6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w:t>
            </w:r>
          </w:p>
        </w:tc>
        <w:tc>
          <w:tcPr>
            <w:tcW w:w="80" w:type="dxa"/>
            <w:vAlign w:val="bottom"/>
            <w:shd w:val="clear" w:color="auto" w:fill="CFF0FC"/>
          </w:tcPr>
          <w:p>
            <w:pPr>
              <w:spacing w:after="0"/>
              <w:rPr>
                <w:sz w:val="19"/>
                <w:szCs w:val="19"/>
                <w:color w:val="auto"/>
              </w:rPr>
            </w:pPr>
          </w:p>
        </w:tc>
      </w:tr>
      <w:tr>
        <w:trPr>
          <w:trHeight w:val="226"/>
        </w:trPr>
        <w:tc>
          <w:tcPr>
            <w:tcW w:w="3320" w:type="dxa"/>
            <w:vAlign w:val="bottom"/>
          </w:tcPr>
          <w:p>
            <w:pPr>
              <w:spacing w:after="0"/>
              <w:rPr>
                <w:sz w:val="20"/>
                <w:szCs w:val="20"/>
                <w:color w:val="auto"/>
              </w:rPr>
            </w:pPr>
            <w:r>
              <w:rPr>
                <w:rFonts w:ascii="Arial" w:cs="Arial" w:eastAsia="Arial" w:hAnsi="Arial"/>
                <w:sz w:val="18"/>
                <w:szCs w:val="18"/>
                <w:color w:val="auto"/>
              </w:rPr>
              <w:t>Second Quarter 2017</w:t>
            </w:r>
          </w:p>
        </w:tc>
        <w:tc>
          <w:tcPr>
            <w:tcW w:w="2680" w:type="dxa"/>
            <w:vAlign w:val="bottom"/>
            <w:gridSpan w:val="2"/>
          </w:tcPr>
          <w:p>
            <w:pPr>
              <w:jc w:val="right"/>
              <w:ind w:right="689"/>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4.90</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19"/>
                <w:szCs w:val="19"/>
                <w:color w:val="auto"/>
              </w:rPr>
            </w:pPr>
          </w:p>
        </w:tc>
      </w:tr>
      <w:tr>
        <w:trPr>
          <w:trHeight w:val="227"/>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Third Quarter 2017</w:t>
            </w:r>
          </w:p>
        </w:tc>
        <w:tc>
          <w:tcPr>
            <w:tcW w:w="2680" w:type="dxa"/>
            <w:vAlign w:val="bottom"/>
            <w:gridSpan w:val="2"/>
            <w:shd w:val="clear" w:color="auto" w:fill="CFF0FC"/>
          </w:tcPr>
          <w:p>
            <w:pPr>
              <w:jc w:val="right"/>
              <w:ind w:right="689"/>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6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80" w:type="dxa"/>
            <w:vAlign w:val="bottom"/>
            <w:shd w:val="clear" w:color="auto" w:fill="CFF0FC"/>
          </w:tcPr>
          <w:p>
            <w:pPr>
              <w:spacing w:after="0"/>
              <w:rPr>
                <w:sz w:val="19"/>
                <w:szCs w:val="19"/>
                <w:color w:val="auto"/>
              </w:rPr>
            </w:pPr>
          </w:p>
        </w:tc>
      </w:tr>
      <w:tr>
        <w:trPr>
          <w:trHeight w:val="225"/>
        </w:trPr>
        <w:tc>
          <w:tcPr>
            <w:tcW w:w="3320" w:type="dxa"/>
            <w:vAlign w:val="bottom"/>
          </w:tcPr>
          <w:p>
            <w:pPr>
              <w:spacing w:after="0"/>
              <w:rPr>
                <w:sz w:val="20"/>
                <w:szCs w:val="20"/>
                <w:color w:val="auto"/>
              </w:rPr>
            </w:pPr>
            <w:r>
              <w:rPr>
                <w:rFonts w:ascii="Arial" w:cs="Arial" w:eastAsia="Arial" w:hAnsi="Arial"/>
                <w:sz w:val="18"/>
                <w:szCs w:val="18"/>
                <w:color w:val="auto"/>
              </w:rPr>
              <w:t>Fourth Quarter 2017</w:t>
            </w:r>
          </w:p>
        </w:tc>
        <w:tc>
          <w:tcPr>
            <w:tcW w:w="2680" w:type="dxa"/>
            <w:vAlign w:val="bottom"/>
            <w:gridSpan w:val="2"/>
          </w:tcPr>
          <w:p>
            <w:pPr>
              <w:jc w:val="right"/>
              <w:ind w:right="689"/>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5.70</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4.22</w:t>
            </w:r>
          </w:p>
        </w:tc>
        <w:tc>
          <w:tcPr>
            <w:tcW w:w="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986790</wp:posOffset>
            </wp:positionH>
            <wp:positionV relativeFrom="paragraph">
              <wp:posOffset>153035</wp:posOffset>
            </wp:positionV>
            <wp:extent cx="5283835" cy="383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83835" cy="383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4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6"/>
              </w:rPr>
              <w:t>12/31/2012</w:t>
            </w: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4"/>
              </w:rPr>
              <w:t>12/31/2013</w:t>
            </w: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12/31/2014</w:t>
            </w: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6"/>
              </w:rPr>
              <w:t>12/31/2015</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8"/>
              </w:rPr>
              <w:t>12/31/2016</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1"/>
              </w:rPr>
              <w:t>12/31/2017</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22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Great Lakes Dredge &amp; Dock Corp</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103.02</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95.86</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47.03</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6"/>
        </w:trPr>
        <w:tc>
          <w:tcPr>
            <w:tcW w:w="4480" w:type="dxa"/>
            <w:vAlign w:val="bottom"/>
          </w:tcPr>
          <w:p>
            <w:pPr>
              <w:spacing w:after="0"/>
              <w:rPr>
                <w:sz w:val="20"/>
                <w:szCs w:val="20"/>
                <w:color w:val="auto"/>
              </w:rPr>
            </w:pPr>
            <w:r>
              <w:rPr>
                <w:rFonts w:ascii="Arial" w:cs="Arial" w:eastAsia="Arial" w:hAnsi="Arial"/>
                <w:sz w:val="18"/>
                <w:szCs w:val="18"/>
                <w:color w:val="auto"/>
              </w:rPr>
              <w:t>Peer Average (see below)</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127.41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112.12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104.51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141.29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NASDAQ Composite Index</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138.32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156.85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165.84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178.28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228.63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639"/>
        </w:trPr>
        <w:tc>
          <w:tcPr>
            <w:tcW w:w="4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4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1" w:name="page32"/>
    <w:bookmarkEnd w:id="31"/>
    <w:p>
      <w:pPr>
        <w:ind w:right="20" w:firstLine="518"/>
        <w:spacing w:after="0" w:line="252" w:lineRule="auto"/>
        <w:rPr>
          <w:sz w:val="20"/>
          <w:szCs w:val="20"/>
          <w:color w:val="auto"/>
        </w:rPr>
      </w:pPr>
      <w:r>
        <w:rPr>
          <w:rFonts w:ascii="Arial" w:cs="Arial" w:eastAsia="Arial" w:hAnsi="Arial"/>
          <w:sz w:val="18"/>
          <w:szCs w:val="18"/>
          <w:color w:val="auto"/>
        </w:rPr>
        <w:t>The graph above shows the cumulative total return to stockholders of the Company’s common stock during a five year period ending December 29, 2017, the last trading day of our 2017 fiscal year, compared with the return on the NASDAQ Composite Index and a group of our peers which we use internally as a benchmark for our performance. The graph assumes initial investments of $100 each on December 31, 2012, in GLDD stock (assuming reinvestment of all dividends paid during the period), the NASDAQ Composite Index and the peer group companies, collectively. The peer group is comprised of the following member companies:</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7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Company</w:t>
            </w:r>
          </w:p>
        </w:tc>
        <w:tc>
          <w:tcPr>
            <w:tcW w:w="160" w:type="dxa"/>
            <w:vAlign w:val="bottom"/>
            <w:tcBorders>
              <w:bottom w:val="single" w:sz="8" w:color="CFF0FC"/>
            </w:tcBorders>
          </w:tcPr>
          <w:p>
            <w:pPr>
              <w:spacing w:after="0"/>
              <w:rPr>
                <w:sz w:val="14"/>
                <w:szCs w:val="14"/>
                <w:color w:val="auto"/>
              </w:rPr>
            </w:pPr>
          </w:p>
        </w:tc>
        <w:tc>
          <w:tcPr>
            <w:tcW w:w="228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Ticker</w:t>
            </w:r>
          </w:p>
        </w:tc>
      </w:tr>
      <w:tr>
        <w:trPr>
          <w:trHeight w:val="22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Aegion Corporation, successor to Insituform Technologies, Inc.</w:t>
            </w:r>
          </w:p>
        </w:tc>
        <w:tc>
          <w:tcPr>
            <w:tcW w:w="24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AEGN</w:t>
            </w: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Ameresco</w:t>
            </w:r>
          </w:p>
        </w:tc>
        <w:tc>
          <w:tcPr>
            <w:tcW w:w="2440" w:type="dxa"/>
            <w:vAlign w:val="bottom"/>
            <w:gridSpan w:val="2"/>
          </w:tcPr>
          <w:p>
            <w:pPr>
              <w:ind w:left="160"/>
              <w:spacing w:after="0"/>
              <w:rPr>
                <w:sz w:val="20"/>
                <w:szCs w:val="20"/>
                <w:color w:val="auto"/>
              </w:rPr>
            </w:pPr>
            <w:r>
              <w:rPr>
                <w:rFonts w:ascii="Arial" w:cs="Arial" w:eastAsia="Arial" w:hAnsi="Arial"/>
                <w:sz w:val="18"/>
                <w:szCs w:val="18"/>
                <w:color w:val="auto"/>
              </w:rPr>
              <w:t>AMRC</w:t>
            </w:r>
          </w:p>
        </w:tc>
      </w:tr>
      <w:tr>
        <w:trPr>
          <w:trHeight w:val="227"/>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Granite Construction Inc.</w:t>
            </w:r>
          </w:p>
        </w:tc>
        <w:tc>
          <w:tcPr>
            <w:tcW w:w="24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GVA</w:t>
            </w: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Hill International</w:t>
            </w:r>
          </w:p>
        </w:tc>
        <w:tc>
          <w:tcPr>
            <w:tcW w:w="2440" w:type="dxa"/>
            <w:vAlign w:val="bottom"/>
            <w:gridSpan w:val="2"/>
          </w:tcPr>
          <w:p>
            <w:pPr>
              <w:ind w:left="160"/>
              <w:spacing w:after="0"/>
              <w:rPr>
                <w:sz w:val="20"/>
                <w:szCs w:val="20"/>
                <w:color w:val="auto"/>
              </w:rPr>
            </w:pPr>
            <w:r>
              <w:rPr>
                <w:rFonts w:ascii="Arial" w:cs="Arial" w:eastAsia="Arial" w:hAnsi="Arial"/>
                <w:sz w:val="18"/>
                <w:szCs w:val="18"/>
                <w:color w:val="auto"/>
              </w:rPr>
              <w:t>HIL</w:t>
            </w:r>
          </w:p>
        </w:tc>
      </w:tr>
      <w:tr>
        <w:trPr>
          <w:trHeight w:val="227"/>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IES Holdings</w:t>
            </w:r>
          </w:p>
        </w:tc>
        <w:tc>
          <w:tcPr>
            <w:tcW w:w="24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IESC</w:t>
            </w: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Layne Christensen Company</w:t>
            </w:r>
          </w:p>
        </w:tc>
        <w:tc>
          <w:tcPr>
            <w:tcW w:w="2440" w:type="dxa"/>
            <w:vAlign w:val="bottom"/>
            <w:gridSpan w:val="2"/>
          </w:tcPr>
          <w:p>
            <w:pPr>
              <w:ind w:left="160"/>
              <w:spacing w:after="0"/>
              <w:rPr>
                <w:sz w:val="20"/>
                <w:szCs w:val="20"/>
                <w:color w:val="auto"/>
              </w:rPr>
            </w:pPr>
            <w:r>
              <w:rPr>
                <w:rFonts w:ascii="Arial" w:cs="Arial" w:eastAsia="Arial" w:hAnsi="Arial"/>
                <w:sz w:val="18"/>
                <w:szCs w:val="18"/>
                <w:color w:val="auto"/>
              </w:rPr>
              <w:t>LAYN</w:t>
            </w:r>
          </w:p>
        </w:tc>
      </w:tr>
      <w:tr>
        <w:trPr>
          <w:trHeight w:val="227"/>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Matrix Service Company</w:t>
            </w:r>
          </w:p>
        </w:tc>
        <w:tc>
          <w:tcPr>
            <w:tcW w:w="24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MTRX</w:t>
            </w: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Mistras Group</w:t>
            </w:r>
          </w:p>
        </w:tc>
        <w:tc>
          <w:tcPr>
            <w:tcW w:w="2440" w:type="dxa"/>
            <w:vAlign w:val="bottom"/>
            <w:gridSpan w:val="2"/>
          </w:tcPr>
          <w:p>
            <w:pPr>
              <w:ind w:left="160"/>
              <w:spacing w:after="0"/>
              <w:rPr>
                <w:sz w:val="20"/>
                <w:szCs w:val="20"/>
                <w:color w:val="auto"/>
              </w:rPr>
            </w:pPr>
            <w:r>
              <w:rPr>
                <w:rFonts w:ascii="Arial" w:cs="Arial" w:eastAsia="Arial" w:hAnsi="Arial"/>
                <w:sz w:val="18"/>
                <w:szCs w:val="18"/>
                <w:color w:val="auto"/>
              </w:rPr>
              <w:t>MG</w:t>
            </w:r>
          </w:p>
        </w:tc>
      </w:tr>
      <w:tr>
        <w:trPr>
          <w:trHeight w:val="227"/>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MYR Group Inc.</w:t>
            </w:r>
          </w:p>
        </w:tc>
        <w:tc>
          <w:tcPr>
            <w:tcW w:w="24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MYRG</w:t>
            </w: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Orion Marine Group, Inc.</w:t>
            </w:r>
          </w:p>
        </w:tc>
        <w:tc>
          <w:tcPr>
            <w:tcW w:w="2440" w:type="dxa"/>
            <w:vAlign w:val="bottom"/>
            <w:gridSpan w:val="2"/>
          </w:tcPr>
          <w:p>
            <w:pPr>
              <w:ind w:left="160"/>
              <w:spacing w:after="0"/>
              <w:rPr>
                <w:sz w:val="20"/>
                <w:szCs w:val="20"/>
                <w:color w:val="auto"/>
              </w:rPr>
            </w:pPr>
            <w:r>
              <w:rPr>
                <w:rFonts w:ascii="Arial" w:cs="Arial" w:eastAsia="Arial" w:hAnsi="Arial"/>
                <w:sz w:val="18"/>
                <w:szCs w:val="18"/>
                <w:color w:val="auto"/>
              </w:rPr>
              <w:t>ORN</w:t>
            </w:r>
          </w:p>
        </w:tc>
      </w:tr>
      <w:tr>
        <w:trPr>
          <w:trHeight w:val="227"/>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Primoris Services Corporation</w:t>
            </w:r>
          </w:p>
        </w:tc>
        <w:tc>
          <w:tcPr>
            <w:tcW w:w="24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PRIM</w:t>
            </w: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Sterling Construction Company, Inc.</w:t>
            </w:r>
          </w:p>
        </w:tc>
        <w:tc>
          <w:tcPr>
            <w:tcW w:w="2440" w:type="dxa"/>
            <w:vAlign w:val="bottom"/>
            <w:gridSpan w:val="2"/>
          </w:tcPr>
          <w:p>
            <w:pPr>
              <w:ind w:left="160"/>
              <w:spacing w:after="0"/>
              <w:rPr>
                <w:sz w:val="20"/>
                <w:szCs w:val="20"/>
                <w:color w:val="auto"/>
              </w:rPr>
            </w:pPr>
            <w:r>
              <w:rPr>
                <w:rFonts w:ascii="Arial" w:cs="Arial" w:eastAsia="Arial" w:hAnsi="Arial"/>
                <w:sz w:val="18"/>
                <w:szCs w:val="18"/>
                <w:color w:val="auto"/>
              </w:rPr>
              <w:t>STRL</w:t>
            </w:r>
          </w:p>
        </w:tc>
      </w:tr>
      <w:tr>
        <w:trPr>
          <w:trHeight w:val="227"/>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Team, Inc.</w:t>
            </w:r>
          </w:p>
        </w:tc>
        <w:tc>
          <w:tcPr>
            <w:tcW w:w="24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TISI</w:t>
            </w: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w w:val="93"/>
              </w:rPr>
              <w:t>TRC Companies, Inc. (prior to merger with affiliates of New Mountain Partners IV, L.P. on June 21, 2017)</w:t>
            </w:r>
          </w:p>
        </w:tc>
        <w:tc>
          <w:tcPr>
            <w:tcW w:w="2440" w:type="dxa"/>
            <w:vAlign w:val="bottom"/>
            <w:gridSpan w:val="2"/>
          </w:tcPr>
          <w:p>
            <w:pPr>
              <w:ind w:left="160"/>
              <w:spacing w:after="0"/>
              <w:rPr>
                <w:sz w:val="20"/>
                <w:szCs w:val="20"/>
                <w:color w:val="auto"/>
              </w:rPr>
            </w:pPr>
            <w:r>
              <w:rPr>
                <w:rFonts w:ascii="Arial" w:cs="Arial" w:eastAsia="Arial" w:hAnsi="Arial"/>
                <w:sz w:val="18"/>
                <w:szCs w:val="18"/>
                <w:color w:val="auto"/>
              </w:rPr>
              <w:t>TRR</w:t>
            </w:r>
          </w:p>
        </w:tc>
      </w:tr>
      <w:tr>
        <w:trPr>
          <w:trHeight w:val="227"/>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Willbros Group, Inc.</w:t>
            </w:r>
          </w:p>
        </w:tc>
        <w:tc>
          <w:tcPr>
            <w:tcW w:w="24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WG</w:t>
            </w:r>
          </w:p>
        </w:tc>
      </w:tr>
    </w:tbl>
    <w:p>
      <w:pPr>
        <w:spacing w:after="0" w:line="228" w:lineRule="exact"/>
        <w:rPr>
          <w:sz w:val="20"/>
          <w:szCs w:val="20"/>
          <w:color w:val="auto"/>
        </w:rPr>
      </w:pPr>
    </w:p>
    <w:p>
      <w:pPr>
        <w:ind w:right="740" w:firstLine="518"/>
        <w:spacing w:after="0" w:line="331" w:lineRule="auto"/>
        <w:rPr>
          <w:sz w:val="20"/>
          <w:szCs w:val="20"/>
          <w:color w:val="auto"/>
        </w:rPr>
      </w:pPr>
      <w:r>
        <w:rPr>
          <w:rFonts w:ascii="Arial" w:cs="Arial" w:eastAsia="Arial" w:hAnsi="Arial"/>
          <w:sz w:val="16"/>
          <w:szCs w:val="16"/>
          <w:color w:val="auto"/>
        </w:rPr>
        <w:t>Given the usage of this peer group for compensation purposes and the fact that each peer is a capital intensive business, the Company deems it appropriate to also use this peer group for showing the comparative cumulative total return to stockholders of Great Lakes.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19" w:lineRule="exact"/>
        <w:rPr>
          <w:sz w:val="20"/>
          <w:szCs w:val="20"/>
          <w:color w:val="auto"/>
        </w:rPr>
      </w:pPr>
    </w:p>
    <w:p>
      <w:pPr>
        <w:ind w:right="100" w:firstLine="518"/>
        <w:spacing w:after="0" w:line="331" w:lineRule="auto"/>
        <w:rPr>
          <w:sz w:val="20"/>
          <w:szCs w:val="20"/>
          <w:color w:val="auto"/>
        </w:rPr>
      </w:pPr>
      <w:r>
        <w:rPr>
          <w:rFonts w:ascii="Arial" w:cs="Arial" w:eastAsia="Arial" w:hAnsi="Arial"/>
          <w:sz w:val="16"/>
          <w:szCs w:val="16"/>
          <w:color w:val="auto"/>
        </w:rPr>
        <w:t>As of February 23, 2018, the Company had approximately 31 shareholders of record of the Company’s common stock. A substantial number of holders of the Company’s common stock are “street name” or beneficial holders, whose shares are held of record by banks, brokers and other financial institutions.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19" w:lineRule="exact"/>
        <w:rPr>
          <w:sz w:val="20"/>
          <w:szCs w:val="20"/>
          <w:color w:val="auto"/>
        </w:rPr>
      </w:pPr>
    </w:p>
    <w:p>
      <w:pPr>
        <w:ind w:firstLine="518"/>
        <w:spacing w:after="0" w:line="252" w:lineRule="auto"/>
        <w:rPr>
          <w:sz w:val="20"/>
          <w:szCs w:val="20"/>
          <w:color w:val="auto"/>
        </w:rPr>
      </w:pPr>
      <w:r>
        <w:rPr>
          <w:rFonts w:ascii="Arial" w:cs="Arial" w:eastAsia="Arial" w:hAnsi="Arial"/>
          <w:sz w:val="18"/>
          <w:szCs w:val="18"/>
          <w:color w:val="auto"/>
        </w:rPr>
        <w:t>The Company does not currently pay dividends to its common stockholders. The declaration and payment of future dividends will be at the discretion of Great Lakes’ board of directors and depends on many factors, including general economic and business conditions, the Company’s strategic plans, financial results and condition, legal requirements including restrictions and limitations contained in the Company’s senior credit agreement, bonding agreements and the indenture relating to the senior unsecured notes and other factors the board of directors deems relevant. Accordingly, the Company cannot ensure the size of any such dividend or that the Company will pay any future dividend.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67" w:right="259" w:bottom="1440" w:gutter="0" w:footer="0" w:header="0"/>
        </w:sectPr>
      </w:pPr>
    </w:p>
    <w:bookmarkStart w:id="32" w:name="page33"/>
    <w:bookmarkEnd w:id="32"/>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19" w:lineRule="exact"/>
        <w:rPr>
          <w:sz w:val="20"/>
          <w:szCs w:val="20"/>
          <w:color w:val="auto"/>
        </w:rPr>
      </w:pPr>
    </w:p>
    <w:p>
      <w:pPr>
        <w:ind w:right="120" w:firstLine="518"/>
        <w:spacing w:after="0" w:line="254" w:lineRule="auto"/>
        <w:rPr>
          <w:sz w:val="20"/>
          <w:szCs w:val="20"/>
          <w:color w:val="auto"/>
        </w:rPr>
      </w:pPr>
      <w:r>
        <w:rPr>
          <w:rFonts w:ascii="Arial" w:cs="Arial" w:eastAsia="Arial" w:hAnsi="Arial"/>
          <w:sz w:val="18"/>
          <w:szCs w:val="18"/>
          <w:color w:val="auto"/>
        </w:rPr>
        <w:t>The following table sets forth selected financial data and should be read in conjunction with Item 7. “Management’s Discussion and Analysis of Financial Condition and Results of Operations” and the Company’s audited consolidated financial statements and notes thereto included elsewhere in this annual report. The selected financial data presented below have been derived from the Company’s consolidated financial statements; items may not sum due to rounding.</w:t>
      </w:r>
    </w:p>
    <w:p>
      <w:pPr>
        <w:spacing w:after="0" w:line="259" w:lineRule="exact"/>
        <w:rPr>
          <w:sz w:val="20"/>
          <w:szCs w:val="20"/>
          <w:color w:val="auto"/>
        </w:rPr>
      </w:pPr>
    </w:p>
    <w:tbl>
      <w:tblPr>
        <w:tblLayout w:type="fixed"/>
        <w:tblInd w:w="534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80" w:type="dxa"/>
            <w:vAlign w:val="bottom"/>
          </w:tcPr>
          <w:p>
            <w:pPr>
              <w:jc w:val="right"/>
              <w:ind w:right="69"/>
              <w:spacing w:after="0"/>
              <w:rPr>
                <w:sz w:val="20"/>
                <w:szCs w:val="20"/>
                <w:color w:val="auto"/>
              </w:rPr>
            </w:pPr>
            <w:r>
              <w:rPr>
                <w:rFonts w:ascii="Arial" w:cs="Arial" w:eastAsia="Arial" w:hAnsi="Arial"/>
                <w:sz w:val="14"/>
                <w:szCs w:val="14"/>
                <w:b w:val="1"/>
                <w:bCs w:val="1"/>
                <w:color w:val="auto"/>
                <w:w w:val="99"/>
              </w:rPr>
              <w:t>Year Ended December 31,</w:t>
            </w: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9"/>
        </w:trPr>
        <w:tc>
          <w:tcPr>
            <w:tcW w:w="112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2017</w:t>
            </w:r>
          </w:p>
        </w:tc>
        <w:tc>
          <w:tcPr>
            <w:tcW w:w="9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2016</w:t>
            </w:r>
          </w:p>
        </w:tc>
        <w:tc>
          <w:tcPr>
            <w:tcW w:w="188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b w:val="1"/>
                <w:bCs w:val="1"/>
                <w:color w:val="auto"/>
              </w:rPr>
              <w:t>2015</w:t>
            </w:r>
          </w:p>
        </w:tc>
        <w:tc>
          <w:tcPr>
            <w:tcW w:w="90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2014</w:t>
            </w:r>
          </w:p>
        </w:tc>
        <w:tc>
          <w:tcPr>
            <w:tcW w:w="11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2013</w:t>
            </w:r>
          </w:p>
        </w:tc>
      </w:tr>
    </w:tbl>
    <w:p>
      <w:pPr>
        <w:spacing w:after="0" w:line="3"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(in millions except shares in thousands and per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60" w:type="dxa"/>
            <w:vAlign w:val="bottom"/>
          </w:tcPr>
          <w:p>
            <w:pPr>
              <w:spacing w:after="0"/>
              <w:rPr>
                <w:sz w:val="20"/>
                <w:szCs w:val="20"/>
                <w:color w:val="auto"/>
              </w:rPr>
            </w:pPr>
            <w:r>
              <w:rPr>
                <w:rFonts w:ascii="Arial" w:cs="Arial" w:eastAsia="Arial" w:hAnsi="Arial"/>
                <w:sz w:val="18"/>
                <w:szCs w:val="18"/>
                <w:color w:val="auto"/>
              </w:rPr>
              <w:t>Contract revenues</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702.5</w:t>
            </w:r>
          </w:p>
        </w:tc>
        <w:tc>
          <w:tcPr>
            <w:tcW w:w="2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767.6</w:t>
            </w:r>
          </w:p>
        </w:tc>
        <w:tc>
          <w:tcPr>
            <w:tcW w:w="140" w:type="dxa"/>
            <w:vAlign w:val="bottom"/>
          </w:tcPr>
          <w:p>
            <w:pPr>
              <w:spacing w:after="0"/>
              <w:rPr>
                <w:sz w:val="19"/>
                <w:szCs w:val="19"/>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856.9</w:t>
            </w:r>
          </w:p>
        </w:tc>
        <w:tc>
          <w:tcPr>
            <w:tcW w:w="220" w:type="dxa"/>
            <w:vAlign w:val="bottom"/>
          </w:tcPr>
          <w:p>
            <w:pPr>
              <w:spacing w:after="0"/>
              <w:rPr>
                <w:sz w:val="19"/>
                <w:szCs w:val="19"/>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806.8</w:t>
            </w:r>
          </w:p>
        </w:tc>
        <w:tc>
          <w:tcPr>
            <w:tcW w:w="220" w:type="dxa"/>
            <w:vAlign w:val="bottom"/>
          </w:tcPr>
          <w:p>
            <w:pPr>
              <w:spacing w:after="0"/>
              <w:rPr>
                <w:sz w:val="19"/>
                <w:szCs w:val="19"/>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731.4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Costs of contract revenues</w:t>
            </w: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652.6</w:t>
            </w:r>
          </w:p>
        </w:tc>
        <w:tc>
          <w:tcPr>
            <w:tcW w:w="200" w:type="dxa"/>
            <w:vAlign w:val="bottom"/>
            <w:tcBorders>
              <w:right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761.0</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714.3</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60" w:type="dxa"/>
            <w:vAlign w:val="bottom"/>
          </w:tcPr>
          <w:p>
            <w:pPr>
              <w:ind w:left="260"/>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49.9</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w:t>
            </w:r>
          </w:p>
        </w:tc>
        <w:tc>
          <w:tcPr>
            <w:tcW w:w="20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60" w:type="dxa"/>
            <w:vAlign w:val="bottom"/>
          </w:tcPr>
          <w:p>
            <w:pPr>
              <w:spacing w:after="0"/>
              <w:rPr>
                <w:sz w:val="20"/>
                <w:szCs w:val="20"/>
                <w:color w:val="auto"/>
              </w:rPr>
            </w:pPr>
            <w:r>
              <w:rPr>
                <w:rFonts w:ascii="Arial" w:cs="Arial" w:eastAsia="Arial" w:hAnsi="Arial"/>
                <w:sz w:val="18"/>
                <w:szCs w:val="18"/>
                <w:color w:val="auto"/>
              </w:rPr>
              <w:t>Proceeds from loss of use claim</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Impairment of goodwill</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60" w:type="dxa"/>
            <w:vAlign w:val="bottom"/>
          </w:tcPr>
          <w:p>
            <w:pPr>
              <w:spacing w:after="0"/>
              <w:rPr>
                <w:sz w:val="20"/>
                <w:szCs w:val="20"/>
                <w:color w:val="auto"/>
              </w:rPr>
            </w:pPr>
            <w:r>
              <w:rPr>
                <w:rFonts w:ascii="Arial" w:cs="Arial" w:eastAsia="Arial" w:hAnsi="Arial"/>
                <w:sz w:val="18"/>
                <w:szCs w:val="18"/>
                <w:color w:val="auto"/>
              </w:rPr>
              <w:t>(Gain) loss on sale of assets — net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shd w:val="clear" w:color="auto" w:fill="CFF0FC"/>
          </w:tcPr>
          <w:p>
            <w:pPr>
              <w:ind w:left="260"/>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6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(23.5)</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60" w:type="dxa"/>
            <w:vAlign w:val="bottom"/>
          </w:tcPr>
          <w:p>
            <w:pPr>
              <w:spacing w:after="0"/>
              <w:rPr>
                <w:sz w:val="20"/>
                <w:szCs w:val="20"/>
                <w:color w:val="auto"/>
              </w:rPr>
            </w:pPr>
            <w:r>
              <w:rPr>
                <w:rFonts w:ascii="Arial" w:cs="Arial" w:eastAsia="Arial" w:hAnsi="Arial"/>
                <w:sz w:val="18"/>
                <w:szCs w:val="18"/>
                <w:color w:val="auto"/>
              </w:rPr>
              <w:t>Interest expense — net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(26.0)</w:t>
            </w:r>
          </w:p>
        </w:tc>
        <w:tc>
          <w:tcPr>
            <w:tcW w:w="3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(24.4)</w:t>
            </w:r>
          </w:p>
        </w:tc>
        <w:tc>
          <w:tcPr>
            <w:tcW w:w="3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(20.0)</w:t>
            </w:r>
          </w:p>
        </w:tc>
        <w:tc>
          <w:tcPr>
            <w:tcW w:w="3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(loss) of joint ventures</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(6.1)</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60" w:type="dxa"/>
            <w:vAlign w:val="bottom"/>
          </w:tcPr>
          <w:p>
            <w:pPr>
              <w:spacing w:after="0"/>
              <w:rPr>
                <w:sz w:val="20"/>
                <w:szCs w:val="20"/>
                <w:color w:val="auto"/>
              </w:rPr>
            </w:pPr>
            <w:r>
              <w:rPr>
                <w:rFonts w:ascii="Arial" w:cs="Arial" w:eastAsia="Arial" w:hAnsi="Arial"/>
                <w:sz w:val="18"/>
                <w:szCs w:val="18"/>
                <w:color w:val="auto"/>
              </w:rPr>
              <w:t>Gain on bargain purchase agreement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60" w:type="dxa"/>
            <w:vAlign w:val="bottom"/>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shd w:val="clear" w:color="auto" w:fill="CFF0FC"/>
          </w:tcPr>
          <w:p>
            <w:pPr>
              <w:ind w:left="260"/>
              <w:spacing w:after="0"/>
              <w:rPr>
                <w:sz w:val="20"/>
                <w:szCs w:val="20"/>
                <w:color w:val="auto"/>
              </w:rPr>
            </w:pPr>
            <w:r>
              <w:rPr>
                <w:rFonts w:ascii="Arial" w:cs="Arial" w:eastAsia="Arial" w:hAnsi="Arial"/>
                <w:sz w:val="18"/>
                <w:szCs w:val="18"/>
                <w:color w:val="auto"/>
              </w:rPr>
              <w:t>Income (loss) from continuing operations before income taxes</w:t>
            </w: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6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(54.2)</w:t>
            </w: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(8.7)</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6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shd w:val="clear" w:color="auto" w:fill="CFF0FC"/>
          </w:tcPr>
          <w:p>
            <w:pPr>
              <w:ind w:left="260"/>
              <w:spacing w:after="0"/>
              <w:rPr>
                <w:sz w:val="20"/>
                <w:szCs w:val="20"/>
                <w:color w:val="auto"/>
              </w:rPr>
            </w:pPr>
            <w:r>
              <w:rPr>
                <w:rFonts w:ascii="Arial" w:cs="Arial" w:eastAsia="Arial" w:hAnsi="Arial"/>
                <w:sz w:val="18"/>
                <w:szCs w:val="18"/>
                <w:color w:val="auto"/>
              </w:rPr>
              <w:t>Income (loss) from continuing operations</w:t>
            </w: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6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(18.6)</w:t>
            </w: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(6.2)</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60" w:type="dxa"/>
            <w:vAlign w:val="bottom"/>
          </w:tcPr>
          <w:p>
            <w:pPr>
              <w:ind w:left="260"/>
              <w:spacing w:after="0"/>
              <w:rPr>
                <w:sz w:val="20"/>
                <w:szCs w:val="20"/>
                <w:color w:val="auto"/>
              </w:rPr>
            </w:pPr>
            <w:r>
              <w:rPr>
                <w:rFonts w:ascii="Arial" w:cs="Arial" w:eastAsia="Arial" w:hAnsi="Arial"/>
                <w:sz w:val="18"/>
                <w:szCs w:val="18"/>
                <w:color w:val="auto"/>
              </w:rPr>
              <w:t>Loss from discontinued operations, net of income taxes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(12.7)</w:t>
            </w:r>
          </w:p>
        </w:tc>
        <w:tc>
          <w:tcPr>
            <w:tcW w:w="3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6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(31.3)</w:t>
            </w: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(6.2)</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6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4"/>
              </w:rPr>
              <w:t>Net income (loss) attributable to common stockholders of Great Lakes</w:t>
            </w: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right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Dredge &amp; Dock Corporation</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(31.3)</w:t>
            </w: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(8.2)</w:t>
            </w: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(6.2)</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w w:val="94"/>
              </w:rPr>
              <w:t>Basic earnings (loss) per share attributable to income from continuing</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operations (1)</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(0.30)</w:t>
            </w: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(0.13)</w:t>
            </w: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(0.10)</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260" w:type="dxa"/>
            <w:vAlign w:val="bottom"/>
          </w:tcPr>
          <w:p>
            <w:pPr>
              <w:spacing w:after="0"/>
              <w:rPr>
                <w:sz w:val="20"/>
                <w:szCs w:val="20"/>
                <w:color w:val="auto"/>
              </w:rPr>
            </w:pPr>
            <w:r>
              <w:rPr>
                <w:rFonts w:ascii="Arial" w:cs="Arial" w:eastAsia="Arial" w:hAnsi="Arial"/>
                <w:sz w:val="18"/>
                <w:szCs w:val="18"/>
                <w:color w:val="auto"/>
                <w:w w:val="92"/>
              </w:rPr>
              <w:t>Basic loss per share attributable to loss on discontinued operations, net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260" w:type="dxa"/>
            <w:vAlign w:val="bottom"/>
          </w:tcPr>
          <w:p>
            <w:pPr>
              <w:spacing w:after="0"/>
              <w:rPr>
                <w:sz w:val="20"/>
                <w:szCs w:val="20"/>
                <w:color w:val="auto"/>
              </w:rPr>
            </w:pPr>
            <w:r>
              <w:rPr>
                <w:rFonts w:ascii="Arial" w:cs="Arial" w:eastAsia="Arial" w:hAnsi="Arial"/>
                <w:sz w:val="18"/>
                <w:szCs w:val="18"/>
                <w:color w:val="auto"/>
              </w:rPr>
              <w:t>of income taxes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(0.21)</w:t>
            </w:r>
          </w:p>
        </w:tc>
        <w:tc>
          <w:tcPr>
            <w:tcW w:w="3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(0.17)</w:t>
            </w:r>
          </w:p>
        </w:tc>
        <w:tc>
          <w:tcPr>
            <w:tcW w:w="3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3"/>
              </w:rPr>
              <w:t>Basic earnings (loss) per share attributable to common stockholders of</w:t>
            </w: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right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Great Lakes Dredge &amp; Dock Corporation</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(0.51)</w:t>
            </w: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(0.13)</w:t>
            </w: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(0.10)</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60" w:type="dxa"/>
            <w:vAlign w:val="bottom"/>
          </w:tcPr>
          <w:p>
            <w:pPr>
              <w:spacing w:after="0"/>
              <w:rPr>
                <w:sz w:val="20"/>
                <w:szCs w:val="20"/>
                <w:color w:val="auto"/>
              </w:rPr>
            </w:pPr>
            <w:r>
              <w:rPr>
                <w:rFonts w:ascii="Arial" w:cs="Arial" w:eastAsia="Arial" w:hAnsi="Arial"/>
                <w:sz w:val="18"/>
                <w:szCs w:val="18"/>
                <w:color w:val="auto"/>
              </w:rPr>
              <w:t>Basic weighted average shares</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61,365</w:t>
            </w:r>
          </w:p>
        </w:tc>
        <w:tc>
          <w:tcPr>
            <w:tcW w:w="2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60,410</w:t>
            </w: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59,938</w:t>
            </w: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260" w:type="dxa"/>
            <w:vAlign w:val="bottom"/>
          </w:tcPr>
          <w:p>
            <w:pPr>
              <w:spacing w:after="0"/>
              <w:rPr>
                <w:sz w:val="20"/>
                <w:szCs w:val="20"/>
                <w:color w:val="auto"/>
              </w:rPr>
            </w:pPr>
            <w:r>
              <w:rPr>
                <w:rFonts w:ascii="Arial" w:cs="Arial" w:eastAsia="Arial" w:hAnsi="Arial"/>
                <w:sz w:val="18"/>
                <w:szCs w:val="18"/>
                <w:color w:val="auto"/>
                <w:w w:val="92"/>
              </w:rPr>
              <w:t>Diluted earnings (loss) per share attributable to income from continuing</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260" w:type="dxa"/>
            <w:vAlign w:val="bottom"/>
          </w:tcPr>
          <w:p>
            <w:pPr>
              <w:spacing w:after="0"/>
              <w:rPr>
                <w:sz w:val="20"/>
                <w:szCs w:val="20"/>
                <w:color w:val="auto"/>
              </w:rPr>
            </w:pPr>
            <w:r>
              <w:rPr>
                <w:rFonts w:ascii="Arial" w:cs="Arial" w:eastAsia="Arial" w:hAnsi="Arial"/>
                <w:sz w:val="18"/>
                <w:szCs w:val="18"/>
                <w:color w:val="auto"/>
              </w:rPr>
              <w:t>operations (1)</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(0.30)</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(0.13)</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(0.10)</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0.34</w:t>
            </w:r>
          </w:p>
        </w:tc>
        <w:tc>
          <w:tcPr>
            <w:tcW w:w="220" w:type="dxa"/>
            <w:vAlign w:val="bottom"/>
          </w:tcPr>
          <w:p>
            <w:pPr>
              <w:spacing w:after="0"/>
              <w:rPr>
                <w:sz w:val="19"/>
                <w:szCs w:val="19"/>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w w:val="90"/>
              </w:rPr>
              <w:t>Diluted loss per share attributable to loss on discontinued operations, net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of income taxes</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(0.21)</w:t>
            </w: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(0.17)</w:t>
            </w:r>
          </w:p>
        </w:tc>
        <w:tc>
          <w:tcPr>
            <w:tcW w:w="3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260" w:type="dxa"/>
            <w:vAlign w:val="bottom"/>
          </w:tcPr>
          <w:p>
            <w:pPr>
              <w:spacing w:after="0"/>
              <w:rPr>
                <w:sz w:val="20"/>
                <w:szCs w:val="20"/>
                <w:color w:val="auto"/>
              </w:rPr>
            </w:pPr>
            <w:r>
              <w:rPr>
                <w:rFonts w:ascii="Arial" w:cs="Arial" w:eastAsia="Arial" w:hAnsi="Arial"/>
                <w:sz w:val="18"/>
                <w:szCs w:val="18"/>
                <w:color w:val="auto"/>
                <w:w w:val="91"/>
              </w:rPr>
              <w:t>Diluted earnings (loss) per share attributable to common stockholders of</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260" w:type="dxa"/>
            <w:vAlign w:val="bottom"/>
          </w:tcPr>
          <w:p>
            <w:pPr>
              <w:spacing w:after="0"/>
              <w:rPr>
                <w:sz w:val="20"/>
                <w:szCs w:val="20"/>
                <w:color w:val="auto"/>
              </w:rPr>
            </w:pPr>
            <w:r>
              <w:rPr>
                <w:rFonts w:ascii="Arial" w:cs="Arial" w:eastAsia="Arial" w:hAnsi="Arial"/>
                <w:sz w:val="18"/>
                <w:szCs w:val="18"/>
                <w:color w:val="auto"/>
              </w:rPr>
              <w:t>Great Lakes Dredge &amp; Dock Corporation</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(0.51)</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(0.13)</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(0.10)</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0.17</w:t>
            </w:r>
          </w:p>
        </w:tc>
        <w:tc>
          <w:tcPr>
            <w:tcW w:w="220" w:type="dxa"/>
            <w:vAlign w:val="bottom"/>
          </w:tcPr>
          <w:p>
            <w:pPr>
              <w:spacing w:after="0"/>
              <w:rPr>
                <w:sz w:val="19"/>
                <w:szCs w:val="19"/>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 weighted average shares</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61,365</w:t>
            </w:r>
          </w:p>
        </w:tc>
        <w:tc>
          <w:tcPr>
            <w:tcW w:w="200" w:type="dxa"/>
            <w:vAlign w:val="bottom"/>
            <w:tcBorders>
              <w:top w:val="single" w:sz="8" w:color="CFF0FC"/>
              <w:right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60,744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60,410</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60,522</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60,101</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9"/>
        </w:trPr>
        <w:tc>
          <w:tcPr>
            <w:tcW w:w="5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471"/>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4"/>
          </w:tcPr>
          <w:p>
            <w:pPr>
              <w:jc w:val="center"/>
              <w:ind w:left="495"/>
              <w:spacing w:after="0"/>
              <w:rPr>
                <w:sz w:val="20"/>
                <w:szCs w:val="20"/>
                <w:color w:val="auto"/>
              </w:rPr>
            </w:pPr>
            <w:r>
              <w:rPr>
                <w:rFonts w:ascii="Arial" w:cs="Arial" w:eastAsia="Arial" w:hAnsi="Arial"/>
                <w:sz w:val="14"/>
                <w:szCs w:val="14"/>
                <w:b w:val="1"/>
                <w:bCs w:val="1"/>
                <w:color w:val="auto"/>
                <w:w w:val="91"/>
              </w:rPr>
              <w:t>Year Ended December 31,</w:t>
            </w: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5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204"/>
        </w:trPr>
        <w:tc>
          <w:tcPr>
            <w:tcW w:w="5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174"/>
              <w:spacing w:after="0"/>
              <w:rPr>
                <w:sz w:val="20"/>
                <w:szCs w:val="20"/>
                <w:color w:val="auto"/>
              </w:rPr>
            </w:pPr>
            <w:r>
              <w:rPr>
                <w:rFonts w:ascii="Arial" w:cs="Arial" w:eastAsia="Arial" w:hAnsi="Arial"/>
                <w:sz w:val="16"/>
                <w:szCs w:val="16"/>
                <w:color w:val="auto"/>
                <w:w w:val="98"/>
              </w:rPr>
              <w:t>(in millions)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Other Data:</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5320" w:type="dxa"/>
            <w:vAlign w:val="bottom"/>
          </w:tcPr>
          <w:p>
            <w:pPr>
              <w:spacing w:after="0"/>
              <w:rPr>
                <w:sz w:val="20"/>
                <w:szCs w:val="20"/>
                <w:color w:val="auto"/>
              </w:rPr>
            </w:pPr>
            <w:r>
              <w:rPr>
                <w:rFonts w:ascii="Arial" w:cs="Arial" w:eastAsia="Arial" w:hAnsi="Arial"/>
                <w:sz w:val="18"/>
                <w:szCs w:val="18"/>
                <w:color w:val="auto"/>
              </w:rPr>
              <w:t>Adjusted EBITDA from continuing operations (2)</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34.7</w:t>
            </w:r>
          </w:p>
        </w:tc>
        <w:tc>
          <w:tcPr>
            <w:tcW w:w="3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72.0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83.0</w:t>
            </w:r>
          </w:p>
        </w:tc>
        <w:tc>
          <w:tcPr>
            <w:tcW w:w="3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77.1</w:t>
            </w:r>
          </w:p>
        </w:tc>
        <w:tc>
          <w:tcPr>
            <w:tcW w:w="3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19"/>
                <w:szCs w:val="19"/>
                <w:color w:val="auto"/>
              </w:rPr>
            </w:pPr>
          </w:p>
        </w:tc>
      </w:tr>
      <w:tr>
        <w:trPr>
          <w:trHeight w:val="227"/>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from operating activities</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21.5</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38.7</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29.1</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48.8</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w:t>
            </w:r>
          </w:p>
        </w:tc>
        <w:tc>
          <w:tcPr>
            <w:tcW w:w="100" w:type="dxa"/>
            <w:vAlign w:val="bottom"/>
            <w:shd w:val="clear" w:color="auto" w:fill="CFF0FC"/>
          </w:tcPr>
          <w:p>
            <w:pPr>
              <w:spacing w:after="0"/>
              <w:rPr>
                <w:sz w:val="19"/>
                <w:szCs w:val="19"/>
                <w:color w:val="auto"/>
              </w:rPr>
            </w:pPr>
          </w:p>
        </w:tc>
      </w:tr>
      <w:tr>
        <w:trPr>
          <w:trHeight w:val="226"/>
        </w:trPr>
        <w:tc>
          <w:tcPr>
            <w:tcW w:w="5320" w:type="dxa"/>
            <w:vAlign w:val="bottom"/>
          </w:tcPr>
          <w:p>
            <w:pPr>
              <w:spacing w:after="0"/>
              <w:rPr>
                <w:sz w:val="20"/>
                <w:szCs w:val="20"/>
                <w:color w:val="auto"/>
              </w:rPr>
            </w:pPr>
            <w:r>
              <w:rPr>
                <w:rFonts w:ascii="Arial" w:cs="Arial" w:eastAsia="Arial" w:hAnsi="Arial"/>
                <w:sz w:val="18"/>
                <w:szCs w:val="18"/>
                <w:color w:val="auto"/>
              </w:rPr>
              <w:t>Net cash flows from investing activities</w:t>
            </w:r>
          </w:p>
        </w:tc>
        <w:tc>
          <w:tcPr>
            <w:tcW w:w="220" w:type="dxa"/>
            <w:vAlign w:val="bottom"/>
          </w:tcPr>
          <w:p>
            <w:pPr>
              <w:spacing w:after="0"/>
              <w:rPr>
                <w:sz w:val="19"/>
                <w:szCs w:val="19"/>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(51.1)</w:t>
            </w:r>
          </w:p>
        </w:tc>
        <w:tc>
          <w:tcPr>
            <w:tcW w:w="30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(72.6)</w:t>
            </w:r>
          </w:p>
        </w:tc>
        <w:tc>
          <w:tcPr>
            <w:tcW w:w="180" w:type="dxa"/>
            <w:vAlign w:val="bottom"/>
          </w:tcPr>
          <w:p>
            <w:pPr>
              <w:spacing w:after="0"/>
              <w:rPr>
                <w:sz w:val="19"/>
                <w:szCs w:val="19"/>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(73.1)</w:t>
            </w:r>
          </w:p>
        </w:tc>
        <w:tc>
          <w:tcPr>
            <w:tcW w:w="300" w:type="dxa"/>
            <w:vAlign w:val="bottom"/>
          </w:tcPr>
          <w:p>
            <w:pPr>
              <w:spacing w:after="0"/>
              <w:rPr>
                <w:sz w:val="19"/>
                <w:szCs w:val="19"/>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(116.7)</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(46.3)</w:t>
            </w:r>
          </w:p>
        </w:tc>
      </w:tr>
      <w:tr>
        <w:trPr>
          <w:trHeight w:val="227"/>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from financing activities</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34.2</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30.8</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15.9</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35.1</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FF0FC"/>
          </w:tcPr>
          <w:p>
            <w:pPr>
              <w:spacing w:after="0"/>
              <w:rPr>
                <w:sz w:val="19"/>
                <w:szCs w:val="19"/>
                <w:color w:val="auto"/>
              </w:rPr>
            </w:pPr>
          </w:p>
        </w:tc>
      </w:tr>
      <w:tr>
        <w:trPr>
          <w:trHeight w:val="226"/>
        </w:trPr>
        <w:tc>
          <w:tcPr>
            <w:tcW w:w="53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60.5</w:t>
            </w:r>
          </w:p>
        </w:tc>
        <w:tc>
          <w:tcPr>
            <w:tcW w:w="300" w:type="dxa"/>
            <w:vAlign w:val="bottom"/>
          </w:tcPr>
          <w:p>
            <w:pPr>
              <w:spacing w:after="0"/>
              <w:rPr>
                <w:sz w:val="19"/>
                <w:szCs w:val="19"/>
                <w:color w:val="auto"/>
              </w:rPr>
            </w:pP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63.0</w:t>
            </w:r>
          </w:p>
        </w:tc>
        <w:tc>
          <w:tcPr>
            <w:tcW w:w="180" w:type="dxa"/>
            <w:vAlign w:val="bottom"/>
          </w:tcPr>
          <w:p>
            <w:pPr>
              <w:spacing w:after="0"/>
              <w:rPr>
                <w:sz w:val="19"/>
                <w:szCs w:val="19"/>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64.6</w:t>
            </w:r>
          </w:p>
        </w:tc>
        <w:tc>
          <w:tcPr>
            <w:tcW w:w="300" w:type="dxa"/>
            <w:vAlign w:val="bottom"/>
          </w:tcPr>
          <w:p>
            <w:pPr>
              <w:spacing w:after="0"/>
              <w:rPr>
                <w:sz w:val="19"/>
                <w:szCs w:val="19"/>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50.1</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9"/>
                <w:szCs w:val="19"/>
                <w:color w:val="auto"/>
              </w:rPr>
            </w:pPr>
          </w:p>
        </w:tc>
      </w:tr>
      <w:tr>
        <w:trPr>
          <w:trHeight w:val="227"/>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Maintenance expense</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51.0</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57.1</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55.6</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57.4</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FF0FC"/>
          </w:tcPr>
          <w:p>
            <w:pPr>
              <w:spacing w:after="0"/>
              <w:rPr>
                <w:sz w:val="19"/>
                <w:szCs w:val="19"/>
                <w:color w:val="auto"/>
              </w:rPr>
            </w:pPr>
          </w:p>
        </w:tc>
      </w:tr>
      <w:tr>
        <w:trPr>
          <w:trHeight w:val="225"/>
        </w:trPr>
        <w:tc>
          <w:tcPr>
            <w:tcW w:w="5320" w:type="dxa"/>
            <w:vAlign w:val="bottom"/>
          </w:tcPr>
          <w:p>
            <w:pPr>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19"/>
                <w:szCs w:val="19"/>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66.1</w:t>
            </w:r>
          </w:p>
        </w:tc>
        <w:tc>
          <w:tcPr>
            <w:tcW w:w="300" w:type="dxa"/>
            <w:vAlign w:val="bottom"/>
          </w:tcPr>
          <w:p>
            <w:pPr>
              <w:spacing w:after="0"/>
              <w:rPr>
                <w:sz w:val="19"/>
                <w:szCs w:val="19"/>
                <w:color w:val="auto"/>
              </w:rPr>
            </w:pP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85.2</w:t>
            </w:r>
          </w:p>
        </w:tc>
        <w:tc>
          <w:tcPr>
            <w:tcW w:w="180" w:type="dxa"/>
            <w:vAlign w:val="bottom"/>
          </w:tcPr>
          <w:p>
            <w:pPr>
              <w:spacing w:after="0"/>
              <w:rPr>
                <w:sz w:val="19"/>
                <w:szCs w:val="19"/>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89.3</w:t>
            </w:r>
          </w:p>
        </w:tc>
        <w:tc>
          <w:tcPr>
            <w:tcW w:w="300" w:type="dxa"/>
            <w:vAlign w:val="bottom"/>
          </w:tcPr>
          <w:p>
            <w:pPr>
              <w:spacing w:after="0"/>
              <w:rPr>
                <w:sz w:val="19"/>
                <w:szCs w:val="19"/>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92.1</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9"/>
                <w:szCs w:val="19"/>
                <w:color w:val="auto"/>
              </w:rPr>
            </w:pPr>
          </w:p>
        </w:tc>
      </w:tr>
    </w:tbl>
    <w:p>
      <w:pPr>
        <w:spacing w:after="0" w:line="242" w:lineRule="exact"/>
        <w:rPr>
          <w:sz w:val="20"/>
          <w:szCs w:val="20"/>
          <w:color w:val="auto"/>
        </w:rPr>
      </w:pPr>
    </w:p>
    <w:p>
      <w:pPr>
        <w:ind w:left="520" w:right="320" w:hanging="513"/>
        <w:spacing w:after="0" w:line="253"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Refer to Note 2, Earnings per Share, in the Company’s consolidated financial statements for the years ended December 31, 2017, 2016 and 2015 and above information for additional details regarding these calculations.</w:t>
      </w:r>
    </w:p>
    <w:p>
      <w:pPr>
        <w:spacing w:after="0" w:line="1" w:lineRule="exact"/>
        <w:rPr>
          <w:rFonts w:ascii="Arial" w:cs="Arial" w:eastAsia="Arial" w:hAnsi="Arial"/>
          <w:sz w:val="18"/>
          <w:szCs w:val="18"/>
          <w:color w:val="auto"/>
        </w:rPr>
      </w:pPr>
    </w:p>
    <w:p>
      <w:pPr>
        <w:ind w:left="520" w:right="40" w:hanging="513"/>
        <w:spacing w:after="0" w:line="254"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 definition of Adjusted EBITDA from continuing operations in Item 7. Management’s Discussion and Analysis of Financial Condition and Results of Operations.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As of December 31,</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5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204"/>
        </w:trPr>
        <w:tc>
          <w:tcPr>
            <w:tcW w:w="5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center"/>
              <w:ind w:right="175"/>
              <w:spacing w:after="0"/>
              <w:rPr>
                <w:sz w:val="20"/>
                <w:szCs w:val="20"/>
                <w:color w:val="auto"/>
              </w:rPr>
            </w:pPr>
            <w:r>
              <w:rPr>
                <w:rFonts w:ascii="Arial" w:cs="Arial" w:eastAsia="Arial" w:hAnsi="Arial"/>
                <w:sz w:val="16"/>
                <w:szCs w:val="16"/>
                <w:color w:val="auto"/>
                <w:w w:val="98"/>
              </w:rPr>
              <w:t>(in millions)</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Balance Sheet Data:</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53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15.9</w:t>
            </w:r>
          </w:p>
        </w:tc>
        <w:tc>
          <w:tcPr>
            <w:tcW w:w="3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14.2</w:t>
            </w:r>
          </w:p>
        </w:tc>
        <w:tc>
          <w:tcPr>
            <w:tcW w:w="3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42.4</w:t>
            </w:r>
          </w:p>
        </w:tc>
        <w:tc>
          <w:tcPr>
            <w:tcW w:w="3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19"/>
                <w:szCs w:val="19"/>
                <w:color w:val="auto"/>
              </w:rPr>
            </w:pPr>
          </w:p>
        </w:tc>
      </w:tr>
      <w:tr>
        <w:trPr>
          <w:trHeight w:val="227"/>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111.9</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124.0</w:t>
            </w: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141.7</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167.2</w:t>
            </w:r>
          </w:p>
        </w:tc>
        <w:tc>
          <w:tcPr>
            <w:tcW w:w="100" w:type="dxa"/>
            <w:vAlign w:val="bottom"/>
            <w:shd w:val="clear" w:color="auto" w:fill="CFF0FC"/>
          </w:tcPr>
          <w:p>
            <w:pPr>
              <w:spacing w:after="0"/>
              <w:rPr>
                <w:sz w:val="19"/>
                <w:szCs w:val="19"/>
                <w:color w:val="auto"/>
              </w:rPr>
            </w:pPr>
          </w:p>
        </w:tc>
      </w:tr>
      <w:tr>
        <w:trPr>
          <w:trHeight w:val="226"/>
        </w:trPr>
        <w:tc>
          <w:tcPr>
            <w:tcW w:w="5320" w:type="dxa"/>
            <w:vAlign w:val="bottom"/>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832.4</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893.6</w:t>
            </w:r>
          </w:p>
        </w:tc>
        <w:tc>
          <w:tcPr>
            <w:tcW w:w="260" w:type="dxa"/>
            <w:vAlign w:val="bottom"/>
          </w:tcPr>
          <w:p>
            <w:pPr>
              <w:spacing w:after="0"/>
              <w:rPr>
                <w:sz w:val="19"/>
                <w:szCs w:val="19"/>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898.1</w:t>
            </w:r>
          </w:p>
        </w:tc>
        <w:tc>
          <w:tcPr>
            <w:tcW w:w="30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888.7</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848.8</w:t>
            </w:r>
          </w:p>
        </w:tc>
        <w:tc>
          <w:tcPr>
            <w:tcW w:w="100" w:type="dxa"/>
            <w:vAlign w:val="bottom"/>
          </w:tcPr>
          <w:p>
            <w:pPr>
              <w:spacing w:after="0"/>
              <w:rPr>
                <w:sz w:val="19"/>
                <w:szCs w:val="19"/>
                <w:color w:val="auto"/>
              </w:rPr>
            </w:pPr>
          </w:p>
        </w:tc>
      </w:tr>
      <w:tr>
        <w:trPr>
          <w:trHeight w:val="227"/>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Long-term debt, promissory notes and subordinated notes</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428.1</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390.4</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345.8</w:t>
            </w: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319.9</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281.2</w:t>
            </w:r>
          </w:p>
        </w:tc>
        <w:tc>
          <w:tcPr>
            <w:tcW w:w="100" w:type="dxa"/>
            <w:vAlign w:val="bottom"/>
            <w:shd w:val="clear" w:color="auto" w:fill="CFF0FC"/>
          </w:tcPr>
          <w:p>
            <w:pPr>
              <w:spacing w:after="0"/>
              <w:rPr>
                <w:sz w:val="19"/>
                <w:szCs w:val="19"/>
                <w:color w:val="auto"/>
              </w:rPr>
            </w:pPr>
          </w:p>
        </w:tc>
      </w:tr>
      <w:tr>
        <w:trPr>
          <w:trHeight w:val="225"/>
        </w:trPr>
        <w:tc>
          <w:tcPr>
            <w:tcW w:w="53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221.3</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247.9</w:t>
            </w:r>
          </w:p>
        </w:tc>
        <w:tc>
          <w:tcPr>
            <w:tcW w:w="260" w:type="dxa"/>
            <w:vAlign w:val="bottom"/>
          </w:tcPr>
          <w:p>
            <w:pPr>
              <w:spacing w:after="0"/>
              <w:rPr>
                <w:sz w:val="19"/>
                <w:szCs w:val="19"/>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252.2</w:t>
            </w:r>
          </w:p>
        </w:tc>
        <w:tc>
          <w:tcPr>
            <w:tcW w:w="30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256.0</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242.1</w:t>
            </w:r>
          </w:p>
        </w:tc>
        <w:tc>
          <w:tcPr>
            <w:tcW w:w="1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96" w:right="239" w:bottom="1440" w:gutter="0" w:footer="0" w:header="0"/>
        </w:sectPr>
      </w:pPr>
    </w:p>
    <w:bookmarkStart w:id="34" w:name="page35"/>
    <w:bookmarkEnd w:id="34"/>
    <w:p>
      <w:pPr>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9"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The Company is the largest provider of dredging services in the United States and a major provider of environmental and infrastructure services. In addition, the Company is the only U.S. dredging service provider with significant international operations. The Company operates in two reportable segments: dredging and environmental &amp; infrastructure.</w:t>
      </w:r>
    </w:p>
    <w:p>
      <w:pPr>
        <w:spacing w:after="0" w:line="188" w:lineRule="exact"/>
        <w:rPr>
          <w:sz w:val="20"/>
          <w:szCs w:val="20"/>
          <w:color w:val="auto"/>
        </w:rPr>
      </w:pPr>
    </w:p>
    <w:p>
      <w:pPr>
        <w:ind w:right="80" w:firstLine="518"/>
        <w:spacing w:after="0" w:line="283" w:lineRule="auto"/>
        <w:rPr>
          <w:sz w:val="20"/>
          <w:szCs w:val="20"/>
          <w:color w:val="auto"/>
        </w:rPr>
      </w:pPr>
      <w:r>
        <w:rPr>
          <w:rFonts w:ascii="Arial" w:cs="Arial" w:eastAsia="Arial" w:hAnsi="Arial"/>
          <w:sz w:val="16"/>
          <w:szCs w:val="16"/>
          <w:color w:val="auto"/>
        </w:rPr>
        <w:t>Dredging generally involves the enhancement or preservation of the navigability of waterways or the protection of shorelines through the removal or replenishment of soil, sand or rock. Domestically, our work generally is performed in coastal waterways and deep water ports. The U.S. dredging market consists of four primary types of work: capital, coastal protection, maintenance and rivers &amp; lakes. Capital dredging consists primarily of port expansion projects, which involve the deepening of channels and berthing basins to allow access by larger, deeper draft ships and the provision of land fill used to expand port facilities. In addition to port work, capital projects also include coastal restoration and land reclamations, trench digging for pipelines, tunnels, and cables, and other dredging related to the construction of breakwaters, jetties, canals and other marine structures. Coastal protection projects involve moving sand from the ocean floor to shoreline locations where erosion threatens shoreline assets. Maintenance dredging consists of the re-dredging of previously deepened waterways and harbors to remove silt, sand and other accumulated sediments. Due to natural sedimentation, most channels generally require maintenance dredging every one to three years, thus creating a recurring source of dredging work that is typically non-deferrable if optimal navigability is to be maintained. In addition, severe weather such as hurricanes, flooding and droughts can also cause the accumulation of sediments and drive the need for maintenance dredging. Rivers &amp; lakes dredging and related operations typically consist of lake and river dredging, inland levee and construction dredging, environmental restoration and habitat improvement and other marine construction projects. In 2017, dredging revenues accounted for 84% of the Company’s revenue.</w:t>
      </w:r>
    </w:p>
    <w:p>
      <w:pPr>
        <w:spacing w:after="0" w:line="170"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The environment &amp; infrastructure segment provides environmental and geotechnical construction as well as soil, water and sediment environmental remediation for the state, local and private party markets. Environmental and geotechnical construction includes the creation, repair or stabilization of environmental barriers including slurry walls, in-situ stabilization, coal combustion residuals pond cap and close, dam and levee rehabilitation, deep soil mixing and other specialty civil construction. Remediation involves the containment, immobilization or removal of contamination from an environment through the use of any combination of isolation, treatment, or exhumation techniques including off-site disposal based on the quantity and severity of the contamination. In 2017, environmental &amp; infrastructure revenues accounted for 16% of total revenue.</w:t>
      </w:r>
    </w:p>
    <w:p>
      <w:pPr>
        <w:spacing w:after="0" w:line="179" w:lineRule="exact"/>
        <w:rPr>
          <w:sz w:val="20"/>
          <w:szCs w:val="20"/>
          <w:color w:val="auto"/>
        </w:rPr>
      </w:pPr>
    </w:p>
    <w:p>
      <w:pPr>
        <w:ind w:firstLine="518"/>
        <w:spacing w:after="0" w:line="267" w:lineRule="auto"/>
        <w:rPr>
          <w:sz w:val="20"/>
          <w:szCs w:val="20"/>
          <w:color w:val="auto"/>
        </w:rPr>
      </w:pPr>
      <w:r>
        <w:rPr>
          <w:rFonts w:ascii="Arial" w:cs="Arial" w:eastAsia="Arial" w:hAnsi="Arial"/>
          <w:sz w:val="17"/>
          <w:szCs w:val="17"/>
          <w:color w:val="auto"/>
        </w:rPr>
        <w:t>In 2017, a strategic review was begun to improve the Company's financial results in both domestic and international operations enabling debt reduction, improvements in return on capital and the continued renewal of our extensive fleet with new and efficient dredges to best serve our domestic and international clients. As a result of this review, management began execution of a plan to reduce general and administrative and overhead expenses, retire certain underperforming and underutilized assets, write-off pre-contract costs on a project that was never formally awarded and that the Company no longer intends to pursue and closeout the Company’s Brazil operations. These changes will result in a restructuring charge of approximately $42 million to $47 million, including severance of approximately $3 million, asset retirements of approximately $30 million to $34 million, pre-contract costs of approximately $6.5 million and closeout costs of approximately $2.5 million to $3.5 million.</w:t>
      </w:r>
    </w:p>
    <w:p>
      <w:pPr>
        <w:spacing w:after="0" w:line="185"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Approximately $38 million to $43 million of this charge will be non-cash and includes depreciation, loss on sale of assets and other items, approximating totals of $12.5 million to $14.5 million, $3 million to $5 million and $21.5 million to $23.5 million, respectively. The majority of the charge was recorded in the second half of 2017 with the remainder to be recognized in the dredging segment in the following year.</w:t>
      </w:r>
    </w:p>
    <w:p>
      <w:pPr>
        <w:spacing w:after="0" w:line="188" w:lineRule="exact"/>
        <w:rPr>
          <w:sz w:val="20"/>
          <w:szCs w:val="20"/>
          <w:color w:val="auto"/>
        </w:rPr>
      </w:pPr>
    </w:p>
    <w:p>
      <w:pPr>
        <w:ind w:right="600" w:firstLine="518"/>
        <w:spacing w:after="0" w:line="267" w:lineRule="auto"/>
        <w:rPr>
          <w:sz w:val="20"/>
          <w:szCs w:val="20"/>
          <w:color w:val="auto"/>
        </w:rPr>
      </w:pPr>
      <w:r>
        <w:rPr>
          <w:rFonts w:ascii="Arial" w:cs="Arial" w:eastAsia="Arial" w:hAnsi="Arial"/>
          <w:sz w:val="18"/>
          <w:szCs w:val="18"/>
          <w:color w:val="auto"/>
        </w:rPr>
        <w:t>During the fourth quarter of 2016, the Company sold assets associated with certain service lines of the environmental &amp; infrastructure segment’s business, excluding assets supporting the remediation service line.</w:t>
      </w:r>
    </w:p>
    <w:p>
      <w:pPr>
        <w:spacing w:after="0" w:line="180" w:lineRule="exact"/>
        <w:rPr>
          <w:sz w:val="20"/>
          <w:szCs w:val="20"/>
          <w:color w:val="auto"/>
        </w:rPr>
      </w:pPr>
    </w:p>
    <w:p>
      <w:pPr>
        <w:ind w:right="20" w:firstLine="518"/>
        <w:spacing w:after="0" w:line="295" w:lineRule="auto"/>
        <w:rPr>
          <w:sz w:val="20"/>
          <w:szCs w:val="20"/>
          <w:color w:val="auto"/>
        </w:rPr>
      </w:pPr>
      <w:r>
        <w:rPr>
          <w:rFonts w:ascii="Arial" w:cs="Arial" w:eastAsia="Arial" w:hAnsi="Arial"/>
          <w:sz w:val="16"/>
          <w:szCs w:val="16"/>
          <w:color w:val="auto"/>
        </w:rPr>
        <w:t>The Company’s bid dredging market is defined as the aggregate dollar value of domestic dredging projects on which the Company bid or could have bid if not for capacity constraints or other considerations (“bid market”). The Company experienced an average combined bid market share in the U.S. of 42% over the prior three years, including 61%, 39%, 27% and 38% of the domestic capital, coastal protection, maintenance and rivers &amp; lakes sectors, respectively. The bid market for environmental &amp; infrastructure work is highly fragmented and similar bid market statistics are not easily available.</w:t>
      </w:r>
    </w:p>
    <w:p>
      <w:pPr>
        <w:spacing w:after="0" w:line="162" w:lineRule="exact"/>
        <w:rPr>
          <w:sz w:val="20"/>
          <w:szCs w:val="20"/>
          <w:color w:val="auto"/>
        </w:rPr>
      </w:pPr>
    </w:p>
    <w:p>
      <w:pPr>
        <w:ind w:right="160" w:firstLine="518"/>
        <w:spacing w:after="0" w:line="252" w:lineRule="auto"/>
        <w:rPr>
          <w:sz w:val="20"/>
          <w:szCs w:val="20"/>
          <w:color w:val="auto"/>
        </w:rPr>
      </w:pPr>
      <w:r>
        <w:rPr>
          <w:rFonts w:ascii="Arial" w:cs="Arial" w:eastAsia="Arial" w:hAnsi="Arial"/>
          <w:sz w:val="18"/>
          <w:szCs w:val="18"/>
          <w:color w:val="auto"/>
        </w:rPr>
        <w:t>The Company’s fleet of 20 dredges, of which one is deployed internationally, 16 material transportation barges, one drillboat, and numerous other support vessels is the largest and most diverse fleet of any U.S. dredging company. For the dredging segment, the Company’s fleet of dredging equipment can be utilized on one or many types of work and in various geographic locations. This flexible approach to the Company’s fleet utilization, driven by the project scope and equipment, enables us to move equipment in response to changes in demand for dredging services to take advantage of the most attractive opportunities.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5" w:name="page36"/>
    <w:bookmarkEnd w:id="35"/>
    <w:p>
      <w:pPr>
        <w:jc w:val="both"/>
        <w:ind w:right="160" w:firstLine="518"/>
        <w:spacing w:after="0" w:line="283" w:lineRule="auto"/>
        <w:rPr>
          <w:sz w:val="20"/>
          <w:szCs w:val="20"/>
          <w:color w:val="auto"/>
        </w:rPr>
      </w:pPr>
      <w:r>
        <w:rPr>
          <w:rFonts w:ascii="Arial" w:cs="Arial" w:eastAsia="Arial" w:hAnsi="Arial"/>
          <w:sz w:val="16"/>
          <w:szCs w:val="16"/>
          <w:color w:val="auto"/>
        </w:rPr>
        <w:t>The Company’s largest domestic dredging customer is the U.S. Army Corps of Engineers (the “Corps”), which has responsibility for federally funded projects related to navigation and flood control of U.S. waterways. Multi-jurisdictional cost sharing arrangements are allowing the Corps to utilize funds from sources other than the federal budget to prioritize additional projects where waterway infrastructure improvements can have an impact to large regions.</w:t>
      </w:r>
    </w:p>
    <w:p>
      <w:pPr>
        <w:ind w:right="20"/>
        <w:spacing w:after="0" w:line="251" w:lineRule="auto"/>
        <w:rPr>
          <w:sz w:val="20"/>
          <w:szCs w:val="20"/>
          <w:color w:val="auto"/>
        </w:rPr>
      </w:pPr>
      <w:r>
        <w:rPr>
          <w:rFonts w:ascii="Arial" w:cs="Arial" w:eastAsia="Arial" w:hAnsi="Arial"/>
          <w:sz w:val="18"/>
          <w:szCs w:val="18"/>
          <w:color w:val="auto"/>
        </w:rPr>
        <w:t>Although some of a project’s funding may ultimately be derived from multiple sources, the Corps maintains the authority over the project and is the Company’s customer. In 2017, the Company’s dredging revenues earned from contracts with federal government agencies were approximately 63% of dredging revenues, down slightly from the Company’s prior three year average of 66%.</w:t>
      </w:r>
    </w:p>
    <w:p>
      <w:pPr>
        <w:spacing w:after="0" w:line="193" w:lineRule="exact"/>
        <w:rPr>
          <w:sz w:val="20"/>
          <w:szCs w:val="20"/>
          <w:color w:val="auto"/>
        </w:rPr>
      </w:pPr>
    </w:p>
    <w:p>
      <w:pPr>
        <w:ind w:right="40" w:firstLine="518"/>
        <w:spacing w:after="0" w:line="252" w:lineRule="auto"/>
        <w:rPr>
          <w:sz w:val="20"/>
          <w:szCs w:val="20"/>
          <w:color w:val="auto"/>
        </w:rPr>
      </w:pPr>
      <w:r>
        <w:rPr>
          <w:rFonts w:ascii="Arial" w:cs="Arial" w:eastAsia="Arial" w:hAnsi="Arial"/>
          <w:sz w:val="18"/>
          <w:szCs w:val="18"/>
          <w:color w:val="auto"/>
        </w:rPr>
        <w:t>The Company and a New Jersey aggregates company each owned 50% of Amboy Aggregates (“Amboy”) and 50% of Lower Main Street Development, LLC (“Lower Main”). Amboy was formed in December 1984 to mine sand from the entrance channel to New York Harbor to provide sand and aggregate for use in road and building construction and for clean land fill. Lower Main was organized in February 2003 to hold land for development or sale in conjunction with Amboy. Amboy sold its interest in a stone import business and Amboy and Lower Main sold their holdings in land during 2014. Amboy and Lower Main were dissolved in 2017.</w:t>
      </w:r>
    </w:p>
    <w:p>
      <w:pPr>
        <w:spacing w:after="0" w:line="193"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color w:val="auto"/>
        </w:rPr>
        <w:t>The Company and a European based remediation company each owned 50% of TerraSea Environmental Solutions LLC (“TerraSea”), a remediation business. TerraSea provided water and land based environmental services in the area of clean up and remediation of sediments, soil and groundwater for both marine and land based projects. TerraSea was dissolved in 2017.</w:t>
      </w:r>
    </w:p>
    <w:p>
      <w:pPr>
        <w:spacing w:after="0" w:line="188"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On April 24, 2014, the Company announced that it had completed the sale of NASDI, LLC and Yankee Environmental Services, LLC, which together comprised the Company’s historical demolition business, to a privately owned demolition company for $5.3 million plus retention of certain assets and preclosing liabilities. The historical demolition business is no longer reflected in continuing operations. See Note 17, Business Combinations and Dispositions, to our consolidated financial statements included in Item 15 of this Annual Report on Form 10-K.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Revenues</w:t>
      </w:r>
    </w:p>
    <w:p>
      <w:pPr>
        <w:spacing w:after="0" w:line="119"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Most of the Company’s contracts are obtained through competitive bidding on terms specified by the party inviting the bid. The types of equipment required to perform the specified service, project site conditions, the estimated project duration, seasonality, location and complexity of a project affect the cost of performing the contract and the price that contractors will bid.</w:t>
      </w:r>
    </w:p>
    <w:p>
      <w:pPr>
        <w:spacing w:after="0" w:line="188" w:lineRule="exact"/>
        <w:rPr>
          <w:sz w:val="20"/>
          <w:szCs w:val="20"/>
          <w:color w:val="auto"/>
        </w:rPr>
      </w:pPr>
    </w:p>
    <w:p>
      <w:pPr>
        <w:ind w:firstLine="518"/>
        <w:spacing w:after="0" w:line="265" w:lineRule="auto"/>
        <w:rPr>
          <w:sz w:val="20"/>
          <w:szCs w:val="20"/>
          <w:color w:val="auto"/>
        </w:rPr>
      </w:pPr>
      <w:r>
        <w:rPr>
          <w:rFonts w:ascii="Arial" w:cs="Arial" w:eastAsia="Arial" w:hAnsi="Arial"/>
          <w:sz w:val="17"/>
          <w:szCs w:val="17"/>
          <w:color w:val="auto"/>
        </w:rPr>
        <w:t>The Company recognizes contract revenues under the percentage-of-completion method based on the Company’s engineering estimates of the physical percentage completed for dredging projects and based on costs incurred to date compared to total estimated costs for environmental &amp; infrastructure projects. For dredging projects, costs of contract revenues are adjusted to reflect the gross profit percentage expected to be achieved upon ultimate completion of each dredging project. For environmental &amp; infrastructure projects, contract revenues are adjusted to reflect the estimated gross profit percentage. Provisions for estimated losses on contracts in progress are made in the period in which such losses are determined. Change orders are not recognized in revenue until the recovery is probable and collectability is reasonably assured. Claims for additional compensation due to the Company are not recognized in contract revenues until such claims are settled. Billings on contracts are generally submitted after verification with the customers of physical progress and may not match the timing of revenue recognition. The difference between amounts billed and recognized as revenue is reflected in the balance sheet as either contract revenues in excess of billings or billings in excess of contract revenues. Contract modifications may be negotiated when a change from the original contract specifications is encountered, necessitating a change in project scope or performance methodology and/or material disposal. Significant expenditures incurred incidental to major contracts are deferred and recognized as contract costs based on contract performance over the duration of the related project. These expenditures are reported as prepaid expenses.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119"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The components of costs of contract revenues include labor, equipment (including depreciation, maintenance, insurance and long-term rentals), subcontracts, fuel, supplies, short-term rentals and project overhead. Hourly labor generally is hired on a project-by-project basis. Project costs, excluding labor, have averaged approximately 23% of total costs of contract revenues over the prior three years. Much of our domestic dredging hourly labor force is represented by labor unions with collective bargaining agreements that expire at various dates during 2018 through 2023, which historically have been extended without disruption. The environmental &amp; infrastructure segment’s hourly labor force is made up of union and non-union employees.</w:t>
      </w:r>
    </w:p>
    <w:p>
      <w:pPr>
        <w:spacing w:after="0" w:line="165" w:lineRule="exact"/>
        <w:rPr>
          <w:sz w:val="20"/>
          <w:szCs w:val="20"/>
          <w:color w:val="auto"/>
        </w:rPr>
      </w:pPr>
    </w:p>
    <w:p>
      <w:pPr>
        <w:ind w:right="220" w:firstLine="518"/>
        <w:spacing w:after="0" w:line="252" w:lineRule="auto"/>
        <w:rPr>
          <w:sz w:val="20"/>
          <w:szCs w:val="20"/>
          <w:color w:val="auto"/>
        </w:rPr>
      </w:pPr>
      <w:r>
        <w:rPr>
          <w:rFonts w:ascii="Arial" w:cs="Arial" w:eastAsia="Arial" w:hAnsi="Arial"/>
          <w:sz w:val="18"/>
          <w:szCs w:val="18"/>
          <w:color w:val="auto"/>
        </w:rPr>
        <w:t>During the year, both dredging equipment utilization and the timing of fixed cost expenditures fluctuate significantly. Accordingly, the Company allocates these fixed equipment costs to interim periods in proportion to dredging revenues recognized over the year to better match revenues and expenses. Specifically, at each interim reporting date the Company compares actual dredging revenues earned to date on the Company’s dredging contracts to expected annual revenues and recognizes dredging equipment costs on the same proportionate basis. In the fourth quarter, any over or under allocated equipment costs are recognized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340" w:right="259" w:bottom="1440" w:gutter="0" w:footer="0" w:header="0"/>
        </w:sectPr>
      </w:pPr>
    </w:p>
    <w:bookmarkStart w:id="36" w:name="page37"/>
    <w:bookmarkEnd w:id="36"/>
    <w:p>
      <w:pPr>
        <w:ind w:right="180"/>
        <w:spacing w:after="0" w:line="267" w:lineRule="auto"/>
        <w:rPr>
          <w:sz w:val="20"/>
          <w:szCs w:val="20"/>
          <w:color w:val="auto"/>
        </w:rPr>
      </w:pPr>
      <w:r>
        <w:rPr>
          <w:rFonts w:ascii="Arial" w:cs="Arial" w:eastAsia="Arial" w:hAnsi="Arial"/>
          <w:sz w:val="18"/>
          <w:szCs w:val="18"/>
          <w:color w:val="auto"/>
        </w:rPr>
        <w:t>such that the expense for the year equals actual equipment costs incurred during the year. As a result of this methodology, the recorded expense in any interim period may be higher or lower than the actual equipment costs incurred in that interim period.</w:t>
      </w:r>
    </w:p>
    <w:p>
      <w:pPr>
        <w:spacing w:after="0" w:line="180" w:lineRule="exact"/>
        <w:rPr>
          <w:sz w:val="20"/>
          <w:szCs w:val="20"/>
          <w:color w:val="auto"/>
        </w:rPr>
      </w:pPr>
    </w:p>
    <w:p>
      <w:pPr>
        <w:ind w:right="120" w:firstLine="518"/>
        <w:spacing w:after="0" w:line="270" w:lineRule="auto"/>
        <w:rPr>
          <w:sz w:val="20"/>
          <w:szCs w:val="20"/>
          <w:color w:val="auto"/>
        </w:rPr>
      </w:pPr>
      <w:r>
        <w:rPr>
          <w:rFonts w:ascii="Arial" w:cs="Arial" w:eastAsia="Arial" w:hAnsi="Arial"/>
          <w:sz w:val="17"/>
          <w:szCs w:val="17"/>
          <w:color w:val="auto"/>
        </w:rPr>
        <w:t>For some environmental &amp; infrastructure contracts, the Company has entered into unincorporated construction joint ventures under which certain portions of a larger project are performed. These investments are accounted for under the proportionate consolidation method for income statement reporting and under the equity method for balance sheet reporting. The Company’s interests in any profits and assets and proportionate share in any losses and liabilities are recognized based on the Company’s stated percentage partnership interest in the project. For projects related to proportionately consolidated joint ventures, we include only the Company’s percentage ownership of each joint venture’s backlog.</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Factors that Determine Operating Profitability</w:t>
      </w:r>
    </w:p>
    <w:p>
      <w:pPr>
        <w:spacing w:after="0" w:line="119" w:lineRule="exact"/>
        <w:rPr>
          <w:sz w:val="20"/>
          <w:szCs w:val="20"/>
          <w:color w:val="auto"/>
        </w:rPr>
      </w:pPr>
    </w:p>
    <w:p>
      <w:pPr>
        <w:ind w:right="260" w:firstLine="518"/>
        <w:spacing w:after="0" w:line="267" w:lineRule="auto"/>
        <w:rPr>
          <w:sz w:val="20"/>
          <w:szCs w:val="20"/>
          <w:color w:val="auto"/>
        </w:rPr>
      </w:pPr>
      <w:r>
        <w:rPr>
          <w:rFonts w:ascii="Arial" w:cs="Arial" w:eastAsia="Arial" w:hAnsi="Arial"/>
          <w:sz w:val="18"/>
          <w:szCs w:val="18"/>
          <w:i w:val="1"/>
          <w:iCs w:val="1"/>
          <w:color w:val="auto"/>
        </w:rPr>
        <w:t>Dredging</w:t>
      </w:r>
      <w:r>
        <w:rPr>
          <w:rFonts w:ascii="Arial" w:cs="Arial" w:eastAsia="Arial" w:hAnsi="Arial"/>
          <w:sz w:val="18"/>
          <w:szCs w:val="18"/>
          <w:color w:val="auto"/>
        </w:rPr>
        <w:t>. The Company’s results of operations for its dredging segment for a calendar or quarterly period are generally determined by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three factors:</w:t>
      </w:r>
    </w:p>
    <w:p>
      <w:pPr>
        <w:spacing w:after="0" w:line="73" w:lineRule="exact"/>
        <w:rPr>
          <w:sz w:val="20"/>
          <w:szCs w:val="20"/>
          <w:color w:val="auto"/>
        </w:rPr>
      </w:pPr>
    </w:p>
    <w:p>
      <w:pPr>
        <w:ind w:left="1020" w:right="40" w:hanging="507"/>
        <w:spacing w:after="0" w:line="270"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Bid wins and dredge employment</w:t>
      </w:r>
      <w:r>
        <w:rPr>
          <w:rFonts w:ascii="Arial" w:cs="Arial" w:eastAsia="Arial" w:hAnsi="Arial"/>
          <w:sz w:val="17"/>
          <w:szCs w:val="17"/>
          <w:color w:val="auto"/>
        </w:rPr>
        <w:t>—The Company’s dredging segment generates revenues when the Company wins a bid for a dredging contract</w:t>
      </w:r>
      <w:r>
        <w:rPr>
          <w:rFonts w:ascii="Arial" w:cs="Arial" w:eastAsia="Arial" w:hAnsi="Arial"/>
          <w:sz w:val="17"/>
          <w:szCs w:val="17"/>
          <w:i w:val="1"/>
          <w:iCs w:val="1"/>
          <w:color w:val="auto"/>
        </w:rPr>
        <w:t xml:space="preserve"> </w:t>
      </w:r>
      <w:r>
        <w:rPr>
          <w:rFonts w:ascii="Arial" w:cs="Arial" w:eastAsia="Arial" w:hAnsi="Arial"/>
          <w:sz w:val="17"/>
          <w:szCs w:val="17"/>
          <w:color w:val="auto"/>
        </w:rPr>
        <w:t>and starts that project. Although the Company’s dredging equipment is subject to downtime for scheduled periodic maintenance and repair, the Company seeks to maximize its revenues by employing its dredging equipment on a full-time basis, allowing for scheduled down time and mobilization. If a dredge is idle (i.e., the dredge is not employed on a dredging project or undergoing scheduled periodic maintenance and repair), the Company does not earn revenue with respect to that dredge during the time period for which it is idle.</w:t>
      </w:r>
    </w:p>
    <w:p>
      <w:pPr>
        <w:spacing w:after="0" w:line="73" w:lineRule="exact"/>
        <w:rPr>
          <w:rFonts w:ascii="Arial" w:cs="Arial" w:eastAsia="Arial" w:hAnsi="Arial"/>
          <w:sz w:val="17"/>
          <w:szCs w:val="17"/>
          <w:color w:val="auto"/>
        </w:rPr>
      </w:pPr>
    </w:p>
    <w:p>
      <w:pPr>
        <w:ind w:left="1020" w:right="120" w:hanging="507"/>
        <w:spacing w:after="0" w:line="252"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Project and dredge mix </w:t>
      </w:r>
      <w:r>
        <w:rPr>
          <w:rFonts w:ascii="Arial" w:cs="Arial" w:eastAsia="Arial" w:hAnsi="Arial"/>
          <w:sz w:val="18"/>
          <w:szCs w:val="18"/>
          <w:color w:val="auto"/>
        </w:rPr>
        <w:t>—The Company’s domestic dredging projects generally involve domestic capital, maintenance, coastal protection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rivers &amp; lakes work and its foreign dredging projects generally involve capital work. In addition, the Company’s dredging projects vary in duration and, in general, projects of longer duration result in less dredge downtime in a given period. Moreover, the Company’s dredges have different physical capabilities and typically work on certain types of dredging projects. Accordingly, the Company’s dredges have different daily revenue generating capacities.</w:t>
      </w:r>
    </w:p>
    <w:p>
      <w:pPr>
        <w:spacing w:after="0" w:line="87" w:lineRule="exact"/>
        <w:rPr>
          <w:sz w:val="20"/>
          <w:szCs w:val="20"/>
          <w:color w:val="auto"/>
        </w:rPr>
      </w:pPr>
    </w:p>
    <w:p>
      <w:pPr>
        <w:ind w:left="1040"/>
        <w:spacing w:after="0" w:line="285" w:lineRule="auto"/>
        <w:rPr>
          <w:sz w:val="20"/>
          <w:szCs w:val="20"/>
          <w:color w:val="auto"/>
        </w:rPr>
      </w:pPr>
      <w:r>
        <w:rPr>
          <w:rFonts w:ascii="Arial" w:cs="Arial" w:eastAsia="Arial" w:hAnsi="Arial"/>
          <w:sz w:val="16"/>
          <w:szCs w:val="16"/>
          <w:color w:val="auto"/>
        </w:rPr>
        <w:t>The Company generally expects to achieve different levels of gross profit margin (i.e., gross profit divided by revenues) for work performed on the different types of dredging projects and for work performed by different types of dredges. The Company’s expected gross margin for a project is based upon the Company’s estimates at the time of the bid. Although the Company seeks to bid on and win projects that will maximize its gross margin, the Company cannot control the type of dredging projects that are available for bid from time to time, the type of dredge that is needed to complete these projects, the competitive landscape at the time of bid or the time schedule upon which these projects are required to be completed. As a result, in some quarters the Company works on a mix of dredging projects that, in the aggregate, have relatively high expected gross margins (based on project type and dredges employed) and in other quarters, the Company works on a mix of dredging projects that, in the aggregate, have relatively low expected gross margins (based on project type and dredges employed).</w:t>
      </w:r>
    </w:p>
    <w:p>
      <w:pPr>
        <w:spacing w:after="0" w:line="66" w:lineRule="exact"/>
        <w:rPr>
          <w:sz w:val="20"/>
          <w:szCs w:val="20"/>
          <w:color w:val="auto"/>
        </w:rPr>
      </w:pPr>
    </w:p>
    <w:p>
      <w:pPr>
        <w:ind w:left="1020" w:right="60" w:hanging="507"/>
        <w:spacing w:after="0" w:line="250"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Project execution</w:t>
      </w:r>
      <w:r>
        <w:rPr>
          <w:rFonts w:ascii="Arial" w:cs="Arial" w:eastAsia="Arial" w:hAnsi="Arial"/>
          <w:sz w:val="18"/>
          <w:szCs w:val="18"/>
          <w:color w:val="auto"/>
        </w:rPr>
        <w:t>—The Company seeks to execute all of its dredging projects consistent with or at a higher production than its as-bid project</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In general, the Company’s ability to achieve its project estimates depends upon many factors including soil conditions, weather, variances from estimated project conditions, equipment mobilization time periods, unplanned equipment downtime or other events or circumstances beyond the Company’s control. If the Company experiences any of these events and circumstances, the completion of a dredging project will often be accelerated or delayed, as applicable, and, consequently, the Company will experience project results that are better or worse than its estimates. The Company does its best to estimate for events and circumstances that are not within its control; however, these situations are inherent in dredging.</w:t>
      </w:r>
    </w:p>
    <w:p>
      <w:pPr>
        <w:spacing w:after="0" w:line="198" w:lineRule="exact"/>
        <w:rPr>
          <w:sz w:val="20"/>
          <w:szCs w:val="20"/>
          <w:color w:val="auto"/>
        </w:rPr>
      </w:pPr>
    </w:p>
    <w:p>
      <w:pPr>
        <w:ind w:right="60" w:firstLine="518"/>
        <w:spacing w:after="0" w:line="252" w:lineRule="auto"/>
        <w:rPr>
          <w:sz w:val="20"/>
          <w:szCs w:val="20"/>
          <w:color w:val="auto"/>
        </w:rPr>
      </w:pPr>
      <w:r>
        <w:rPr>
          <w:rFonts w:ascii="Arial" w:cs="Arial" w:eastAsia="Arial" w:hAnsi="Arial"/>
          <w:sz w:val="18"/>
          <w:szCs w:val="18"/>
          <w:i w:val="1"/>
          <w:iCs w:val="1"/>
          <w:color w:val="auto"/>
        </w:rPr>
        <w:t>Environmental &amp; infrastructure</w:t>
      </w:r>
      <w:r>
        <w:rPr>
          <w:rFonts w:ascii="Arial" w:cs="Arial" w:eastAsia="Arial" w:hAnsi="Arial"/>
          <w:sz w:val="18"/>
          <w:szCs w:val="18"/>
          <w:color w:val="auto"/>
        </w:rPr>
        <w:t>. The Company’s environmental &amp; infrastructure segment generates revenues when the Company is awarded a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and starts the project. The Company’s revenues from its environmental &amp; infrastructure segment increase or decrease based upon market demand. Like the Company’s dredging segment, results of operations for the Company’s environmental &amp; infrastructure segment fluctuate based upon project mix and the Company’s ability to execute its projects consistent with its estimates. Environmental &amp; infrastructure margins are based upon the specified service, the estimated project duration, seasonality, location and complexity of a project.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9" w:lineRule="exact"/>
        <w:rPr>
          <w:sz w:val="20"/>
          <w:szCs w:val="20"/>
          <w:color w:val="auto"/>
        </w:rPr>
      </w:pPr>
    </w:p>
    <w:p>
      <w:pPr>
        <w:ind w:right="300" w:firstLine="518"/>
        <w:spacing w:after="0" w:line="254" w:lineRule="auto"/>
        <w:rPr>
          <w:sz w:val="20"/>
          <w:szCs w:val="20"/>
          <w:color w:val="auto"/>
        </w:rPr>
      </w:pPr>
      <w:r>
        <w:rPr>
          <w:rFonts w:ascii="Arial" w:cs="Arial" w:eastAsia="Arial" w:hAnsi="Arial"/>
          <w:sz w:val="18"/>
          <w:szCs w:val="18"/>
          <w:color w:val="auto"/>
        </w:rPr>
        <w:t>Our significant accounting policies are discussed in the Notes to our consolidated financial statements included in Item 15 of this Annual Report on Form 10-K. The application of certain of these policies requires significant judgments or an estimation process that can affect the Company’s results of operations, financial position and cash flows, as well as the related footnote disclosures. The Company bases its estimates on historical experience and other assumptions that it believes are reasonable. If actual amounts are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37" w:name="page38"/>
    <w:bookmarkEnd w:id="37"/>
    <w:p>
      <w:pPr>
        <w:ind w:right="180"/>
        <w:spacing w:after="0" w:line="257" w:lineRule="auto"/>
        <w:rPr>
          <w:sz w:val="20"/>
          <w:szCs w:val="20"/>
          <w:color w:val="auto"/>
        </w:rPr>
      </w:pPr>
      <w:r>
        <w:rPr>
          <w:rFonts w:ascii="Arial" w:cs="Arial" w:eastAsia="Arial" w:hAnsi="Arial"/>
          <w:sz w:val="18"/>
          <w:szCs w:val="18"/>
          <w:color w:val="auto"/>
        </w:rPr>
        <w:t>ultimately different from previous estimates, the revisions are included in the Company’s results of operations for the period in which the actual amounts become known. The following accounting policies comprise those that management believes are the most critical to aid in fully understanding and evaluating the Company’s reported financial results.</w:t>
      </w:r>
    </w:p>
    <w:p>
      <w:pPr>
        <w:spacing w:after="0" w:line="188" w:lineRule="exact"/>
        <w:rPr>
          <w:sz w:val="20"/>
          <w:szCs w:val="20"/>
          <w:color w:val="auto"/>
        </w:rPr>
      </w:pPr>
    </w:p>
    <w:p>
      <w:pPr>
        <w:ind w:right="180" w:firstLine="518"/>
        <w:spacing w:after="0" w:line="266" w:lineRule="auto"/>
        <w:rPr>
          <w:sz w:val="20"/>
          <w:szCs w:val="20"/>
          <w:color w:val="auto"/>
        </w:rPr>
      </w:pPr>
      <w:r>
        <w:rPr>
          <w:rFonts w:ascii="Arial" w:cs="Arial" w:eastAsia="Arial" w:hAnsi="Arial"/>
          <w:sz w:val="17"/>
          <w:szCs w:val="17"/>
          <w:i w:val="1"/>
          <w:iCs w:val="1"/>
          <w:color w:val="auto"/>
        </w:rPr>
        <w:t>Percentage-of-completion method of revenue recognition</w:t>
      </w:r>
      <w:r>
        <w:rPr>
          <w:rFonts w:ascii="Arial" w:cs="Arial" w:eastAsia="Arial" w:hAnsi="Arial"/>
          <w:sz w:val="17"/>
          <w:szCs w:val="17"/>
          <w:color w:val="auto"/>
        </w:rPr>
        <w:t>—The Company’s contract revenues are recognized under the percentage-of-completion</w:t>
      </w:r>
      <w:r>
        <w:rPr>
          <w:rFonts w:ascii="Arial" w:cs="Arial" w:eastAsia="Arial" w:hAnsi="Arial"/>
          <w:sz w:val="17"/>
          <w:szCs w:val="17"/>
          <w:i w:val="1"/>
          <w:iCs w:val="1"/>
          <w:color w:val="auto"/>
        </w:rPr>
        <w:t xml:space="preserve"> </w:t>
      </w:r>
      <w:r>
        <w:rPr>
          <w:rFonts w:ascii="Arial" w:cs="Arial" w:eastAsia="Arial" w:hAnsi="Arial"/>
          <w:sz w:val="17"/>
          <w:szCs w:val="17"/>
          <w:color w:val="auto"/>
        </w:rPr>
        <w:t>method, which is by its nature based on an estimation process. For dredging projects, the Company uses engineering estimates of the physical percentage of completion. For environmental &amp; infrastructure projects, the Company uses estimates of costs incurred to date compared to total estimated costs to determine the percentage of project completion. In preparing estimates, the Company draws on its extensive experience in the dredging and environmental &amp; infrastructure businesses. In its dredging segment, the Company utilizes its database of historical dredging information and technical computations to ensure that its estimates are as accurate as possible, given current circumstances. Provisions for estimated losses on contracts in progress are made in the period in which such losses are determined. Change orders are not recognized in revenue until the recovery is probable and collectability is reasonably assured. Claims for additional compensation are not recognized in contract revenues until such claims are settled. Cost and profit estimates are reviewed on a periodic basis to reflect changes in expected project performance.</w:t>
      </w:r>
    </w:p>
    <w:p>
      <w:pPr>
        <w:spacing w:after="0" w:line="184" w:lineRule="exact"/>
        <w:rPr>
          <w:sz w:val="20"/>
          <w:szCs w:val="20"/>
          <w:color w:val="auto"/>
        </w:rPr>
      </w:pPr>
    </w:p>
    <w:p>
      <w:pPr>
        <w:ind w:firstLine="518"/>
        <w:spacing w:after="0" w:line="265" w:lineRule="auto"/>
        <w:rPr>
          <w:sz w:val="20"/>
          <w:szCs w:val="20"/>
          <w:color w:val="auto"/>
        </w:rPr>
      </w:pPr>
      <w:r>
        <w:rPr>
          <w:rFonts w:ascii="Arial" w:cs="Arial" w:eastAsia="Arial" w:hAnsi="Arial"/>
          <w:sz w:val="17"/>
          <w:szCs w:val="17"/>
          <w:color w:val="auto"/>
        </w:rPr>
        <w:t xml:space="preserve">The Company adopted Accounting Standard Update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and subsequently issued other Accounting Standard Updates related to Accounting Standards Codification Topic 606 (collectively, “ASC 606”) as of January 1, 2018, under the modified retrospective method where the cumulative effect is recognized at the date of initial application. The cumulative net adjustment to the beginning retained earnings balance is expected to be less than $5 million. The Company has evaluated the impact of ASC 606 and has determined that fixed-price contracts, which comprise substantially all of the Company’s revenue, will most often represent a single performance obligation. The Company will measure progress toward completion utilizing the cost-to-cost method, which represents a change from our prior practice of measuring completion based on engineering estimates of the physical percentage completed for dredging projects. Also the Company will be required to capitalize certain pre-contract and pre-construction costs and defer recognition over the life of the contract. In contrast, contract fulfillment costs will be required to be recognized in the income statement when incurred. Accordingly, the adoption of ASC 606 may result in a change in the timing of recognition of both contract revenue and cost from our prior practices. In addition, the Company expects to add qualitative and quantitative disclosures around disaggregation of revenue, remaining performance obligation, and other impacts to the Company’s contract revenue balances. The Company does not anticipate that the adoption of ASC 606 will have a material effect on the Company’s consolidated financial statements.</w:t>
      </w:r>
    </w:p>
    <w:p>
      <w:pPr>
        <w:spacing w:after="0" w:line="184"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i w:val="1"/>
          <w:iCs w:val="1"/>
          <w:color w:val="auto"/>
        </w:rPr>
        <w:t>Impairment of goodwill</w:t>
      </w:r>
      <w:r>
        <w:rPr>
          <w:rFonts w:ascii="Arial" w:cs="Arial" w:eastAsia="Arial" w:hAnsi="Arial"/>
          <w:sz w:val="16"/>
          <w:szCs w:val="16"/>
          <w:color w:val="auto"/>
        </w:rPr>
        <w:t>—Goodwill is tested for impairment at the reporting unit level on an annual basis and between annual tests if an event occurs or</w:t>
      </w:r>
      <w:r>
        <w:rPr>
          <w:rFonts w:ascii="Arial" w:cs="Arial" w:eastAsia="Arial" w:hAnsi="Arial"/>
          <w:sz w:val="16"/>
          <w:szCs w:val="16"/>
          <w:i w:val="1"/>
          <w:iCs w:val="1"/>
          <w:color w:val="auto"/>
        </w:rPr>
        <w:t xml:space="preserve"> </w:t>
      </w:r>
      <w:r>
        <w:rPr>
          <w:rFonts w:ascii="Arial" w:cs="Arial" w:eastAsia="Arial" w:hAnsi="Arial"/>
          <w:sz w:val="16"/>
          <w:szCs w:val="16"/>
          <w:color w:val="auto"/>
        </w:rPr>
        <w:t>circumstances change that would more likely than not reduce the fair value of the reporting unit below its carrying value. The Company believes that this estimate is a critical accounting estimate because: (i) goodwill is a material asset and (ii) the impact of an impairment could be material to the consolidated balance sheet and consolidated statement of operations. The Company performs its annual impairment test as of July 1 each year. The Company has two operating segments: dredging and environmental &amp; infrastructure, which are also the Company’s two reportable segments and reporting units.</w:t>
      </w:r>
    </w:p>
    <w:p>
      <w:pPr>
        <w:spacing w:after="0" w:line="165" w:lineRule="exact"/>
        <w:rPr>
          <w:sz w:val="20"/>
          <w:szCs w:val="20"/>
          <w:color w:val="auto"/>
        </w:rPr>
      </w:pPr>
    </w:p>
    <w:p>
      <w:pPr>
        <w:ind w:right="80" w:firstLine="518"/>
        <w:spacing w:after="0" w:line="251" w:lineRule="auto"/>
        <w:rPr>
          <w:sz w:val="20"/>
          <w:szCs w:val="20"/>
          <w:color w:val="auto"/>
        </w:rPr>
      </w:pPr>
      <w:r>
        <w:rPr>
          <w:rFonts w:ascii="Arial" w:cs="Arial" w:eastAsia="Arial" w:hAnsi="Arial"/>
          <w:sz w:val="18"/>
          <w:szCs w:val="18"/>
          <w:color w:val="auto"/>
        </w:rPr>
        <w:t>The Company assesses the fair values of its reporting units using both a market-based approach and an income-based approach. Under the income approach, the fair value of the reporting unit is based on the present value of estimated future cash flows. The income approach is dependent on a number of factors, including estimates of future market growth trends, forecasted revenues and expenses, appropriate discount rates and other variables. The estimates are based on assumptions that the Company believes to be reasonable, but such assumptions are subject to unpredictability and uncertainty. Changes in these estimates and assumptions could materially affect the determination of fair value, and may result in the impairment of goodwill in the event that actual results differ from those estimates.</w:t>
      </w:r>
    </w:p>
    <w:p>
      <w:pPr>
        <w:spacing w:after="0" w:line="195" w:lineRule="exact"/>
        <w:rPr>
          <w:sz w:val="20"/>
          <w:szCs w:val="20"/>
          <w:color w:val="auto"/>
        </w:rPr>
      </w:pPr>
    </w:p>
    <w:p>
      <w:pPr>
        <w:ind w:right="240" w:firstLine="518"/>
        <w:spacing w:after="0" w:line="273" w:lineRule="auto"/>
        <w:rPr>
          <w:sz w:val="20"/>
          <w:szCs w:val="20"/>
          <w:color w:val="auto"/>
        </w:rPr>
      </w:pPr>
      <w:r>
        <w:rPr>
          <w:rFonts w:ascii="Arial" w:cs="Arial" w:eastAsia="Arial" w:hAnsi="Arial"/>
          <w:sz w:val="17"/>
          <w:szCs w:val="17"/>
          <w:color w:val="auto"/>
        </w:rPr>
        <w:t>The market approach measures the value of a reporting unit through comparison to comparable companies. Under the market approach, the Company uses the guideline public company method by applying estimated market-based enterprise value multiples to the reporting unit’s estimated revenue and Adjusted EBITDA. The Company analyzes companies that performed similar services or are considered peers. Due to the fact that there are no public companies that are direct competitors, the Company weighs the results of this approach less than the income approach.</w:t>
      </w:r>
    </w:p>
    <w:p>
      <w:pPr>
        <w:spacing w:after="0" w:line="177" w:lineRule="exact"/>
        <w:rPr>
          <w:sz w:val="20"/>
          <w:szCs w:val="20"/>
          <w:color w:val="auto"/>
        </w:rPr>
      </w:pPr>
    </w:p>
    <w:p>
      <w:pPr>
        <w:ind w:right="40" w:firstLine="518"/>
        <w:spacing w:after="0" w:line="295" w:lineRule="auto"/>
        <w:rPr>
          <w:sz w:val="20"/>
          <w:szCs w:val="20"/>
          <w:color w:val="auto"/>
        </w:rPr>
      </w:pPr>
      <w:r>
        <w:rPr>
          <w:rFonts w:ascii="Arial" w:cs="Arial" w:eastAsia="Arial" w:hAnsi="Arial"/>
          <w:sz w:val="16"/>
          <w:szCs w:val="16"/>
          <w:color w:val="auto"/>
        </w:rPr>
        <w:t>The Company performed its annual goodwill impairment test as of July 1, 2017 with no indication of impairment as of the test date. As of the test date, the fair value of the reporting units was substantially in excess of their carrying values. The Company will perform its next scheduled annual test of goodwill in the third quarter of 2018 should no triggering events occur which would require a test prior to the next annual test. At December 31, 2017 and 2016, the dredging segment’s goodwill was $76.6 million. At December 31, 2017 and 2016, the environmental &amp; infrastructure segment’s goodwill was $7.0 million.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234"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Results of Operations—Fiscal Years Ended December 31, 2017, 2016 and 2015</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sets forth the components of net income attributable to common stockholders of Great Lakes Dredge &amp; Dock Corporation and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from continuing operations, as defined below, as a percentage of contract revenues for the years ended December 31: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500" w:type="dxa"/>
            <w:vAlign w:val="bottom"/>
            <w:gridSpan w:val="2"/>
            <w:vMerge w:val="restart"/>
          </w:tcPr>
          <w:p>
            <w:pPr>
              <w:ind w:left="1160"/>
              <w:spacing w:after="0"/>
              <w:rPr>
                <w:sz w:val="20"/>
                <w:szCs w:val="20"/>
                <w:color w:val="auto"/>
              </w:rPr>
            </w:pPr>
            <w:r>
              <w:rPr>
                <w:rFonts w:ascii="Arial" w:cs="Arial" w:eastAsia="Arial" w:hAnsi="Arial"/>
                <w:sz w:val="18"/>
                <w:szCs w:val="18"/>
                <w:color w:val="auto"/>
              </w:rPr>
              <w:t>Contract revenues</w:t>
            </w:r>
          </w:p>
        </w:tc>
        <w:tc>
          <w:tcPr>
            <w:tcW w:w="900" w:type="dxa"/>
            <w:vAlign w:val="bottom"/>
          </w:tcPr>
          <w:p>
            <w:pPr>
              <w:spacing w:after="0"/>
              <w:rPr>
                <w:sz w:val="14"/>
                <w:szCs w:val="14"/>
                <w:color w:val="auto"/>
              </w:rPr>
            </w:pPr>
          </w:p>
        </w:tc>
        <w:tc>
          <w:tcPr>
            <w:tcW w:w="10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2015</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500" w:type="dxa"/>
            <w:vAlign w:val="bottom"/>
            <w:gridSpan w:val="2"/>
            <w:vMerge w:val="continue"/>
          </w:tcPr>
          <w:p>
            <w:pPr>
              <w:spacing w:after="0"/>
              <w:rPr>
                <w:sz w:val="19"/>
                <w:szCs w:val="19"/>
                <w:color w:val="auto"/>
              </w:rPr>
            </w:pPr>
          </w:p>
        </w:tc>
        <w:tc>
          <w:tcPr>
            <w:tcW w:w="2180" w:type="dxa"/>
            <w:vAlign w:val="bottom"/>
            <w:gridSpan w:val="4"/>
          </w:tcPr>
          <w:p>
            <w:pPr>
              <w:jc w:val="right"/>
              <w:ind w:right="20"/>
              <w:spacing w:after="0"/>
              <w:rPr>
                <w:sz w:val="20"/>
                <w:szCs w:val="20"/>
                <w:color w:val="auto"/>
              </w:rPr>
            </w:pPr>
            <w:r>
              <w:rPr>
                <w:rFonts w:ascii="Arial" w:cs="Arial" w:eastAsia="Arial" w:hAnsi="Arial"/>
                <w:sz w:val="18"/>
                <w:szCs w:val="18"/>
                <w:color w:val="auto"/>
              </w:rPr>
              <w:t>100.0 %</w:t>
            </w: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Costs of contract revenues</w:t>
            </w:r>
          </w:p>
        </w:tc>
        <w:tc>
          <w:tcPr>
            <w:tcW w:w="9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(92.9)</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(88.7)</w:t>
            </w: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31"/>
              <w:spacing w:after="0"/>
              <w:rPr>
                <w:sz w:val="20"/>
                <w:szCs w:val="20"/>
                <w:color w:val="auto"/>
              </w:rPr>
            </w:pPr>
            <w:r>
              <w:rPr>
                <w:rFonts w:ascii="Arial" w:cs="Arial" w:eastAsia="Arial" w:hAnsi="Arial"/>
                <w:sz w:val="18"/>
                <w:szCs w:val="18"/>
                <w:color w:val="auto"/>
              </w:rPr>
              <w:t>(88.8)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160" w:type="dxa"/>
            <w:vAlign w:val="bottom"/>
          </w:tcPr>
          <w:p>
            <w:pPr>
              <w:spacing w:after="0"/>
              <w:rPr>
                <w:sz w:val="19"/>
                <w:szCs w:val="19"/>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Gross profit</w:t>
            </w:r>
          </w:p>
        </w:tc>
        <w:tc>
          <w:tcPr>
            <w:tcW w:w="90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2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31"/>
              <w:spacing w:after="0"/>
              <w:rPr>
                <w:sz w:val="20"/>
                <w:szCs w:val="20"/>
                <w:color w:val="auto"/>
              </w:rPr>
            </w:pPr>
            <w:r>
              <w:rPr>
                <w:rFonts w:ascii="Arial" w:cs="Arial" w:eastAsia="Arial" w:hAnsi="Arial"/>
                <w:sz w:val="18"/>
                <w:szCs w:val="18"/>
                <w:color w:val="auto"/>
              </w:rPr>
              <w:t>(8.3)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00" w:type="dxa"/>
            <w:vAlign w:val="bottom"/>
            <w:gridSpan w:val="2"/>
          </w:tcPr>
          <w:p>
            <w:pPr>
              <w:ind w:left="1160"/>
              <w:spacing w:after="0"/>
              <w:rPr>
                <w:sz w:val="20"/>
                <w:szCs w:val="20"/>
                <w:color w:val="auto"/>
              </w:rPr>
            </w:pPr>
            <w:r>
              <w:rPr>
                <w:rFonts w:ascii="Arial" w:cs="Arial" w:eastAsia="Arial" w:hAnsi="Arial"/>
                <w:sz w:val="18"/>
                <w:szCs w:val="18"/>
                <w:color w:val="auto"/>
              </w:rPr>
              <w:t>Impairment of goodwill</w:t>
            </w:r>
          </w:p>
        </w:tc>
        <w:tc>
          <w:tcPr>
            <w:tcW w:w="900" w:type="dxa"/>
            <w:vAlign w:val="bottom"/>
          </w:tcPr>
          <w:p>
            <w:pPr>
              <w:spacing w:after="0"/>
              <w:rPr>
                <w:sz w:val="19"/>
                <w:szCs w:val="19"/>
                <w:color w:val="auto"/>
              </w:rPr>
            </w:pP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31"/>
              <w:spacing w:after="0"/>
              <w:rPr>
                <w:sz w:val="20"/>
                <w:szCs w:val="20"/>
                <w:color w:val="auto"/>
              </w:rPr>
            </w:pPr>
            <w:r>
              <w:rPr>
                <w:rFonts w:ascii="Arial" w:cs="Arial" w:eastAsia="Arial" w:hAnsi="Arial"/>
                <w:sz w:val="18"/>
                <w:szCs w:val="18"/>
                <w:color w:val="auto"/>
              </w:rPr>
              <w:t>(0.3)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Loss on sale of assets—net</w:t>
            </w:r>
          </w:p>
        </w:tc>
        <w:tc>
          <w:tcPr>
            <w:tcW w:w="9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40" w:type="dxa"/>
            <w:vAlign w:val="bottom"/>
            <w:vMerge w:val="restart"/>
          </w:tcPr>
          <w:p>
            <w:pPr>
              <w:ind w:left="240"/>
              <w:spacing w:after="0"/>
              <w:rPr>
                <w:sz w:val="20"/>
                <w:szCs w:val="20"/>
                <w:color w:val="auto"/>
              </w:rPr>
            </w:pPr>
            <w:r>
              <w:rPr>
                <w:rFonts w:ascii="Arial" w:cs="Arial" w:eastAsia="Arial" w:hAnsi="Arial"/>
                <w:sz w:val="18"/>
                <w:szCs w:val="18"/>
                <w:color w:val="auto"/>
              </w:rPr>
              <w:t>Operating income (expense)</w:t>
            </w:r>
          </w:p>
        </w:tc>
        <w:tc>
          <w:tcPr>
            <w:tcW w:w="9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60" w:type="dxa"/>
            <w:vAlign w:val="bottom"/>
          </w:tcPr>
          <w:p>
            <w:pPr>
              <w:spacing w:after="0"/>
              <w:rPr>
                <w:sz w:val="19"/>
                <w:szCs w:val="19"/>
                <w:color w:val="auto"/>
              </w:rPr>
            </w:pPr>
          </w:p>
        </w:tc>
        <w:tc>
          <w:tcPr>
            <w:tcW w:w="434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expense—net</w:t>
            </w:r>
          </w:p>
        </w:tc>
        <w:tc>
          <w:tcPr>
            <w:tcW w:w="2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31"/>
              <w:spacing w:after="0"/>
              <w:rPr>
                <w:sz w:val="20"/>
                <w:szCs w:val="20"/>
                <w:color w:val="auto"/>
              </w:rPr>
            </w:pPr>
            <w:r>
              <w:rPr>
                <w:rFonts w:ascii="Arial" w:cs="Arial" w:eastAsia="Arial" w:hAnsi="Arial"/>
                <w:sz w:val="18"/>
                <w:szCs w:val="18"/>
                <w:color w:val="auto"/>
              </w:rPr>
              <w:t>(2.8)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00" w:type="dxa"/>
            <w:vAlign w:val="bottom"/>
            <w:gridSpan w:val="2"/>
          </w:tcPr>
          <w:p>
            <w:pPr>
              <w:ind w:left="1160"/>
              <w:spacing w:after="0"/>
              <w:rPr>
                <w:sz w:val="20"/>
                <w:szCs w:val="20"/>
                <w:color w:val="auto"/>
              </w:rPr>
            </w:pPr>
            <w:r>
              <w:rPr>
                <w:rFonts w:ascii="Arial" w:cs="Arial" w:eastAsia="Arial" w:hAnsi="Arial"/>
                <w:sz w:val="18"/>
                <w:szCs w:val="18"/>
                <w:color w:val="auto"/>
              </w:rPr>
              <w:t>Equity in loss of joint ventures</w:t>
            </w:r>
          </w:p>
        </w:tc>
        <w:tc>
          <w:tcPr>
            <w:tcW w:w="2020" w:type="dxa"/>
            <w:vAlign w:val="bottom"/>
            <w:gridSpan w:val="3"/>
          </w:tcPr>
          <w:p>
            <w:pPr>
              <w:jc w:val="right"/>
              <w:ind w:right="2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9"/>
                <w:szCs w:val="19"/>
                <w:color w:val="auto"/>
              </w:rPr>
            </w:pPr>
          </w:p>
        </w:tc>
        <w:tc>
          <w:tcPr>
            <w:tcW w:w="1320" w:type="dxa"/>
            <w:vAlign w:val="bottom"/>
            <w:gridSpan w:val="2"/>
          </w:tcPr>
          <w:p>
            <w:pPr>
              <w:jc w:val="right"/>
              <w:ind w:right="131"/>
              <w:spacing w:after="0"/>
              <w:rPr>
                <w:sz w:val="20"/>
                <w:szCs w:val="20"/>
                <w:color w:val="auto"/>
              </w:rPr>
            </w:pPr>
            <w:r>
              <w:rPr>
                <w:rFonts w:ascii="Arial" w:cs="Arial" w:eastAsia="Arial" w:hAnsi="Arial"/>
                <w:sz w:val="18"/>
                <w:szCs w:val="18"/>
                <w:color w:val="auto"/>
              </w:rPr>
              <w:t>(0.7)</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2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00" w:type="dxa"/>
            <w:vAlign w:val="bottom"/>
            <w:gridSpan w:val="2"/>
          </w:tcPr>
          <w:p>
            <w:pPr>
              <w:ind w:left="1160"/>
              <w:spacing w:after="0"/>
              <w:rPr>
                <w:sz w:val="20"/>
                <w:szCs w:val="20"/>
                <w:color w:val="auto"/>
              </w:rPr>
            </w:pPr>
            <w:r>
              <w:rPr>
                <w:rFonts w:ascii="Arial" w:cs="Arial" w:eastAsia="Arial" w:hAnsi="Arial"/>
                <w:sz w:val="18"/>
                <w:szCs w:val="18"/>
                <w:color w:val="auto"/>
              </w:rPr>
              <w:t>Other expense</w:t>
            </w:r>
          </w:p>
        </w:tc>
        <w:tc>
          <w:tcPr>
            <w:tcW w:w="2020" w:type="dxa"/>
            <w:vAlign w:val="bottom"/>
            <w:gridSpan w:val="3"/>
          </w:tcPr>
          <w:p>
            <w:pPr>
              <w:jc w:val="right"/>
              <w:ind w:right="2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9"/>
                <w:szCs w:val="19"/>
                <w:color w:val="auto"/>
              </w:rPr>
            </w:pPr>
          </w:p>
        </w:tc>
        <w:tc>
          <w:tcPr>
            <w:tcW w:w="1320" w:type="dxa"/>
            <w:vAlign w:val="bottom"/>
            <w:gridSpan w:val="2"/>
          </w:tcPr>
          <w:p>
            <w:pPr>
              <w:jc w:val="right"/>
              <w:ind w:right="131"/>
              <w:spacing w:after="0"/>
              <w:rPr>
                <w:sz w:val="20"/>
                <w:szCs w:val="20"/>
                <w:color w:val="auto"/>
              </w:rPr>
            </w:pPr>
            <w:r>
              <w:rPr>
                <w:rFonts w:ascii="Arial" w:cs="Arial" w:eastAsia="Arial" w:hAnsi="Arial"/>
                <w:sz w:val="18"/>
                <w:szCs w:val="18"/>
                <w:color w:val="auto"/>
              </w:rPr>
              <w:t>(0.1)</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4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w w:val="92"/>
              </w:rPr>
              <w:t>Income from continuing operations before income taxes</w:t>
            </w:r>
          </w:p>
        </w:tc>
        <w:tc>
          <w:tcPr>
            <w:tcW w:w="9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160" w:type="dxa"/>
            <w:vAlign w:val="bottom"/>
          </w:tcPr>
          <w:p>
            <w:pPr>
              <w:spacing w:after="0"/>
              <w:rPr>
                <w:sz w:val="19"/>
                <w:szCs w:val="19"/>
                <w:color w:val="auto"/>
              </w:rPr>
            </w:pPr>
          </w:p>
        </w:tc>
        <w:tc>
          <w:tcPr>
            <w:tcW w:w="4340" w:type="dxa"/>
            <w:vAlign w:val="bottom"/>
            <w:vMerge w:val="continue"/>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31"/>
              <w:spacing w:after="0"/>
              <w:rPr>
                <w:sz w:val="20"/>
                <w:szCs w:val="20"/>
                <w:color w:val="auto"/>
              </w:rPr>
            </w:pPr>
            <w:r>
              <w:rPr>
                <w:rFonts w:ascii="Arial" w:cs="Arial" w:eastAsia="Arial" w:hAnsi="Arial"/>
                <w:sz w:val="18"/>
                <w:szCs w:val="18"/>
                <w:color w:val="auto"/>
              </w:rPr>
              <w:t>(1.0)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00" w:type="dxa"/>
            <w:vAlign w:val="bottom"/>
            <w:gridSpan w:val="2"/>
          </w:tcPr>
          <w:p>
            <w:pPr>
              <w:ind w:left="1160"/>
              <w:spacing w:after="0"/>
              <w:rPr>
                <w:sz w:val="20"/>
                <w:szCs w:val="20"/>
                <w:color w:val="auto"/>
              </w:rPr>
            </w:pPr>
            <w:r>
              <w:rPr>
                <w:rFonts w:ascii="Arial" w:cs="Arial" w:eastAsia="Arial" w:hAnsi="Arial"/>
                <w:sz w:val="18"/>
                <w:szCs w:val="18"/>
                <w:color w:val="auto"/>
              </w:rPr>
              <w:t>Income tax benefit</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Loss from continuing operations</w:t>
            </w:r>
          </w:p>
        </w:tc>
        <w:tc>
          <w:tcPr>
            <w:tcW w:w="9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160" w:type="dxa"/>
            <w:vAlign w:val="bottom"/>
          </w:tcPr>
          <w:p>
            <w:pPr>
              <w:spacing w:after="0"/>
              <w:rPr>
                <w:sz w:val="19"/>
                <w:szCs w:val="19"/>
                <w:color w:val="auto"/>
              </w:rPr>
            </w:pPr>
          </w:p>
        </w:tc>
        <w:tc>
          <w:tcPr>
            <w:tcW w:w="4340" w:type="dxa"/>
            <w:vAlign w:val="bottom"/>
            <w:vMerge w:val="continue"/>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31"/>
              <w:spacing w:after="0"/>
              <w:rPr>
                <w:sz w:val="20"/>
                <w:szCs w:val="20"/>
                <w:color w:val="auto"/>
              </w:rPr>
            </w:pPr>
            <w:r>
              <w:rPr>
                <w:rFonts w:ascii="Arial" w:cs="Arial" w:eastAsia="Arial" w:hAnsi="Arial"/>
                <w:sz w:val="18"/>
                <w:szCs w:val="18"/>
                <w:color w:val="auto"/>
              </w:rPr>
              <w:t>(0.7)</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00" w:type="dxa"/>
            <w:vAlign w:val="bottom"/>
            <w:gridSpan w:val="2"/>
          </w:tcPr>
          <w:p>
            <w:pPr>
              <w:ind w:left="1160"/>
              <w:spacing w:after="0"/>
              <w:rPr>
                <w:sz w:val="20"/>
                <w:szCs w:val="20"/>
                <w:color w:val="auto"/>
              </w:rPr>
            </w:pPr>
            <w:r>
              <w:rPr>
                <w:rFonts w:ascii="Arial" w:cs="Arial" w:eastAsia="Arial" w:hAnsi="Arial"/>
                <w:sz w:val="18"/>
                <w:szCs w:val="18"/>
                <w:color w:val="auto"/>
                <w:w w:val="98"/>
              </w:rPr>
              <w:t>Loss from discontinued operations, net of income taxes</w:t>
            </w:r>
          </w:p>
        </w:tc>
        <w:tc>
          <w:tcPr>
            <w:tcW w:w="2020" w:type="dxa"/>
            <w:vAlign w:val="bottom"/>
            <w:gridSpan w:val="3"/>
          </w:tcPr>
          <w:p>
            <w:pPr>
              <w:jc w:val="right"/>
              <w:ind w:right="2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9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160" w:type="dxa"/>
            <w:vAlign w:val="bottom"/>
          </w:tcPr>
          <w:p>
            <w:pPr>
              <w:spacing w:after="0"/>
              <w:rPr>
                <w:sz w:val="19"/>
                <w:szCs w:val="19"/>
                <w:color w:val="auto"/>
              </w:rPr>
            </w:pPr>
          </w:p>
        </w:tc>
        <w:tc>
          <w:tcPr>
            <w:tcW w:w="4340" w:type="dxa"/>
            <w:vAlign w:val="bottom"/>
            <w:vMerge w:val="continue"/>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31"/>
              <w:spacing w:after="0"/>
              <w:rPr>
                <w:sz w:val="20"/>
                <w:szCs w:val="20"/>
                <w:color w:val="auto"/>
              </w:rPr>
            </w:pPr>
            <w:r>
              <w:rPr>
                <w:rFonts w:ascii="Arial" w:cs="Arial" w:eastAsia="Arial" w:hAnsi="Arial"/>
                <w:sz w:val="18"/>
                <w:szCs w:val="18"/>
                <w:color w:val="auto"/>
              </w:rPr>
              <w:t>(0.7)</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5500" w:type="dxa"/>
            <w:vAlign w:val="bottom"/>
            <w:gridSpan w:val="2"/>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6"/>
        </w:trPr>
        <w:tc>
          <w:tcPr>
            <w:tcW w:w="116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from continuing operations</w:t>
            </w:r>
          </w:p>
        </w:tc>
        <w:tc>
          <w:tcPr>
            <w:tcW w:w="21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4.9 %</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4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bottom w:val="single" w:sz="8" w:color="CFF0FC"/>
            </w:tcBorders>
            <w:vMerge w:val="restart"/>
          </w:tcPr>
          <w:p>
            <w:pPr>
              <w:jc w:val="right"/>
              <w:ind w:right="511"/>
              <w:spacing w:after="0"/>
              <w:rPr>
                <w:sz w:val="20"/>
                <w:szCs w:val="20"/>
                <w:color w:val="auto"/>
              </w:rPr>
            </w:pPr>
            <w:r>
              <w:rPr>
                <w:rFonts w:ascii="Arial" w:cs="Arial" w:eastAsia="Arial" w:hAnsi="Arial"/>
                <w:sz w:val="18"/>
                <w:szCs w:val="18"/>
                <w:color w:val="auto"/>
              </w:rPr>
              <w:t>37</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11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9"/>
                <w:szCs w:val="9"/>
                <w:color w:val="auto"/>
              </w:rPr>
            </w:pPr>
          </w:p>
        </w:tc>
        <w:tc>
          <w:tcPr>
            <w:tcW w:w="43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441" w:right="21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Adjusted EBITDA from continuing operations</w:t>
      </w:r>
    </w:p>
    <w:p>
      <w:pPr>
        <w:spacing w:after="0" w:line="119" w:lineRule="exact"/>
        <w:rPr>
          <w:sz w:val="20"/>
          <w:szCs w:val="20"/>
          <w:color w:val="auto"/>
        </w:rPr>
      </w:pPr>
    </w:p>
    <w:p>
      <w:pPr>
        <w:ind w:firstLine="518"/>
        <w:spacing w:after="0" w:line="281" w:lineRule="auto"/>
        <w:rPr>
          <w:sz w:val="20"/>
          <w:szCs w:val="20"/>
          <w:color w:val="auto"/>
        </w:rPr>
      </w:pPr>
      <w:r>
        <w:rPr>
          <w:rFonts w:ascii="Arial" w:cs="Arial" w:eastAsia="Arial" w:hAnsi="Arial"/>
          <w:sz w:val="16"/>
          <w:szCs w:val="16"/>
          <w:color w:val="auto"/>
        </w:rPr>
        <w:t>Adjusted EBITDA from continuing operations, as provided herein, represents net income attributable to common stockholders of Great Lakes Dredge &amp; Dock Corporation, adjusted for net interest expense, income taxes, depreciation and amortization expense, debt extinguishment, accelerated maintenance expense for new international deployments, goodwill or asset impairments and gains on bargain purchase acquisitions. Adjusted EBITDA from continuing operations is not a measure derived in accordance with accounting principles generally accepted in the United States of America (“GAAP”). The Company presents Adjusted EBITDA from continuing operations as an additional measure by which to evaluate the Company’s operating trends. The Company believes that Adjusted EBITDA from continuing operations is a measure frequently used to evaluate performance of companies with substantial leverage and that the Company’s primary stakeholders (i.e., its stockholders, bondholders and banks) use Adjusted EBITDA from continuing operations to evaluate the Company’s period to period performance. Additionally, management believes that Adjusted EBITDA from continuing operations provides a transparent measure of the Company’s recurring operating performance and allows management to readily view operating trends, perform analytical comparisons and identify strategies to improve operating performance. For this reason, the Company uses a measure based upon Adjusted EBITDA from continuing operations to assess performance for purposes of determining compensation under the Company’s incentive plan. Adjusted EBITDA from continuing operations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from continuing operations, instead of a GAAP measure, has limitations as an analytical tool, including the inability to determine profitability or liquidity due to the exclusion of accelerated maintenance expense for new international deployments, goodwill or asset impairments, gains on bargain purchase acquisitions, interest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to measure the Company’s operating performance and uses Adjusted EBITDA from continuing operations only as a supplement. The following is a reconciliation of Adjusted EBITDA from continuing operations to net income attributable to common stockholders of Great Lakes Dredge &amp; Dock Corporation (in thousands):</w:t>
      </w:r>
    </w:p>
    <w:p>
      <w:pPr>
        <w:spacing w:after="0" w:line="200" w:lineRule="exact"/>
        <w:rPr>
          <w:sz w:val="20"/>
          <w:szCs w:val="20"/>
          <w:color w:val="auto"/>
        </w:rPr>
      </w:pPr>
    </w:p>
    <w:p>
      <w:pPr>
        <w:spacing w:after="0" w:line="217" w:lineRule="exact"/>
        <w:rPr>
          <w:sz w:val="20"/>
          <w:szCs w:val="20"/>
          <w:color w:val="auto"/>
        </w:rPr>
      </w:pPr>
    </w:p>
    <w:tbl>
      <w:tblPr>
        <w:tblLayout w:type="fixed"/>
        <w:tblInd w:w="1160" w:type="dxa"/>
        <w:tblCellMar>
          <w:top w:w="0" w:type="dxa"/>
          <w:left w:w="0" w:type="dxa"/>
          <w:bottom w:w="0" w:type="dxa"/>
          <w:right w:w="0" w:type="dxa"/>
        </w:tblCellMar>
      </w:tblPr>
      <w:tr>
        <w:trPr>
          <w:trHeight w:val="185"/>
        </w:trPr>
        <w:tc>
          <w:tcPr>
            <w:tcW w:w="4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0" w:type="dxa"/>
            <w:vAlign w:val="bottom"/>
            <w:gridSpan w:val="6"/>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600" w:type="dxa"/>
            <w:vAlign w:val="bottom"/>
            <w:tcBorders>
              <w:bottom w:val="single" w:sz="8" w:color="CFF0FC"/>
            </w:tcBorders>
          </w:tcPr>
          <w:p>
            <w:pPr>
              <w:spacing w:after="0"/>
              <w:rPr>
                <w:sz w:val="14"/>
                <w:szCs w:val="14"/>
                <w:color w:val="auto"/>
              </w:rPr>
            </w:pPr>
          </w:p>
        </w:tc>
        <w:tc>
          <w:tcPr>
            <w:tcW w:w="6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(31,260)</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(8,177)</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(6,189)</w:t>
            </w:r>
          </w:p>
        </w:tc>
        <w:tc>
          <w:tcPr>
            <w:tcW w:w="0" w:type="dxa"/>
            <w:vAlign w:val="bottom"/>
          </w:tcPr>
          <w:p>
            <w:pPr>
              <w:spacing w:after="0"/>
              <w:rPr>
                <w:sz w:val="1"/>
                <w:szCs w:val="1"/>
                <w:color w:val="auto"/>
              </w:rPr>
            </w:pPr>
          </w:p>
        </w:tc>
      </w:tr>
      <w:tr>
        <w:trPr>
          <w:trHeight w:val="226"/>
        </w:trPr>
        <w:tc>
          <w:tcPr>
            <w:tcW w:w="4600" w:type="dxa"/>
            <w:vAlign w:val="bottom"/>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(12,697)</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Loss from continuing operations</w:t>
            </w:r>
          </w:p>
        </w:tc>
        <w:tc>
          <w:tcPr>
            <w:tcW w:w="6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0" w:type="dxa"/>
            <w:vAlign w:val="bottom"/>
            <w:vMerge w:val="continue"/>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(18,563)</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(8,177)</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(6,189)</w:t>
            </w:r>
          </w:p>
        </w:tc>
        <w:tc>
          <w:tcPr>
            <w:tcW w:w="0" w:type="dxa"/>
            <w:vAlign w:val="bottom"/>
          </w:tcPr>
          <w:p>
            <w:pPr>
              <w:spacing w:after="0"/>
              <w:rPr>
                <w:sz w:val="1"/>
                <w:szCs w:val="1"/>
                <w:color w:val="auto"/>
              </w:rPr>
            </w:pPr>
          </w:p>
        </w:tc>
      </w:tr>
      <w:tr>
        <w:trPr>
          <w:trHeight w:val="226"/>
        </w:trPr>
        <w:tc>
          <w:tcPr>
            <w:tcW w:w="4600" w:type="dxa"/>
            <w:vAlign w:val="bottom"/>
          </w:tcPr>
          <w:p>
            <w:pPr>
              <w:spacing w:after="0"/>
              <w:rPr>
                <w:sz w:val="20"/>
                <w:szCs w:val="20"/>
                <w:color w:val="auto"/>
              </w:rPr>
            </w:pPr>
            <w:r>
              <w:rPr>
                <w:rFonts w:ascii="Arial" w:cs="Arial" w:eastAsia="Arial" w:hAnsi="Arial"/>
                <w:sz w:val="18"/>
                <w:szCs w:val="18"/>
                <w:color w:val="auto"/>
              </w:rPr>
              <w:t>Adjusted for:</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expense—net</w:t>
            </w: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26,046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22,907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00" w:type="dxa"/>
            <w:vAlign w:val="bottom"/>
          </w:tcPr>
          <w:p>
            <w:pPr>
              <w:ind w:left="240"/>
              <w:spacing w:after="0"/>
              <w:rPr>
                <w:sz w:val="20"/>
                <w:szCs w:val="20"/>
                <w:color w:val="auto"/>
              </w:rPr>
            </w:pPr>
            <w:r>
              <w:rPr>
                <w:rFonts w:ascii="Arial" w:cs="Arial" w:eastAsia="Arial" w:hAnsi="Arial"/>
                <w:sz w:val="18"/>
                <w:szCs w:val="18"/>
                <w:color w:val="auto"/>
              </w:rPr>
              <w:t>Income tax benefit</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(35,610)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(5,792)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(2,497)</w:t>
            </w:r>
          </w:p>
        </w:tc>
        <w:tc>
          <w:tcPr>
            <w:tcW w:w="0" w:type="dxa"/>
            <w:vAlign w:val="bottom"/>
          </w:tcPr>
          <w:p>
            <w:pPr>
              <w:spacing w:after="0"/>
              <w:rPr>
                <w:sz w:val="1"/>
                <w:szCs w:val="1"/>
                <w:color w:val="auto"/>
              </w:rPr>
            </w:pPr>
          </w:p>
        </w:tc>
      </w:tr>
      <w:tr>
        <w:trPr>
          <w:trHeight w:val="227"/>
        </w:trPr>
        <w:tc>
          <w:tcPr>
            <w:tcW w:w="4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60,520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63,023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00" w:type="dxa"/>
            <w:vAlign w:val="bottom"/>
          </w:tcPr>
          <w:p>
            <w:pPr>
              <w:ind w:left="240"/>
              <w:spacing w:after="0"/>
              <w:rPr>
                <w:sz w:val="20"/>
                <w:szCs w:val="20"/>
                <w:color w:val="auto"/>
              </w:rPr>
            </w:pPr>
            <w:r>
              <w:rPr>
                <w:rFonts w:ascii="Arial" w:cs="Arial" w:eastAsia="Arial" w:hAnsi="Arial"/>
                <w:sz w:val="18"/>
                <w:szCs w:val="18"/>
                <w:color w:val="auto"/>
              </w:rPr>
              <w:t>Impairment of goodwill</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on extinguishment of debt</w:t>
            </w:r>
          </w:p>
        </w:tc>
        <w:tc>
          <w:tcPr>
            <w:tcW w:w="6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00" w:type="dxa"/>
            <w:vAlign w:val="bottom"/>
          </w:tcPr>
          <w:p>
            <w:pPr>
              <w:spacing w:after="0"/>
              <w:rPr>
                <w:sz w:val="20"/>
                <w:szCs w:val="20"/>
                <w:color w:val="auto"/>
              </w:rPr>
            </w:pPr>
            <w:r>
              <w:rPr>
                <w:rFonts w:ascii="Arial" w:cs="Arial" w:eastAsia="Arial" w:hAnsi="Arial"/>
                <w:sz w:val="18"/>
                <w:szCs w:val="18"/>
                <w:color w:val="auto"/>
              </w:rPr>
              <w:t>Adjusted EBITDA from continuing operations</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34,723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71,961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83,014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Contract Revenues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sets forth, by segment and type of work, the Company’s contract revenues for the years ended December 31, (in thousands):</w:t>
      </w:r>
    </w:p>
    <w:p>
      <w:pPr>
        <w:spacing w:after="0" w:line="239" w:lineRule="exact"/>
        <w:rPr>
          <w:sz w:val="20"/>
          <w:szCs w:val="20"/>
          <w:color w:val="auto"/>
        </w:rPr>
      </w:pPr>
    </w:p>
    <w:tbl>
      <w:tblPr>
        <w:tblLayout w:type="fixed"/>
        <w:tblInd w:w="1160" w:type="dxa"/>
        <w:tblCellMar>
          <w:top w:w="0" w:type="dxa"/>
          <w:left w:w="0" w:type="dxa"/>
          <w:bottom w:w="0" w:type="dxa"/>
          <w:right w:w="0" w:type="dxa"/>
        </w:tblCellMar>
      </w:tblPr>
      <w:tr>
        <w:trPr>
          <w:trHeight w:val="232"/>
        </w:trPr>
        <w:tc>
          <w:tcPr>
            <w:tcW w:w="37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Revenues</w:t>
            </w:r>
          </w:p>
        </w:tc>
        <w:tc>
          <w:tcPr>
            <w:tcW w:w="15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20"/>
                <w:szCs w:val="20"/>
                <w:color w:val="auto"/>
              </w:rPr>
            </w:pPr>
          </w:p>
        </w:tc>
      </w:tr>
      <w:tr>
        <w:trPr>
          <w:trHeight w:val="22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Dredging:</w:t>
            </w:r>
          </w:p>
        </w:tc>
        <w:tc>
          <w:tcPr>
            <w:tcW w:w="1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3760" w:type="dxa"/>
            <w:vAlign w:val="bottom"/>
          </w:tcPr>
          <w:p>
            <w:pPr>
              <w:ind w:left="240"/>
              <w:spacing w:after="0"/>
              <w:rPr>
                <w:sz w:val="20"/>
                <w:szCs w:val="20"/>
                <w:color w:val="auto"/>
              </w:rPr>
            </w:pPr>
            <w:r>
              <w:rPr>
                <w:rFonts w:ascii="Arial" w:cs="Arial" w:eastAsia="Arial" w:hAnsi="Arial"/>
                <w:sz w:val="18"/>
                <w:szCs w:val="18"/>
                <w:color w:val="auto"/>
              </w:rPr>
              <w:t>Capital—U.S.</w:t>
            </w:r>
          </w:p>
        </w:tc>
        <w:tc>
          <w:tcPr>
            <w:tcW w:w="1800" w:type="dxa"/>
            <w:vAlign w:val="bottom"/>
            <w:gridSpan w:val="2"/>
          </w:tcPr>
          <w:p>
            <w:pPr>
              <w:jc w:val="right"/>
              <w:ind w:right="91"/>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185,113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219,914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207,058</w:t>
            </w:r>
          </w:p>
        </w:tc>
        <w:tc>
          <w:tcPr>
            <w:tcW w:w="100" w:type="dxa"/>
            <w:vAlign w:val="bottom"/>
          </w:tcPr>
          <w:p>
            <w:pPr>
              <w:spacing w:after="0"/>
              <w:rPr>
                <w:sz w:val="19"/>
                <w:szCs w:val="19"/>
                <w:color w:val="auto"/>
              </w:rPr>
            </w:pPr>
          </w:p>
        </w:tc>
      </w:tr>
      <w:tr>
        <w:trPr>
          <w:trHeight w:val="227"/>
        </w:trPr>
        <w:tc>
          <w:tcPr>
            <w:tcW w:w="3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Capital—foreign</w:t>
            </w:r>
          </w:p>
        </w:tc>
        <w:tc>
          <w:tcPr>
            <w:tcW w:w="1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42,306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59,413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139,945</w:t>
            </w:r>
          </w:p>
        </w:tc>
        <w:tc>
          <w:tcPr>
            <w:tcW w:w="100" w:type="dxa"/>
            <w:vAlign w:val="bottom"/>
            <w:shd w:val="clear" w:color="auto" w:fill="CFF0FC"/>
          </w:tcPr>
          <w:p>
            <w:pPr>
              <w:spacing w:after="0"/>
              <w:rPr>
                <w:sz w:val="19"/>
                <w:szCs w:val="19"/>
                <w:color w:val="auto"/>
              </w:rPr>
            </w:pPr>
          </w:p>
        </w:tc>
      </w:tr>
      <w:tr>
        <w:trPr>
          <w:trHeight w:val="226"/>
        </w:trPr>
        <w:tc>
          <w:tcPr>
            <w:tcW w:w="3760" w:type="dxa"/>
            <w:vAlign w:val="bottom"/>
          </w:tcPr>
          <w:p>
            <w:pPr>
              <w:ind w:left="240"/>
              <w:spacing w:after="0"/>
              <w:rPr>
                <w:sz w:val="20"/>
                <w:szCs w:val="20"/>
                <w:color w:val="auto"/>
              </w:rPr>
            </w:pPr>
            <w:r>
              <w:rPr>
                <w:rFonts w:ascii="Arial" w:cs="Arial" w:eastAsia="Arial" w:hAnsi="Arial"/>
                <w:sz w:val="18"/>
                <w:szCs w:val="18"/>
                <w:color w:val="auto"/>
              </w:rPr>
              <w:t>Coastal protection</w:t>
            </w: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191,070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215,041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184,060</w:t>
            </w:r>
          </w:p>
        </w:tc>
        <w:tc>
          <w:tcPr>
            <w:tcW w:w="100" w:type="dxa"/>
            <w:vAlign w:val="bottom"/>
          </w:tcPr>
          <w:p>
            <w:pPr>
              <w:spacing w:after="0"/>
              <w:rPr>
                <w:sz w:val="19"/>
                <w:szCs w:val="19"/>
                <w:color w:val="auto"/>
              </w:rPr>
            </w:pPr>
          </w:p>
        </w:tc>
      </w:tr>
      <w:tr>
        <w:trPr>
          <w:trHeight w:val="227"/>
        </w:trPr>
        <w:tc>
          <w:tcPr>
            <w:tcW w:w="3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Maintenance</w:t>
            </w:r>
          </w:p>
        </w:tc>
        <w:tc>
          <w:tcPr>
            <w:tcW w:w="1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134,923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92,274</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120,055</w:t>
            </w:r>
          </w:p>
        </w:tc>
        <w:tc>
          <w:tcPr>
            <w:tcW w:w="100" w:type="dxa"/>
            <w:vAlign w:val="bottom"/>
            <w:shd w:val="clear" w:color="auto" w:fill="CFF0FC"/>
          </w:tcPr>
          <w:p>
            <w:pPr>
              <w:spacing w:after="0"/>
              <w:rPr>
                <w:sz w:val="19"/>
                <w:szCs w:val="19"/>
                <w:color w:val="auto"/>
              </w:rPr>
            </w:pPr>
          </w:p>
        </w:tc>
      </w:tr>
      <w:tr>
        <w:trPr>
          <w:trHeight w:val="226"/>
        </w:trPr>
        <w:tc>
          <w:tcPr>
            <w:tcW w:w="37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Rivers &amp; lakes</w:t>
            </w:r>
          </w:p>
        </w:tc>
        <w:tc>
          <w:tcPr>
            <w:tcW w:w="15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38,747</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50,826</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30,137</w:t>
            </w:r>
          </w:p>
        </w:tc>
        <w:tc>
          <w:tcPr>
            <w:tcW w:w="100" w:type="dxa"/>
            <w:vAlign w:val="bottom"/>
            <w:tcBorders>
              <w:bottom w:val="single" w:sz="8" w:color="CFF0FC"/>
            </w:tcBorders>
          </w:tcPr>
          <w:p>
            <w:pPr>
              <w:spacing w:after="0"/>
              <w:rPr>
                <w:sz w:val="19"/>
                <w:szCs w:val="19"/>
                <w:color w:val="auto"/>
              </w:rPr>
            </w:pPr>
          </w:p>
        </w:tc>
      </w:tr>
      <w:tr>
        <w:trPr>
          <w:trHeight w:val="221"/>
        </w:trPr>
        <w:tc>
          <w:tcPr>
            <w:tcW w:w="37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dredging revenues</w:t>
            </w:r>
          </w:p>
        </w:tc>
        <w:tc>
          <w:tcPr>
            <w:tcW w:w="1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592,159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637,468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681,255</w:t>
            </w:r>
          </w:p>
        </w:tc>
        <w:tc>
          <w:tcPr>
            <w:tcW w:w="100" w:type="dxa"/>
            <w:vAlign w:val="bottom"/>
            <w:shd w:val="clear" w:color="auto" w:fill="CFF0FC"/>
          </w:tcPr>
          <w:p>
            <w:pPr>
              <w:spacing w:after="0"/>
              <w:rPr>
                <w:sz w:val="19"/>
                <w:szCs w:val="19"/>
                <w:color w:val="auto"/>
              </w:rPr>
            </w:pPr>
          </w:p>
        </w:tc>
      </w:tr>
      <w:tr>
        <w:trPr>
          <w:trHeight w:val="226"/>
        </w:trPr>
        <w:tc>
          <w:tcPr>
            <w:tcW w:w="3760" w:type="dxa"/>
            <w:vAlign w:val="bottom"/>
          </w:tcPr>
          <w:p>
            <w:pPr>
              <w:spacing w:after="0"/>
              <w:rPr>
                <w:sz w:val="20"/>
                <w:szCs w:val="20"/>
                <w:color w:val="auto"/>
              </w:rPr>
            </w:pPr>
            <w:r>
              <w:rPr>
                <w:rFonts w:ascii="Arial" w:cs="Arial" w:eastAsia="Arial" w:hAnsi="Arial"/>
                <w:sz w:val="18"/>
                <w:szCs w:val="18"/>
                <w:color w:val="auto"/>
              </w:rPr>
              <w:t>Environmental &amp; infrastructure</w:t>
            </w: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112,607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133,637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181,710</w:t>
            </w:r>
          </w:p>
        </w:tc>
        <w:tc>
          <w:tcPr>
            <w:tcW w:w="100" w:type="dxa"/>
            <w:vAlign w:val="bottom"/>
          </w:tcPr>
          <w:p>
            <w:pPr>
              <w:spacing w:after="0"/>
              <w:rPr>
                <w:sz w:val="19"/>
                <w:szCs w:val="19"/>
                <w:color w:val="auto"/>
              </w:rPr>
            </w:pPr>
          </w:p>
        </w:tc>
      </w:tr>
      <w:tr>
        <w:trPr>
          <w:trHeight w:val="227"/>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Intersegment revenue</w:t>
            </w:r>
          </w:p>
        </w:tc>
        <w:tc>
          <w:tcPr>
            <w:tcW w:w="1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(2,263)</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(3,520)</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(6,087)</w:t>
            </w:r>
          </w:p>
        </w:tc>
      </w:tr>
      <w:tr>
        <w:trPr>
          <w:trHeight w:val="219"/>
        </w:trPr>
        <w:tc>
          <w:tcPr>
            <w:tcW w:w="3760" w:type="dxa"/>
            <w:vAlign w:val="bottom"/>
          </w:tcPr>
          <w:p>
            <w:pPr>
              <w:spacing w:after="0"/>
              <w:rPr>
                <w:sz w:val="20"/>
                <w:szCs w:val="20"/>
                <w:color w:val="auto"/>
              </w:rPr>
            </w:pPr>
            <w:r>
              <w:rPr>
                <w:rFonts w:ascii="Arial" w:cs="Arial" w:eastAsia="Arial" w:hAnsi="Arial"/>
                <w:sz w:val="18"/>
                <w:szCs w:val="18"/>
                <w:color w:val="auto"/>
              </w:rPr>
              <w:t>Total revenues</w:t>
            </w:r>
          </w:p>
        </w:tc>
        <w:tc>
          <w:tcPr>
            <w:tcW w:w="15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702,503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767,585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856,878</w:t>
            </w:r>
          </w:p>
        </w:tc>
        <w:tc>
          <w:tcPr>
            <w:tcW w:w="100" w:type="dxa"/>
            <w:vAlign w:val="bottom"/>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268" w:right="259" w:bottom="1440" w:gutter="0" w:footer="0" w:header="0"/>
        </w:sectPr>
      </w:pPr>
    </w:p>
    <w:bookmarkStart w:id="40" w:name="page41"/>
    <w:bookmarkEnd w:id="40"/>
    <w:p>
      <w:pPr>
        <w:ind w:left="520"/>
        <w:spacing w:after="0"/>
        <w:rPr>
          <w:sz w:val="20"/>
          <w:szCs w:val="20"/>
          <w:color w:val="auto"/>
        </w:rPr>
      </w:pPr>
      <w:r>
        <w:rPr>
          <w:rFonts w:ascii="Arial" w:cs="Arial" w:eastAsia="Arial" w:hAnsi="Arial"/>
          <w:sz w:val="18"/>
          <w:szCs w:val="18"/>
          <w:b w:val="1"/>
          <w:bCs w:val="1"/>
          <w:color w:val="auto"/>
        </w:rPr>
        <w:t>Year Ended December 31, 2017 Compared to Year Ended December 31, 2016</w:t>
      </w:r>
    </w:p>
    <w:p>
      <w:pPr>
        <w:spacing w:after="0" w:line="119" w:lineRule="exact"/>
        <w:rPr>
          <w:sz w:val="20"/>
          <w:szCs w:val="20"/>
          <w:color w:val="auto"/>
        </w:rPr>
      </w:pPr>
    </w:p>
    <w:p>
      <w:pPr>
        <w:ind w:right="140" w:firstLine="518"/>
        <w:spacing w:after="0" w:line="270" w:lineRule="auto"/>
        <w:rPr>
          <w:sz w:val="20"/>
          <w:szCs w:val="20"/>
          <w:color w:val="auto"/>
        </w:rPr>
      </w:pPr>
      <w:r>
        <w:rPr>
          <w:rFonts w:ascii="Arial" w:cs="Arial" w:eastAsia="Arial" w:hAnsi="Arial"/>
          <w:sz w:val="17"/>
          <w:szCs w:val="17"/>
          <w:color w:val="auto"/>
        </w:rPr>
        <w:t>Total revenue was $702.5 million in 2017, a decrease of $65.1 million, or 8.5%, from 2016 total revenue of $767.6 million. The decrease was largely attributable to a decline in domestic and foreign capital, coastal protection, environmental &amp; infrastructure and rivers &amp; lakes revenues during 2017 as compared to the prior year. These decreases were partially offset by an increase in revenues from maintenance projects during the year ended December 31, 2017 as compared to 2016. The Company categorizes revenue by service type to understand the market in which the Company operates and to assess how the Company is performing on bidding work or projects and is generating revenue from backlog.</w:t>
      </w:r>
    </w:p>
    <w:p>
      <w:pPr>
        <w:spacing w:after="0" w:line="181" w:lineRule="exact"/>
        <w:rPr>
          <w:sz w:val="20"/>
          <w:szCs w:val="20"/>
          <w:color w:val="auto"/>
        </w:rPr>
      </w:pPr>
    </w:p>
    <w:p>
      <w:pPr>
        <w:ind w:right="60" w:firstLine="518"/>
        <w:spacing w:after="0" w:line="267" w:lineRule="auto"/>
        <w:rPr>
          <w:sz w:val="20"/>
          <w:szCs w:val="20"/>
          <w:color w:val="auto"/>
        </w:rPr>
      </w:pPr>
      <w:r>
        <w:rPr>
          <w:rFonts w:ascii="Arial" w:cs="Arial" w:eastAsia="Arial" w:hAnsi="Arial"/>
          <w:sz w:val="17"/>
          <w:szCs w:val="17"/>
          <w:color w:val="auto"/>
        </w:rPr>
        <w:t>Domestic capital dredging revenues decreased $34.8 million, or 15.8%, to $185.1 million in 2017 compared to 2016 revenues of $219.9 million. The decrease in domestic capital dredging revenue was mostly attributable to a greater amount of revenue earned on the Savannah Harbor deepening project, a liquefied natural gas (“LNG”) project in Texas and a deepening project on the Delaware River during the year ended 2016 when compared to 2017. The Company experienced delays associated with Hurricane Harvey, Irma, Maria and Jose which caused work stoppage on the Company’s projects in the impacted areas. The decline in revenue from these projects was partially offset by revenue earned during the current year from coastal restoration projects in Louisiana and Mississippi as well as revenue from the initial stages of mobilization on a deepening project in South Carolina. In 2017, the Company earned 72% of its backlog carried forward from December 31, 2016.</w:t>
      </w:r>
    </w:p>
    <w:p>
      <w:pPr>
        <w:spacing w:after="0" w:line="185"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Revenues from foreign dredging operations in 2017 totaled $42.3 million, a decrease of $17.1 million, or 28.8%, from 2016 revenues of $59.4 million. Foreign dredging revenue in 2017 was down compared to 2016 due to a greater amount of revenue earned on projects in Saudi Arabia, Brazil and Bahrain during the prior year. The Company earned 100% of its backlog carried forward from December 31, 2016.</w:t>
      </w:r>
    </w:p>
    <w:p>
      <w:pPr>
        <w:spacing w:after="0" w:line="188"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Coastal protection revenues were $191.1 million in 2017, a decrease of $23.9 million, or 11.1%, from $215.0 million in 2016. For the year ended December 31, 2017, the decrease in coastal protection revenue was the result of a greater amount of revenue earned in the prior year on large projects in New Jersey and New York for the repair of shorelines damaged as a result of Superstorm Sandy and winter storms as compared to 2017. Further, a greater amount of revenue was earned on projects in Florida during the prior year as compared to the current year. These negative impacts on revenue were partially offset by greater revenue earned on coastal protection projects in Virginia, North Carolina, South Carolina and Maryland during the current year as compared to 2016. The Company earned 100% of its backlog carried forward from December 31, 2016.</w:t>
      </w:r>
    </w:p>
    <w:p>
      <w:pPr>
        <w:spacing w:after="0" w:line="179" w:lineRule="exact"/>
        <w:rPr>
          <w:sz w:val="20"/>
          <w:szCs w:val="20"/>
          <w:color w:val="auto"/>
        </w:rPr>
      </w:pPr>
    </w:p>
    <w:p>
      <w:pPr>
        <w:ind w:right="260" w:firstLine="518"/>
        <w:spacing w:after="0" w:line="295" w:lineRule="auto"/>
        <w:rPr>
          <w:sz w:val="20"/>
          <w:szCs w:val="20"/>
          <w:color w:val="auto"/>
        </w:rPr>
      </w:pPr>
      <w:r>
        <w:rPr>
          <w:rFonts w:ascii="Arial" w:cs="Arial" w:eastAsia="Arial" w:hAnsi="Arial"/>
          <w:sz w:val="16"/>
          <w:szCs w:val="16"/>
          <w:color w:val="auto"/>
        </w:rPr>
        <w:t>Revenues from maintenance dredging projects in 2017 were $134.9 million, an increase of $42.6 million, or 46.2%, from $92.3 million in 2016. The increase in maintenance revenue during the current year was largely attributable to work on two large projects in Delaware in addition to projects in Florida, North Carolina, Oregon and California. The increase in revenue from these projects in the current year was partially offset by a greater amount of revenue earned on projects in Pennsylvania and Florida during the prior year. The Company earned 100% of its backlog carried forward from December 31, 2016.</w:t>
      </w:r>
    </w:p>
    <w:p>
      <w:pPr>
        <w:spacing w:after="0" w:line="162" w:lineRule="exact"/>
        <w:rPr>
          <w:sz w:val="20"/>
          <w:szCs w:val="20"/>
          <w:color w:val="auto"/>
        </w:rPr>
      </w:pPr>
    </w:p>
    <w:p>
      <w:pPr>
        <w:jc w:val="both"/>
        <w:ind w:right="40" w:firstLine="518"/>
        <w:spacing w:after="0" w:line="254" w:lineRule="auto"/>
        <w:rPr>
          <w:sz w:val="20"/>
          <w:szCs w:val="20"/>
          <w:color w:val="auto"/>
        </w:rPr>
      </w:pPr>
      <w:r>
        <w:rPr>
          <w:rFonts w:ascii="Arial" w:cs="Arial" w:eastAsia="Arial" w:hAnsi="Arial"/>
          <w:sz w:val="18"/>
          <w:szCs w:val="18"/>
          <w:color w:val="auto"/>
        </w:rPr>
        <w:t>Rivers &amp; lakes revenues were $38.7 million for 2017, a decrease of $12.1 million, or 23.8%, from $50.8 million in 2016. A greater amount of revenue earned on a reservoir project in Kansas and a large lake project in Illinois in 2016 resulted in a decrease in revenue for the year ended December 31, 2017. The decrease in revenue was partially offset by revenue earned on projects in Florida and New Jersey during 2017. The Company earned 63% of its backlog carried forward from December 31, 2016.</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environmental &amp; infrastructure segment recorded revenues of $112.6 million for the year ended December 31, 2017, down 15.7% compared to</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$133.6 million for the year ended December 31, 2016. The decline in revenue during the current year was largely attributable to revenue earned on a large mine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project in Washington during 2016 that did not recur in 2017. Further, the Company earned a greater amount of revenue in the segment’s services lines of</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business in the prior year as these services lines did not operate during 2017. Revenue earned on remediation projects in Florida, New Jersey and Colorado and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geotechnical projects in California during the current year partially offset the declines in revenue noted above. The Company earned 91% of its backlog carried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forward from December 31, 2016.</w:t>
      </w:r>
    </w:p>
    <w:p>
      <w:pPr>
        <w:spacing w:after="0" w:line="209" w:lineRule="exact"/>
        <w:rPr>
          <w:sz w:val="20"/>
          <w:szCs w:val="20"/>
          <w:color w:val="auto"/>
        </w:rPr>
      </w:pPr>
    </w:p>
    <w:p>
      <w:pPr>
        <w:ind w:firstLine="518"/>
        <w:spacing w:after="0" w:line="266" w:lineRule="auto"/>
        <w:rPr>
          <w:sz w:val="20"/>
          <w:szCs w:val="20"/>
          <w:color w:val="auto"/>
        </w:rPr>
      </w:pPr>
      <w:r>
        <w:rPr>
          <w:rFonts w:ascii="Arial" w:cs="Arial" w:eastAsia="Arial" w:hAnsi="Arial"/>
          <w:sz w:val="17"/>
          <w:szCs w:val="17"/>
          <w:color w:val="auto"/>
        </w:rPr>
        <w:t>Consolidated gross profit for the year ended December 31, 2017 decreased by $36.5 million, or 42.3%, to $49.9 million from $86.4 million for the year ended December 31, 2016. Gross profit margin (gross profit divided by revenue) for the full year 2017 was 7.1%, lower than prior year gross profit margin of 11.3%. The lower gross profit for 2017 was driven by restructuring charges incurred during the current year. The Company recorded $23.0 million of additional cost of contract revenues related to restructuring which negatively impacted margin for the year ended December 31, 2017. The majority of this amount is related to asset retirement charges of $15.8 million and $6.4 million of pre-contract costs incurred on a project that was never formally awarded and that the Company no longer plans to pursue. Further, the Company experienced lower contract margin in the dredging segment, specifically on the Company’s smaller domestic inland projects, and decreased absorption of fixed costs due to lower utilization of the fleet during the current year as compared to 2016. Further, the environmental &amp; infrastructure segment also experienced a project loss of $6.1 million during the current year that negatively impacted gross profit in 2017. These decreases were slightly offset by lower overhead</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161" w:right="279" w:bottom="1440" w:gutter="0" w:footer="0" w:header="0"/>
        </w:sectPr>
      </w:pPr>
    </w:p>
    <w:bookmarkStart w:id="41" w:name="page42"/>
    <w:bookmarkEnd w:id="41"/>
    <w:p>
      <w:pPr>
        <w:ind w:right="80"/>
        <w:spacing w:after="0" w:line="267" w:lineRule="auto"/>
        <w:rPr>
          <w:sz w:val="20"/>
          <w:szCs w:val="20"/>
          <w:color w:val="auto"/>
        </w:rPr>
      </w:pPr>
      <w:r>
        <w:rPr>
          <w:rFonts w:ascii="Arial" w:cs="Arial" w:eastAsia="Arial" w:hAnsi="Arial"/>
          <w:sz w:val="18"/>
          <w:szCs w:val="18"/>
          <w:color w:val="auto"/>
        </w:rPr>
        <w:t>in the environmental &amp; infrastructure segment during 2017, primarily related to the service lines of the environmental &amp; infrastructure segment’s business that did not operate during the current year.</w:t>
      </w:r>
    </w:p>
    <w:p>
      <w:pPr>
        <w:spacing w:after="0" w:line="180" w:lineRule="exact"/>
        <w:rPr>
          <w:sz w:val="20"/>
          <w:szCs w:val="20"/>
          <w:color w:val="auto"/>
        </w:rPr>
      </w:pPr>
    </w:p>
    <w:p>
      <w:pPr>
        <w:ind w:firstLine="518"/>
        <w:spacing w:after="0" w:line="281" w:lineRule="auto"/>
        <w:rPr>
          <w:sz w:val="20"/>
          <w:szCs w:val="20"/>
          <w:color w:val="auto"/>
        </w:rPr>
      </w:pPr>
      <w:r>
        <w:rPr>
          <w:rFonts w:ascii="Arial" w:cs="Arial" w:eastAsia="Arial" w:hAnsi="Arial"/>
          <w:sz w:val="16"/>
          <w:szCs w:val="16"/>
          <w:color w:val="auto"/>
        </w:rPr>
        <w:t>General and administrative expenses totaled $68.3 million for the year ended December 31, 2017, up from $65.5 million for the year ended December 31, 2016. The overall increase in general and administrative expense for the full year 2017 as compared to 2016 was largely attributable to the reduction of the remaining fair value of the Great Lakes Environmental &amp; Infrastructure (“Great Lakes E&amp;I”) contingent earnout by $8.0 million to zero during the prior year. An increase in technical and consulting fees of $2.4 million during 2017 also contributed to the year over year increase. The increase in general and administrative expenses was partially offset by a $4.5 million decrease in payroll and benefits expenses, mostly related to the service lines of the environmental</w:t>
      </w:r>
    </w:p>
    <w:p>
      <w:pPr>
        <w:spacing w:after="0" w:line="1" w:lineRule="exact"/>
        <w:rPr>
          <w:sz w:val="20"/>
          <w:szCs w:val="20"/>
          <w:color w:val="auto"/>
        </w:rPr>
      </w:pPr>
    </w:p>
    <w:p>
      <w:pPr>
        <w:jc w:val="both"/>
        <w:ind w:right="380" w:firstLine="7"/>
        <w:spacing w:after="0" w:line="297" w:lineRule="auto"/>
        <w:tabs>
          <w:tab w:leader="none" w:pos="183"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infrastructure segment’s business that did not operate during 2017, legal and professional fees of $2.1 million, amortization expense of $0.7 million and personnel and recruiting costs of $0.4 million. General and administrative expense for the year ended December 31, 2017 includes $1.8 million of charges associated with restructuring, mostly related to severance but was offset by the decrease in payroll and benefits expense, as noted above.</w:t>
      </w:r>
    </w:p>
    <w:p>
      <w:pPr>
        <w:spacing w:after="0" w:line="159" w:lineRule="exact"/>
        <w:rPr>
          <w:sz w:val="20"/>
          <w:szCs w:val="20"/>
          <w:color w:val="auto"/>
        </w:rPr>
      </w:pPr>
    </w:p>
    <w:p>
      <w:pPr>
        <w:ind w:right="40" w:firstLine="761"/>
        <w:spacing w:after="0" w:line="273" w:lineRule="auto"/>
        <w:rPr>
          <w:sz w:val="20"/>
          <w:szCs w:val="20"/>
          <w:color w:val="auto"/>
        </w:rPr>
      </w:pPr>
      <w:r>
        <w:rPr>
          <w:rFonts w:ascii="Arial" w:cs="Arial" w:eastAsia="Arial" w:hAnsi="Arial"/>
          <w:sz w:val="17"/>
          <w:szCs w:val="17"/>
          <w:color w:val="auto"/>
        </w:rPr>
        <w:t>Operating loss for the year ended December 31, 2017 was $23.5 million compared to operating income of $14.7 million for the year ended December 31, 2016. The change in operating income during the current year was driven by restructuring charges incurred during 2017, as noted above. During the current year, the Company recorded a $5.1 million loss to (gain) loss on sale of assets, mostly related to asset restructuring charges. In comparison, the Company recorded a loss of $6.2 million to (gain) loss on sale of assets for the year ended December 31, 2016.</w:t>
      </w:r>
    </w:p>
    <w:p>
      <w:pPr>
        <w:spacing w:after="0" w:line="177" w:lineRule="exact"/>
        <w:rPr>
          <w:sz w:val="20"/>
          <w:szCs w:val="20"/>
          <w:color w:val="auto"/>
        </w:rPr>
      </w:pPr>
    </w:p>
    <w:p>
      <w:pPr>
        <w:ind w:right="160" w:firstLine="518"/>
        <w:spacing w:after="0" w:line="273" w:lineRule="auto"/>
        <w:rPr>
          <w:sz w:val="20"/>
          <w:szCs w:val="20"/>
          <w:color w:val="auto"/>
        </w:rPr>
      </w:pPr>
      <w:r>
        <w:rPr>
          <w:rFonts w:ascii="Arial" w:cs="Arial" w:eastAsia="Arial" w:hAnsi="Arial"/>
          <w:sz w:val="17"/>
          <w:szCs w:val="17"/>
          <w:color w:val="auto"/>
        </w:rPr>
        <w:t>Equity in loss of joint ventures for the year ended December 31, 2017 was $1.5 million compared to equity in loss of joint ventures of $2.4 million for the year ended December 31, 2016. During 2017, the Company and the partner of the TerraSea joint venture agreed to a final resolution of the net advances through additional funding of the joint venture. As a result of this agreement, the Company recorded additional losses of $1.5 million during the year ended December 31, 2017. The TerraSea, Amboy and Lower Main joint ventures were dissolved in 2017.</w:t>
      </w:r>
    </w:p>
    <w:p>
      <w:pPr>
        <w:spacing w:after="0" w:line="177" w:lineRule="exact"/>
        <w:rPr>
          <w:sz w:val="20"/>
          <w:szCs w:val="20"/>
          <w:color w:val="auto"/>
        </w:rPr>
      </w:pPr>
    </w:p>
    <w:p>
      <w:pPr>
        <w:ind w:right="40" w:firstLine="518"/>
        <w:spacing w:after="0" w:line="295" w:lineRule="auto"/>
        <w:rPr>
          <w:sz w:val="20"/>
          <w:szCs w:val="20"/>
          <w:color w:val="auto"/>
        </w:rPr>
      </w:pPr>
      <w:r>
        <w:rPr>
          <w:rFonts w:ascii="Arial" w:cs="Arial" w:eastAsia="Arial" w:hAnsi="Arial"/>
          <w:sz w:val="16"/>
          <w:szCs w:val="16"/>
          <w:color w:val="auto"/>
        </w:rPr>
        <w:t>The Company’s net interest expense for 2017 totaled $26.0 million compared with $22.9 million in 2016. The increase in interest expense was largely attributable to interest expense related to the higher principal on the Company’s new senior notes and higher interest expense associated with the Company’s senior secured revolving credit facility, which had a greater amount outstanding during the current year. The increase in interest expense was partially offset by a decrease in expense related to the Company’s senior secured term loan facility, which was paid in full during the fourth quarter of 2016.</w:t>
      </w:r>
    </w:p>
    <w:p>
      <w:pPr>
        <w:spacing w:after="0" w:line="162" w:lineRule="exact"/>
        <w:rPr>
          <w:sz w:val="20"/>
          <w:szCs w:val="20"/>
          <w:color w:val="auto"/>
        </w:rPr>
      </w:pPr>
    </w:p>
    <w:p>
      <w:pPr>
        <w:ind w:right="220" w:firstLine="518"/>
        <w:spacing w:after="0" w:line="279" w:lineRule="auto"/>
        <w:rPr>
          <w:sz w:val="20"/>
          <w:szCs w:val="20"/>
          <w:color w:val="auto"/>
        </w:rPr>
      </w:pPr>
      <w:r>
        <w:rPr>
          <w:rFonts w:ascii="Arial" w:cs="Arial" w:eastAsia="Arial" w:hAnsi="Arial"/>
          <w:sz w:val="17"/>
          <w:szCs w:val="17"/>
          <w:color w:val="auto"/>
        </w:rPr>
        <w:t>Income tax benefit in 2017 was $35.6 million, up from an income tax benefit of $5.8 million in 2016. Of this $29.8 million change, $15.7 million is attributable the recent Tax Cuts and Jobs Act enacted in the fourth quarter of 2017. The balance is primarily related to the lower pretax net income described above, partially offset by the prior year revision of the deferred state tax rate which provided an additional benefit in 2016,</w:t>
      </w:r>
    </w:p>
    <w:p>
      <w:pPr>
        <w:spacing w:after="0" w:line="172" w:lineRule="exact"/>
        <w:rPr>
          <w:sz w:val="20"/>
          <w:szCs w:val="20"/>
          <w:color w:val="auto"/>
        </w:rPr>
      </w:pPr>
    </w:p>
    <w:p>
      <w:pPr>
        <w:ind w:right="100" w:firstLine="518"/>
        <w:spacing w:after="0" w:line="269" w:lineRule="auto"/>
        <w:rPr>
          <w:sz w:val="20"/>
          <w:szCs w:val="20"/>
          <w:color w:val="auto"/>
        </w:rPr>
      </w:pPr>
      <w:r>
        <w:rPr>
          <w:rFonts w:ascii="Arial" w:cs="Arial" w:eastAsia="Arial" w:hAnsi="Arial"/>
          <w:sz w:val="17"/>
          <w:szCs w:val="17"/>
          <w:color w:val="auto"/>
        </w:rPr>
        <w:t>For the year ended December 31, 2017, net loss from continuing operations was $18.6 million compared to $8.2 million for the year ended December 31, 2016. The change in net loss from continuing operations was negatively impacted by a decrease in operating income and increased interest expense during 2017, as described above. Further contributing to the net loss from continuing operations was a $2.3 million loss on extinguishment of debt related to the Company’s new senior notes issued during the current year. These items were partially offset by the positive change in equity loss of joint ventures, as noted above and a positive change in other expense of $2.6 million, mostly related to expenses incurred at the Company’s historical environmental &amp; infrastructure business in 2016 that did not repeat during the current year.</w:t>
      </w:r>
    </w:p>
    <w:p>
      <w:pPr>
        <w:spacing w:after="0" w:line="179"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Adjusted EBITDA from continuing operations (as defined and reconciled on page 38) was $34.7 million and $72.0 million for the years ended December 31, 2017 and 2016, respectively. Restructuring charges incurred during the current year drove the decrease of $37.3 million, or 51.8%. Additionally, other changes in consolidated gross profit and in general and administrative described above negatively impacted current year EBITDA from continuing operations when compared to 2016. These negative impacts on EBITDA from continuing operations were slightly offset by the positive changes in (gain) loss on sale of assets, equity in loss of joint ventures, and other expense, as described above.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Results by segment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Dredging</w:t>
      </w:r>
    </w:p>
    <w:p>
      <w:pPr>
        <w:spacing w:after="0" w:line="113" w:lineRule="exact"/>
        <w:rPr>
          <w:sz w:val="20"/>
          <w:szCs w:val="20"/>
          <w:color w:val="auto"/>
        </w:rPr>
      </w:pPr>
    </w:p>
    <w:p>
      <w:pPr>
        <w:jc w:val="both"/>
        <w:ind w:firstLine="518"/>
        <w:spacing w:after="0" w:line="252" w:lineRule="auto"/>
        <w:rPr>
          <w:sz w:val="20"/>
          <w:szCs w:val="20"/>
          <w:color w:val="auto"/>
        </w:rPr>
      </w:pPr>
      <w:r>
        <w:rPr>
          <w:rFonts w:ascii="Arial" w:cs="Arial" w:eastAsia="Arial" w:hAnsi="Arial"/>
          <w:sz w:val="18"/>
          <w:szCs w:val="18"/>
          <w:color w:val="auto"/>
        </w:rPr>
        <w:t>Dredging revenues for the year ended December 31, 2017 were $592.2 million a decrease of $45.3 million, or 7.1%, compared to $637.5 million for the year ended December 31, 2016. The decline in revenue during the current year was the result of lower foreign and domestic capital revenues, coastal protection revenues and rivers &amp; lakes revenues as compared to the prior year. These decreases were partially offset by improvements in maintenance revenues during the year ended December 31, 2017. The decrease in dredging revenue for the year ended December 31, 2017 was driven by a greater amount of revenue earned in the prior year on large</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42" w:name="page43"/>
    <w:bookmarkEnd w:id="42"/>
    <w:p>
      <w:pPr>
        <w:jc w:val="both"/>
        <w:spacing w:after="0" w:line="281" w:lineRule="auto"/>
        <w:rPr>
          <w:sz w:val="20"/>
          <w:szCs w:val="20"/>
          <w:color w:val="auto"/>
        </w:rPr>
      </w:pPr>
      <w:r>
        <w:rPr>
          <w:rFonts w:ascii="Arial" w:cs="Arial" w:eastAsia="Arial" w:hAnsi="Arial"/>
          <w:sz w:val="16"/>
          <w:szCs w:val="16"/>
          <w:color w:val="auto"/>
        </w:rPr>
        <w:t>coastal protection projects in New Jersey and New York for the repair of shorelines damaged as a result of Superstorm Sandy and winter storms. Further, greater amounts of revenue were earned on the Savannah Harbor deepening project, an LNG project in Texas and a deepening project on the Delaware River during the year ended 2016 when compared to 2017. The Company experienced an increase in maintenance revenue during the current year, largely attributable to work on two large projects in Delaware in addition to projects in Florida, North Carolina, Oregon and California which partially offset the decreases noted above.</w:t>
      </w:r>
    </w:p>
    <w:p>
      <w:pPr>
        <w:spacing w:after="0" w:line="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Dredging revenues in the current year included coastal restoration projects in Louisiana and Mississippi as well as revenue from the initial stages of mobilization on a deepening project in South Carolina. Coastal protection projects in Virginia, North Carolina, South Carolina and Maryland also contributed to revenue for the year ended December 31, 2017.</w:t>
      </w:r>
    </w:p>
    <w:p>
      <w:pPr>
        <w:spacing w:after="0" w:line="86" w:lineRule="exact"/>
        <w:rPr>
          <w:sz w:val="20"/>
          <w:szCs w:val="20"/>
          <w:color w:val="auto"/>
        </w:rPr>
      </w:pPr>
    </w:p>
    <w:p>
      <w:pPr>
        <w:ind w:right="140" w:firstLine="518"/>
        <w:spacing w:after="0" w:line="287" w:lineRule="auto"/>
        <w:rPr>
          <w:sz w:val="20"/>
          <w:szCs w:val="20"/>
          <w:color w:val="auto"/>
        </w:rPr>
      </w:pPr>
      <w:r>
        <w:rPr>
          <w:rFonts w:ascii="Arial" w:cs="Arial" w:eastAsia="Arial" w:hAnsi="Arial"/>
          <w:sz w:val="16"/>
          <w:szCs w:val="16"/>
          <w:color w:val="auto"/>
        </w:rPr>
        <w:t>Dredging segment gross profit in 2017 decreased 49.9% to $42.7 million from $85.3 million in 2016, and dredging segment gross profit margin (dredging gross profit divided by dredging revenue) was 7.2% in 2017, a decrease from 13.4% in 2016. The lower dredging segment gross profit for 2017 was driven by restructuring charges incurred during the current year. The Company recorded $23.0 million of additional cost of contract revenues related to restructuring which negatively impacted margin for the year ended December 31, 2017. The majority of this amount is related to asset retirement charges of $15.8 million and $6.4 million of pre-contract costs incurred on a project that was never formally awarded and that the Company no longer plans to pursue. Further, the Company experienced lower contract margin in the dredging segment, specifically on the Company’s smaller domestic inland projects, and decreased absorption of fixed costs due to lower utilization of the fleet during the current year as compared to 2016.</w:t>
      </w:r>
    </w:p>
    <w:p>
      <w:pPr>
        <w:spacing w:after="0" w:line="60" w:lineRule="exact"/>
        <w:rPr>
          <w:sz w:val="20"/>
          <w:szCs w:val="20"/>
          <w:color w:val="auto"/>
        </w:rPr>
      </w:pPr>
    </w:p>
    <w:p>
      <w:pPr>
        <w:ind w:right="40" w:firstLine="518"/>
        <w:spacing w:after="0" w:line="251" w:lineRule="auto"/>
        <w:rPr>
          <w:sz w:val="20"/>
          <w:szCs w:val="20"/>
          <w:color w:val="auto"/>
        </w:rPr>
      </w:pPr>
      <w:r>
        <w:rPr>
          <w:rFonts w:ascii="Arial" w:cs="Arial" w:eastAsia="Arial" w:hAnsi="Arial"/>
          <w:sz w:val="18"/>
          <w:szCs w:val="18"/>
          <w:color w:val="auto"/>
        </w:rPr>
        <w:t>Dredging segment operating income declined 139.3% to an operating loss of $13.4 million in 2017, from operating income of $34.1 million in 2016 as a result of restructuring charges incurred during the current year, as described above. Dredging segment operating income was negatively impacted by a $4.7 million loss recorded to (gain) loss on the sale of assets during 2017, mostly related to asset restructuring charges. An increase in technical and consulting fees and a one-time charge of $1.2 million related to severance also contributed to the change in dredging segment operating income during the current year. The decrease in dredging segment operating income was partially offset by a decrease in legal and professional fees of $2.4 million for the year ended December, 31, 2017.</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&amp; infrastructure</w:t>
      </w:r>
    </w:p>
    <w:p>
      <w:pPr>
        <w:spacing w:after="0" w:line="220" w:lineRule="exact"/>
        <w:rPr>
          <w:sz w:val="20"/>
          <w:szCs w:val="20"/>
          <w:color w:val="auto"/>
        </w:rPr>
      </w:pPr>
    </w:p>
    <w:p>
      <w:pPr>
        <w:ind w:right="140" w:firstLine="518"/>
        <w:spacing w:after="0" w:line="252" w:lineRule="auto"/>
        <w:rPr>
          <w:sz w:val="20"/>
          <w:szCs w:val="20"/>
          <w:color w:val="auto"/>
        </w:rPr>
      </w:pPr>
      <w:r>
        <w:rPr>
          <w:rFonts w:ascii="Arial" w:cs="Arial" w:eastAsia="Arial" w:hAnsi="Arial"/>
          <w:sz w:val="18"/>
          <w:szCs w:val="18"/>
          <w:color w:val="auto"/>
        </w:rPr>
        <w:t>The environmental &amp; infrastructure segment recorded revenues in 2017 of $112.6 million, a $21.0 million, or 15.7%, decrease from $133.6 million in 2016. The decline in revenue during the current year was largely attributable to revenue earned on a large mine project in Washington during 2016 that did not recur in 2017. Further, the Company earned a greater amount of revenue in the segment’s services lines of business in the prior year as these services lines did not operate during 2017. Revenue earned on remediation projects in Florida, New Jersey and Colorado and geotechnical projects in California during the current year partially offset the declines in revenue noted above.</w:t>
      </w:r>
    </w:p>
    <w:p>
      <w:pPr>
        <w:spacing w:after="0" w:line="87"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The environmental &amp; infrastructure segment experienced gross profit of $7.2 million for year ended December 31, 2017, up $6.1 million from gross profit of $1.0 million for the year ended December 31, 2016, with a gross profit margin of 6.4% and 0.8%, respectively. The increase in gross profit was driven by lower overhead in the environmental &amp; infrastructure segment during 2017, primarily related to the service lines of the environmental &amp; infrastructure segment’s business that did not operate during the current year. Partially offsetting this increase, the environmental &amp; infrastructure segment experienced a project loss of $6.1 million during the current year that negatively impact gross profit in 2017.</w:t>
      </w:r>
    </w:p>
    <w:p>
      <w:pPr>
        <w:spacing w:after="0" w:line="181" w:lineRule="exact"/>
        <w:rPr>
          <w:sz w:val="20"/>
          <w:szCs w:val="20"/>
          <w:color w:val="auto"/>
        </w:rPr>
      </w:pPr>
    </w:p>
    <w:p>
      <w:pPr>
        <w:ind w:right="40" w:firstLine="518"/>
        <w:spacing w:after="0" w:line="284" w:lineRule="auto"/>
        <w:rPr>
          <w:sz w:val="20"/>
          <w:szCs w:val="20"/>
          <w:color w:val="auto"/>
        </w:rPr>
      </w:pPr>
      <w:r>
        <w:rPr>
          <w:rFonts w:ascii="Arial" w:cs="Arial" w:eastAsia="Arial" w:hAnsi="Arial"/>
          <w:sz w:val="16"/>
          <w:szCs w:val="16"/>
          <w:color w:val="auto"/>
        </w:rPr>
        <w:t>Environmental &amp; infrastructure segment operating loss was $10.2 million for 2017, compared to $19.4 million in 2016. The change in operating loss was mostly attributable to the higher segment gross profit described above. Higher gross profit was partially offset by an increase in general and administrative expenses during the current year. During the prior year, the Company reduced the remaining fair value of the Great Lakes E&amp;I contingent earnout by $8.0 million to zero which contributed to the change in the environmental &amp; infrastructure operating loss for 2017 when compared to 2016. The Company incurred a one-time charge of $0.6 million related to severance during the current year which was offset by a decrease in payroll and benefits costs, related to the service lines of the environmental &amp; infrastructure segment’s business that did not operate during 2017. The environmental &amp; infrastructure segment experienced a decrease in amortization expense of $0.7 million which partially offset the increase in general and administrative expenses. Further, the Company experienced a positive change in (gain) loss on sale of assets for the year ended December 31, 2017. The prior year was negatively impacted by a $2.8 million loss for the sale of assets associated with certain service lines of the environmental &amp; infrastructure segment.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2016 Compared to Year Ended December 31, 2015</w:t>
      </w:r>
    </w:p>
    <w:p>
      <w:pPr>
        <w:spacing w:after="0" w:line="226" w:lineRule="exact"/>
        <w:rPr>
          <w:sz w:val="20"/>
          <w:szCs w:val="20"/>
          <w:color w:val="auto"/>
        </w:rPr>
      </w:pPr>
    </w:p>
    <w:p>
      <w:pPr>
        <w:ind w:firstLine="518"/>
        <w:spacing w:after="0" w:line="252" w:lineRule="auto"/>
        <w:rPr>
          <w:sz w:val="20"/>
          <w:szCs w:val="20"/>
          <w:color w:val="auto"/>
        </w:rPr>
      </w:pPr>
      <w:r>
        <w:rPr>
          <w:rFonts w:ascii="Arial" w:cs="Arial" w:eastAsia="Arial" w:hAnsi="Arial"/>
          <w:sz w:val="18"/>
          <w:szCs w:val="18"/>
          <w:color w:val="auto"/>
        </w:rPr>
        <w:t>Total revenue was $767.6 million in 2016, a decrease of $89.3 million, or 10.4%, from 2015 total revenue of $856.9 million. The decrease was largely attributable to lower foreign capital, environmental &amp; infrastructure and maintenance revenues during 2016. These decreases were partially offset by increases in coastal protection, rivers &amp; lakes and domestic capital revenues during the year ended December 31, 2016. The Company categorizes revenue by service type to understand the market in which the Company operates and to assess how the Company is performing on bidding work or projects and is generating revenue from backlog.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43" w:name="page44"/>
    <w:bookmarkEnd w:id="43"/>
    <w:p>
      <w:pPr>
        <w:ind w:right="20" w:firstLine="518"/>
        <w:spacing w:after="0" w:line="291" w:lineRule="auto"/>
        <w:rPr>
          <w:sz w:val="20"/>
          <w:szCs w:val="20"/>
          <w:color w:val="auto"/>
        </w:rPr>
      </w:pPr>
      <w:r>
        <w:rPr>
          <w:rFonts w:ascii="Arial" w:cs="Arial" w:eastAsia="Arial" w:hAnsi="Arial"/>
          <w:sz w:val="16"/>
          <w:szCs w:val="16"/>
          <w:color w:val="auto"/>
        </w:rPr>
        <w:t>Domestic capital dredging revenues increased $12.8 million, or 6.2%, to $219.9 million in 2016 compared to 2015 revenues of $207.1 million. The increase in domestic capital dredging revenue was primarily attributable to revenue earned on coastal restoration projects in Louisiana and the Savannah Harbor deepening project during 2016. The increased revenue from these projects was partially offset by revenue earned on the PortMiami deepening project during 2015 that did not repeat in 2016. Work on a deepening project on the Delaware River and a LNG project in Texas also contributed to revenues for the year ended December 31, 2016. In 2016, the Company earned 49% of its backlog carried forward from December 31, 2015.</w:t>
      </w:r>
    </w:p>
    <w:p>
      <w:pPr>
        <w:spacing w:after="0" w:line="165"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Revenues from foreign dredging operations in 2016 totaled $59.4 million, a decrease of $80.5 million, or 57.5%, from 2015 revenues of $139.9 million. Foreign dredging revenue in 2016 was driven by a project in Saudi Arabia, three projects in Bahrain, two projects in Brazil and the final stages of demobilization on the project to widen and deepen the Suez Canal project. In comparison, revenue for 2015 was driven by a significantly greater amount of revenue earned on the Suez Canal project. The Company earned 100% of its backlog carried forward from December 31, 2015.</w:t>
      </w:r>
    </w:p>
    <w:p>
      <w:pPr>
        <w:spacing w:after="0" w:line="177"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Coastal protection revenues were $215.0 million in 2016, an increase of $30.9 million, or 16.8%, from $184.1 million in 2015. For the year ended December 31, 2016, the increase in coastal protection revenue was attributable to a greater amount of revenue earned on large projects in New Jersey and New York for the repair of shorelines damaged as a result of Superstorm Sandy and recent winter storms. Work on projects in Florida and Delaware also contributed to revenue during 2016. The Company earned 100% of its backlog carried forward from December 31, 2015.</w:t>
      </w:r>
    </w:p>
    <w:p>
      <w:pPr>
        <w:spacing w:after="0" w:line="177" w:lineRule="exact"/>
        <w:rPr>
          <w:sz w:val="20"/>
          <w:szCs w:val="20"/>
          <w:color w:val="auto"/>
        </w:rPr>
      </w:pPr>
    </w:p>
    <w:p>
      <w:pPr>
        <w:ind w:right="20" w:firstLine="518"/>
        <w:spacing w:after="0" w:line="295" w:lineRule="auto"/>
        <w:rPr>
          <w:sz w:val="20"/>
          <w:szCs w:val="20"/>
          <w:color w:val="auto"/>
        </w:rPr>
      </w:pPr>
      <w:r>
        <w:rPr>
          <w:rFonts w:ascii="Arial" w:cs="Arial" w:eastAsia="Arial" w:hAnsi="Arial"/>
          <w:sz w:val="16"/>
          <w:szCs w:val="16"/>
          <w:color w:val="auto"/>
        </w:rPr>
        <w:t>Revenues from maintenance dredging projects in 2016 were $92.3 million, a decrease of $27.8 million, or 23.2%, from $120.1 million in 2015. The decrease in maintenance revenue during 2016 was mostly attributable to a greater amount of revenue earned on maintenance work in New York and New Jersey as well as harbor work in Texas and Delaware in 2015 that did not repeat during 2016. Maintenance work in Pennsylvania and harbor work in Maryland contributed to revenue during the year ended December 31, 2016. The Company earned 100% of its backlog from December 31, 2015.</w:t>
      </w:r>
    </w:p>
    <w:p>
      <w:pPr>
        <w:spacing w:after="0" w:line="162"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Rivers &amp; lakes revenues were $50.8 million for 2016, an increase of $20.7 million, or 68.7%, from $30.1 million in 2015. The increase in revenue for the year ended December 31, 2016 was mostly attributable to revenue earned on a reservoir project in Kansas as well as on projects in Mississippi and New Jersey during 2016. Further, the Company continued to work on the large lake project in Illinois. The Company earned 61% of its backlog carried forward from December 31, 2015.</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environmental &amp; infrastructure segment recorded revenues of $133.6 million for the year ended December 31, 2016, down 26.5% compared to</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$181.7 million for the year ended December 31, 2015. The decrease in revenue during 2016 was attributable to lower revenue in the segment’s services lines of</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business. Additionally, a greater amount of revenue was earned on three geotechnical projects in California and a remediation project in Washington during the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prior year. A large mine project in Washington and remediation projects in Michigan and Indiana also contributed to revenue during 2016. The Company earned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100% of its backlog carried forward from December 31, 2015.</w:t>
      </w:r>
    </w:p>
    <w:p>
      <w:pPr>
        <w:spacing w:after="0" w:line="209" w:lineRule="exact"/>
        <w:rPr>
          <w:sz w:val="20"/>
          <w:szCs w:val="20"/>
          <w:color w:val="auto"/>
        </w:rPr>
      </w:pPr>
    </w:p>
    <w:p>
      <w:pPr>
        <w:ind w:firstLine="518"/>
        <w:spacing w:after="0" w:line="250" w:lineRule="auto"/>
        <w:rPr>
          <w:sz w:val="20"/>
          <w:szCs w:val="20"/>
          <w:color w:val="auto"/>
        </w:rPr>
      </w:pPr>
      <w:r>
        <w:rPr>
          <w:rFonts w:ascii="Arial" w:cs="Arial" w:eastAsia="Arial" w:hAnsi="Arial"/>
          <w:sz w:val="18"/>
          <w:szCs w:val="18"/>
          <w:color w:val="auto"/>
        </w:rPr>
        <w:t>Consolidated gross profit for the year ended December 31, 2016 decreased by $9.5 million, or 9.9%, to $86.4 million from $95.9 million for the year ended December 31, 2015. Gross profit margin (gross profit divided by revenue) for the full year 2016 was 11.3%, in line with the prior year gross profit margin of 11.2%. The lower gross profit for 2016 was driven by the absence of the strong contract margin on the Suez Canal deepening project during 2016. This decrease was partially offset by strong margins on rivers &amp; lakes projects and improved project execution in the environmental &amp; infrastructure segment during 2016 as compared to the prior year. In comparison, gross profit in the prior year was negatively impacted by unforeseen circumstances that led to project delays on two of the environmental &amp; infrastructures segment’s largest projects in addition to losses on several other environmental &amp; infrastructure projects during 2015.</w:t>
      </w:r>
    </w:p>
    <w:p>
      <w:pPr>
        <w:spacing w:after="0" w:line="198"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General and administrative expenses totaled $65.5 million for the year ended December 31, 2016, down from $71.1 million for the year ended December 31, 2015. The decrease in general and administrative expense for the full year 2016 as compared to 2015 was driven by a decrease of $5.2 million in amortization expense, mostly attributable to the environmental &amp; infrastructure segment and a $3.3 million decrease in payroll and benefits. These decreases were partially offset by an increase in legal and professional fees of $2.2 million as well as personnel and recruiting costs of $0.6 million. Further, the Company reduced the remaining fair value of the GLEI contingent earnout by $8.0 million to zero during 2016. Similarly, general and administrative expenses for 2015 include a reduction in the fair value of the Great Lakes E&amp;I seller note payable of $7.0 million.</w:t>
      </w:r>
    </w:p>
    <w:p>
      <w:pPr>
        <w:spacing w:after="0" w:line="179"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Operating income for the year ended December 31, 2016 was $14.7 million compared to $23.0 million for the year ended December 31, 2015. In addition to the decrease in gross profit partially offset by lower general and administrative expenses described above, the Company recorded a $6.2 million loss on sale of assets during 2016. This loss was related to the sale of an underutilized asset during 2016 as well as the sale of assets associated with certain service lines of the environmental &amp; infrastructure segment in the fourth quarter of 2016. Further, operating income was negatively impacted by a $2.7 million loss recorded to (gain) loss on the sale of assets for assets reclassified to assets held for sale, representing the fair value less cost to sell, during the fourth quarter of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44" w:name="page45"/>
    <w:bookmarkEnd w:id="44"/>
    <w:p>
      <w:pPr>
        <w:ind w:right="880"/>
        <w:spacing w:after="0" w:line="267" w:lineRule="auto"/>
        <w:rPr>
          <w:sz w:val="20"/>
          <w:szCs w:val="20"/>
          <w:color w:val="auto"/>
        </w:rPr>
      </w:pPr>
      <w:r>
        <w:rPr>
          <w:rFonts w:ascii="Arial" w:cs="Arial" w:eastAsia="Arial" w:hAnsi="Arial"/>
          <w:sz w:val="18"/>
          <w:szCs w:val="18"/>
          <w:color w:val="auto"/>
        </w:rPr>
        <w:t>2016. In comparison, the prior year includes a $2.8 million goodwill impairment charge at the Terra reporting unit and a $0.8 million gain on sale of underutilized assets.</w:t>
      </w:r>
    </w:p>
    <w:p>
      <w:pPr>
        <w:spacing w:after="0" w:line="180" w:lineRule="exact"/>
        <w:rPr>
          <w:sz w:val="20"/>
          <w:szCs w:val="20"/>
          <w:color w:val="auto"/>
        </w:rPr>
      </w:pPr>
    </w:p>
    <w:p>
      <w:pPr>
        <w:ind w:right="180" w:firstLine="518"/>
        <w:spacing w:after="0" w:line="252" w:lineRule="auto"/>
        <w:rPr>
          <w:sz w:val="20"/>
          <w:szCs w:val="20"/>
          <w:color w:val="auto"/>
        </w:rPr>
      </w:pPr>
      <w:r>
        <w:rPr>
          <w:rFonts w:ascii="Arial" w:cs="Arial" w:eastAsia="Arial" w:hAnsi="Arial"/>
          <w:sz w:val="18"/>
          <w:szCs w:val="18"/>
          <w:color w:val="auto"/>
        </w:rPr>
        <w:t>Equity in loss of joint ventures for the year ended December 31, 2016 was $2.4 million compared to equity in loss of joint ventures of $6.1 million for the year ended December 31, 2015. During the fourth quarter of 2016, the Company accrued $2.6 million for the estimated share of additional losses to be assumed from the TerraSea joint venture which negatively impacted equity in loss of joint ventures for the year ended December 31, 2016. In comparison, the Company experienced a $3.9 million loss related to the TerraSea joint venture and a $2.3 million loss related to the wind down of the Amboy joint venture during 2015.</w:t>
      </w:r>
    </w:p>
    <w:p>
      <w:pPr>
        <w:spacing w:after="0" w:line="193"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color w:val="auto"/>
        </w:rPr>
        <w:t>The Company’s net interest expense for 2016 totaled $22.5 million compared with $24.4 million in 2015. The decrease in interest expense was mostly attributable to the reversal of interest expense associated with the Great Lakes E&amp;I contingent earnout and lower interest expense associated with the Company’s revolving credit facility during 2016.</w:t>
      </w:r>
    </w:p>
    <w:p>
      <w:pPr>
        <w:spacing w:after="0" w:line="188" w:lineRule="exact"/>
        <w:rPr>
          <w:sz w:val="20"/>
          <w:szCs w:val="20"/>
          <w:color w:val="auto"/>
        </w:rPr>
      </w:pPr>
    </w:p>
    <w:p>
      <w:pPr>
        <w:jc w:val="both"/>
        <w:ind w:right="60" w:firstLine="518"/>
        <w:spacing w:after="0" w:line="267" w:lineRule="auto"/>
        <w:rPr>
          <w:sz w:val="20"/>
          <w:szCs w:val="20"/>
          <w:color w:val="auto"/>
        </w:rPr>
      </w:pPr>
      <w:r>
        <w:rPr>
          <w:rFonts w:ascii="Arial" w:cs="Arial" w:eastAsia="Arial" w:hAnsi="Arial"/>
          <w:sz w:val="18"/>
          <w:szCs w:val="18"/>
          <w:color w:val="auto"/>
        </w:rPr>
        <w:t>Income tax benefit in 2016 was $5.8 million, up from an income tax benefit of $2.5 million in 2015. This $3.3 million change is primarily attributable to a revision of the deferred state tax rate which provided an additional benefit in 2016.</w:t>
      </w:r>
    </w:p>
    <w:p>
      <w:pPr>
        <w:spacing w:after="0" w:line="180" w:lineRule="exact"/>
        <w:rPr>
          <w:sz w:val="20"/>
          <w:szCs w:val="20"/>
          <w:color w:val="auto"/>
        </w:rPr>
      </w:pPr>
    </w:p>
    <w:p>
      <w:pPr>
        <w:jc w:val="both"/>
        <w:ind w:right="40" w:firstLine="518"/>
        <w:spacing w:after="0" w:line="295" w:lineRule="auto"/>
        <w:rPr>
          <w:sz w:val="20"/>
          <w:szCs w:val="20"/>
          <w:color w:val="auto"/>
        </w:rPr>
      </w:pPr>
      <w:r>
        <w:rPr>
          <w:rFonts w:ascii="Arial" w:cs="Arial" w:eastAsia="Arial" w:hAnsi="Arial"/>
          <w:sz w:val="16"/>
          <w:szCs w:val="16"/>
          <w:color w:val="auto"/>
        </w:rPr>
        <w:t>For the year ended December 31, 2016, net loss from continuing operations was $8.2 million compared to $6.2 million for the year ended December 31, 2015. Net income from continuing operations was negatively impacted by a decrease in operating income during 2016, as described above, in addition to a $2.1 million increase in other expense, mostly attributable to a contract incentive payment in 2015 which positively impacted the prior year. These items were offset by the losses incurred at the Company’s joint ventures during the prior year and increased income tax benefit during 2016.</w:t>
      </w:r>
    </w:p>
    <w:p>
      <w:pPr>
        <w:spacing w:after="0" w:line="162" w:lineRule="exact"/>
        <w:rPr>
          <w:sz w:val="20"/>
          <w:szCs w:val="20"/>
          <w:color w:val="auto"/>
        </w:rPr>
      </w:pPr>
    </w:p>
    <w:p>
      <w:pPr>
        <w:jc w:val="both"/>
        <w:ind w:right="660" w:firstLine="518"/>
        <w:spacing w:after="0" w:line="257" w:lineRule="auto"/>
        <w:rPr>
          <w:sz w:val="20"/>
          <w:szCs w:val="20"/>
          <w:color w:val="auto"/>
        </w:rPr>
      </w:pPr>
      <w:r>
        <w:rPr>
          <w:rFonts w:ascii="Arial" w:cs="Arial" w:eastAsia="Arial" w:hAnsi="Arial"/>
          <w:sz w:val="18"/>
          <w:szCs w:val="18"/>
          <w:color w:val="auto"/>
        </w:rPr>
        <w:t>Adjusted EBITDA from continuing operations (as defined and reconciled on page 38) was $72.0 million and $83.0 million for the years ended December 31, 2016 and 2015, respectively. The decrease of $11.0 million, or 13.3%, is mostly attributable the loss on sale of assets and the decrease in consolidated gross profit during 2016, as described above.</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Results by segment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Dredging</w:t>
      </w:r>
    </w:p>
    <w:p>
      <w:pPr>
        <w:spacing w:after="0" w:line="113"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Dredging revenues for the year ended December 31, 2016 were $637.5 million a decrease of $43.8 million, or 6.4%, compared to $681.3 million for the year ended December 31, 2015. The decrease was largely attributable to lower foreign capital and maintenance revenues during 2016. These decreases were partially offset by increases in coastal protection, rivers &amp; lakes and domestic capital revenues during the year ended December 31, 2016. The decrease in dredging revenue is mostly attributable to the significantly greater amount of revenue earned on the Suez Canal project during 2015 and revenue earned on the PortMiami project which did not repeat in 2016. Revenues for the year ended December 31, 2016 were driven by large coastal protection projects in New Jersey and New York for the repair of shorelines damaged as a result of Superstorm Sandy and recent winter storm events, a reservoir project in Kansas, maintenance work in Pennsylvania, harbor work in Maryland, coastal restoration projects in Louisiana and the Savannah Harbor deepening project.</w:t>
      </w:r>
    </w:p>
    <w:p>
      <w:pPr>
        <w:spacing w:after="0" w:line="60" w:lineRule="exact"/>
        <w:rPr>
          <w:sz w:val="20"/>
          <w:szCs w:val="20"/>
          <w:color w:val="auto"/>
        </w:rPr>
      </w:pPr>
    </w:p>
    <w:p>
      <w:pPr>
        <w:ind w:right="100" w:firstLine="518"/>
        <w:spacing w:after="0" w:line="254" w:lineRule="auto"/>
        <w:rPr>
          <w:sz w:val="20"/>
          <w:szCs w:val="20"/>
          <w:color w:val="auto"/>
        </w:rPr>
      </w:pPr>
      <w:r>
        <w:rPr>
          <w:rFonts w:ascii="Arial" w:cs="Arial" w:eastAsia="Arial" w:hAnsi="Arial"/>
          <w:sz w:val="18"/>
          <w:szCs w:val="18"/>
          <w:color w:val="auto"/>
        </w:rPr>
        <w:t>Dredging segment gross profit in 2016 decreased 23.6% to $85.3 million from $111.7 million in 2015, and dredging segment gross profit margin (dredging gross profit divided by dredging revenue) was 13.4% in 2016, a decrease from 16.4% in 2015. The lower gross profit margin for 2016 was driven by the absence of the strong contract margin on the Suez Canal deepening project during 2016. This decrease was partially offset by strong margins on rivers &amp; lakes projects during 2016.</w:t>
      </w:r>
    </w:p>
    <w:p>
      <w:pPr>
        <w:spacing w:after="0" w:line="191"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Dredging segment operating income for 2016 decreased 46.8% to $34.1 million, from $64.1 million in 2015 as a result of the strong margins on the Suez Canal project in the prior year, as described above. Additionally, dredging segment operating income was negatively impacted by a loss on the sale of an underutilized asset during 2016 as compared to a gain on the sale of assets in the prior year. Further, operating income was negatively impacted by a $2.4 million loss recorded to (gain) loss on the sale of assets for assets reclassified to assets held for sale, representing the fair value less cost to sell, during the fourth quarter of 2016. Dredging general and administrative expenses were flat year over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&amp; infrastructure</w:t>
      </w:r>
    </w:p>
    <w:p>
      <w:pPr>
        <w:spacing w:after="0" w:line="220" w:lineRule="exact"/>
        <w:rPr>
          <w:sz w:val="20"/>
          <w:szCs w:val="20"/>
          <w:color w:val="auto"/>
        </w:rPr>
      </w:pPr>
    </w:p>
    <w:p>
      <w:pPr>
        <w:jc w:val="both"/>
        <w:ind w:right="220" w:firstLine="518"/>
        <w:spacing w:after="0" w:line="295" w:lineRule="auto"/>
        <w:rPr>
          <w:sz w:val="20"/>
          <w:szCs w:val="20"/>
          <w:color w:val="auto"/>
        </w:rPr>
      </w:pPr>
      <w:r>
        <w:rPr>
          <w:rFonts w:ascii="Arial" w:cs="Arial" w:eastAsia="Arial" w:hAnsi="Arial"/>
          <w:sz w:val="16"/>
          <w:szCs w:val="16"/>
          <w:color w:val="auto"/>
        </w:rPr>
        <w:t>The environmental &amp; infrastructure segment recorded revenues in 2016 of $133.6 million, a $48.1 million, or 26.5%, decrease from $181.7 million in 2015. The decrease in revenue during 2016 was attributable to a greater amount of revenue earned within the segment’s services lines of business during the prior year as well as a greater amount of revenue earned on three geotechnical projects in California and a remediation project in Washington during the prior year, although a large mine project in Washington and remediation projects in Michigan and Indiana contributed to revenue during 2016.</w:t>
      </w:r>
    </w:p>
    <w:p>
      <w:pPr>
        <w:spacing w:after="0" w:line="56" w:lineRule="exact"/>
        <w:rPr>
          <w:sz w:val="20"/>
          <w:szCs w:val="20"/>
          <w:color w:val="auto"/>
        </w:rPr>
      </w:pPr>
    </w:p>
    <w:p>
      <w:pPr>
        <w:ind w:right="40" w:firstLine="518"/>
        <w:spacing w:after="0" w:line="267" w:lineRule="auto"/>
        <w:rPr>
          <w:sz w:val="20"/>
          <w:szCs w:val="20"/>
          <w:color w:val="auto"/>
        </w:rPr>
      </w:pPr>
      <w:r>
        <w:rPr>
          <w:rFonts w:ascii="Arial" w:cs="Arial" w:eastAsia="Arial" w:hAnsi="Arial"/>
          <w:sz w:val="18"/>
          <w:szCs w:val="18"/>
          <w:color w:val="auto"/>
        </w:rPr>
        <w:t>The environmental &amp; infrastructure segment experienced gross profit of $1.0 million for year ended December 31, 2016, up $16.8 million from negative gross profit of $15.8 million for the year ended December 31, 2015, with a gross profit margin of 0.8%</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ind w:right="120"/>
        <w:spacing w:after="0" w:line="279" w:lineRule="auto"/>
        <w:rPr>
          <w:sz w:val="20"/>
          <w:szCs w:val="20"/>
          <w:color w:val="auto"/>
        </w:rPr>
      </w:pPr>
      <w:r>
        <w:rPr>
          <w:rFonts w:ascii="Arial" w:cs="Arial" w:eastAsia="Arial" w:hAnsi="Arial"/>
          <w:sz w:val="17"/>
          <w:szCs w:val="17"/>
          <w:color w:val="auto"/>
        </w:rPr>
        <w:t>and negative gross profit margin of 8.7%, respectively. This increase in gross profit was a result of improved project execution during 2016 as compared to the prior year. In comparison, gross profit in the prior year was negatively impacted by unforeseen circumstances that led to project delays on two of the environmental &amp; infrastructures segment’s largest projects in addition to losses on several other projects during 2015.</w:t>
      </w:r>
    </w:p>
    <w:p>
      <w:pPr>
        <w:spacing w:after="0" w:line="172" w:lineRule="exact"/>
        <w:rPr>
          <w:sz w:val="20"/>
          <w:szCs w:val="20"/>
          <w:color w:val="auto"/>
        </w:rPr>
      </w:pPr>
    </w:p>
    <w:p>
      <w:pPr>
        <w:ind w:right="80" w:firstLine="518"/>
        <w:spacing w:after="0" w:line="269" w:lineRule="auto"/>
        <w:rPr>
          <w:sz w:val="20"/>
          <w:szCs w:val="20"/>
          <w:color w:val="auto"/>
        </w:rPr>
      </w:pPr>
      <w:r>
        <w:rPr>
          <w:rFonts w:ascii="Arial" w:cs="Arial" w:eastAsia="Arial" w:hAnsi="Arial"/>
          <w:sz w:val="17"/>
          <w:szCs w:val="17"/>
          <w:color w:val="auto"/>
        </w:rPr>
        <w:t>Environmental &amp; infrastructure segment operating loss was $19.4 million for 2016, compared to $41.1 million in 2015. The change in operating loss was mostly attributable to the higher segment gross profit described above and a $5.1 million decrease in amortization expense during 2016. These positive impacts on operating income were partially offset by a $2.8 million loss for the sale of assets associated with certain service lines of the environmental &amp; infrastructure segment in the fourth quarter of 2016. In comparison, the prior year includes a $2.8 million goodwill impairment charge at the Terra reporting unit. During the third quarter of 2016, the Company reduced the remaining fair value of the GLEI contingent earnout by $8.0 million to zero. Similarly, general and administrative expenses in 2015 included a reduction in the value of the GLEI seller note payable of $7.0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Bidding Activity and Backlog</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by segment and type of dredging work, the Company’s backlog as of the dates indicated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80" w:type="dxa"/>
            <w:vAlign w:val="bottom"/>
            <w:vMerge w:val="restart"/>
          </w:tcPr>
          <w:p>
            <w:pPr>
              <w:spacing w:after="0"/>
              <w:rPr>
                <w:sz w:val="20"/>
                <w:szCs w:val="20"/>
                <w:color w:val="auto"/>
              </w:rPr>
            </w:pPr>
            <w:r>
              <w:rPr>
                <w:rFonts w:ascii="Arial" w:cs="Arial" w:eastAsia="Arial" w:hAnsi="Arial"/>
                <w:sz w:val="18"/>
                <w:szCs w:val="18"/>
                <w:b w:val="1"/>
                <w:bCs w:val="1"/>
                <w:color w:val="auto"/>
              </w:rPr>
              <w:t>Backlog</w:t>
            </w:r>
          </w:p>
        </w:tc>
        <w:tc>
          <w:tcPr>
            <w:tcW w:w="2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6"/>
                <w:szCs w:val="16"/>
                <w:color w:val="auto"/>
              </w:rPr>
            </w:pPr>
          </w:p>
        </w:tc>
        <w:tc>
          <w:tcPr>
            <w:tcW w:w="1240" w:type="dxa"/>
            <w:vAlign w:val="bottom"/>
          </w:tcPr>
          <w:p>
            <w:pPr>
              <w:jc w:val="right"/>
              <w:ind w:right="255"/>
              <w:spacing w:after="0"/>
              <w:rPr>
                <w:sz w:val="20"/>
                <w:szCs w:val="20"/>
                <w:color w:val="auto"/>
              </w:rPr>
            </w:pPr>
            <w:r>
              <w:rPr>
                <w:rFonts w:ascii="Arial" w:cs="Arial" w:eastAsia="Arial" w:hAnsi="Arial"/>
                <w:sz w:val="14"/>
                <w:szCs w:val="14"/>
                <w:b w:val="1"/>
                <w:bCs w:val="1"/>
                <w:color w:val="auto"/>
                <w:w w:val="96"/>
              </w:rPr>
              <w:t>December 31,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11"/>
        </w:trPr>
        <w:tc>
          <w:tcPr>
            <w:tcW w:w="4380" w:type="dxa"/>
            <w:vAlign w:val="bottom"/>
            <w:vMerge w:val="continue"/>
          </w:tcPr>
          <w:p>
            <w:pPr>
              <w:spacing w:after="0"/>
              <w:rPr>
                <w:sz w:val="18"/>
                <w:szCs w:val="18"/>
                <w:color w:val="auto"/>
              </w:rPr>
            </w:pPr>
          </w:p>
        </w:tc>
        <w:tc>
          <w:tcPr>
            <w:tcW w:w="2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80" w:type="dxa"/>
            <w:vAlign w:val="bottom"/>
          </w:tcPr>
          <w:p>
            <w:pPr>
              <w:spacing w:after="0"/>
              <w:rPr>
                <w:sz w:val="20"/>
                <w:szCs w:val="20"/>
                <w:color w:val="auto"/>
              </w:rPr>
            </w:pPr>
            <w:r>
              <w:rPr>
                <w:rFonts w:ascii="Arial" w:cs="Arial" w:eastAsia="Arial" w:hAnsi="Arial"/>
                <w:sz w:val="18"/>
                <w:szCs w:val="18"/>
                <w:color w:val="auto"/>
              </w:rPr>
              <w:t>Dredging:</w:t>
            </w:r>
          </w:p>
        </w:tc>
        <w:tc>
          <w:tcPr>
            <w:tcW w:w="2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 - U.S.</w:t>
            </w:r>
          </w:p>
        </w:tc>
        <w:tc>
          <w:tcPr>
            <w:tcW w:w="2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383,577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234,575</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411,506</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80" w:type="dxa"/>
            <w:vAlign w:val="bottom"/>
          </w:tcPr>
          <w:p>
            <w:pPr>
              <w:ind w:left="260"/>
              <w:spacing w:after="0"/>
              <w:rPr>
                <w:sz w:val="20"/>
                <w:szCs w:val="20"/>
                <w:color w:val="auto"/>
              </w:rPr>
            </w:pPr>
            <w:r>
              <w:rPr>
                <w:rFonts w:ascii="Arial" w:cs="Arial" w:eastAsia="Arial" w:hAnsi="Arial"/>
                <w:sz w:val="18"/>
                <w:szCs w:val="18"/>
                <w:color w:val="auto"/>
              </w:rPr>
              <w:t>Capital - foreign</w:t>
            </w:r>
          </w:p>
        </w:tc>
        <w:tc>
          <w:tcPr>
            <w:tcW w:w="2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8,575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22,025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1,750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Coastal protection</w:t>
            </w:r>
          </w:p>
        </w:tc>
        <w:tc>
          <w:tcPr>
            <w:tcW w:w="2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76,460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109,871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118,858</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80" w:type="dxa"/>
            <w:vAlign w:val="bottom"/>
          </w:tcPr>
          <w:p>
            <w:pPr>
              <w:ind w:left="260"/>
              <w:spacing w:after="0"/>
              <w:rPr>
                <w:sz w:val="20"/>
                <w:szCs w:val="20"/>
                <w:color w:val="auto"/>
              </w:rPr>
            </w:pPr>
            <w:r>
              <w:rPr>
                <w:rFonts w:ascii="Arial" w:cs="Arial" w:eastAsia="Arial" w:hAnsi="Arial"/>
                <w:sz w:val="18"/>
                <w:szCs w:val="18"/>
                <w:color w:val="auto"/>
              </w:rPr>
              <w:t>Maintenance</w:t>
            </w:r>
          </w:p>
        </w:tc>
        <w:tc>
          <w:tcPr>
            <w:tcW w:w="2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23,662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56,929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77,995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Rivers &amp; lakes</w:t>
            </w:r>
          </w:p>
        </w:tc>
        <w:tc>
          <w:tcPr>
            <w:tcW w:w="2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19,046</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44,298</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67,589</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tcPr>
          <w:p>
            <w:pPr>
              <w:ind w:left="500"/>
              <w:spacing w:after="0"/>
              <w:rPr>
                <w:sz w:val="20"/>
                <w:szCs w:val="20"/>
                <w:color w:val="auto"/>
              </w:rPr>
            </w:pPr>
            <w:r>
              <w:rPr>
                <w:rFonts w:ascii="Arial" w:cs="Arial" w:eastAsia="Arial" w:hAnsi="Arial"/>
                <w:sz w:val="18"/>
                <w:szCs w:val="18"/>
                <w:color w:val="auto"/>
              </w:rPr>
              <w:t>Dredging Backlog</w:t>
            </w:r>
          </w:p>
        </w:tc>
        <w:tc>
          <w:tcPr>
            <w:tcW w:w="2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511,320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467,698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677,698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Environmental &amp; infrastructure</w:t>
            </w:r>
          </w:p>
        </w:tc>
        <w:tc>
          <w:tcPr>
            <w:tcW w:w="2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35,357</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37,645</w:t>
            </w:r>
          </w:p>
        </w:tc>
        <w:tc>
          <w:tcPr>
            <w:tcW w:w="220" w:type="dxa"/>
            <w:vAlign w:val="bottom"/>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73,349</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tcPr>
          <w:p>
            <w:pPr>
              <w:spacing w:after="0"/>
              <w:rPr>
                <w:sz w:val="20"/>
                <w:szCs w:val="20"/>
                <w:color w:val="auto"/>
              </w:rPr>
            </w:pPr>
            <w:r>
              <w:rPr>
                <w:rFonts w:ascii="Arial" w:cs="Arial" w:eastAsia="Arial" w:hAnsi="Arial"/>
                <w:sz w:val="18"/>
                <w:szCs w:val="18"/>
                <w:color w:val="auto"/>
              </w:rPr>
              <w:t>Total Backlog</w:t>
            </w:r>
          </w:p>
        </w:tc>
        <w:tc>
          <w:tcPr>
            <w:tcW w:w="2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546,677</w:t>
            </w:r>
          </w:p>
        </w:tc>
        <w:tc>
          <w:tcPr>
            <w:tcW w:w="220" w:type="dxa"/>
            <w:vAlign w:val="bottom"/>
          </w:tcPr>
          <w:p>
            <w:pPr>
              <w:spacing w:after="0"/>
              <w:rPr>
                <w:sz w:val="19"/>
                <w:szCs w:val="19"/>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505,343</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751,047</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60" w:firstLine="518"/>
        <w:spacing w:after="0" w:line="283" w:lineRule="auto"/>
        <w:rPr>
          <w:sz w:val="20"/>
          <w:szCs w:val="20"/>
          <w:color w:val="auto"/>
        </w:rPr>
      </w:pPr>
      <w:r>
        <w:rPr>
          <w:rFonts w:ascii="Arial" w:cs="Arial" w:eastAsia="Arial" w:hAnsi="Arial"/>
          <w:sz w:val="16"/>
          <w:szCs w:val="16"/>
          <w:color w:val="auto"/>
        </w:rPr>
        <w:t>The Company’s contract backlog represents its estimate of the revenues that will be realized under the portion of the contracts remaining to be performed. For dredging contracts these estimates are based primarily upon the time and costs required to mobilize the necessary assets to and from the project site, the amount and type of material to be dredged and the expected production capabilities of the equipment performing the work. For environmental &amp; infrastructure contracts, these estimates are based on the time and remaining costs required to complete the project relative to total estimated project costs and project revenues agreed to with the customer. However, these estimates are necessarily subject to variances based upon actual circumstances. Because of these factors, as well as factors affecting the time required to complete each job, backlog is not always indicative of future revenues or profitability. Also, 81% of the Company’s 2017 dredging backlog relates to federal government contracts, which can be canceled at any time without penalty to the government, subject to the Company’s contractual right to recover the Company’s actual committed costs and profit on work performed up to the date of cancellation. The Company’s backlog may fluctuate significantly from quarter to quarter based upon the type and size of the projects the Company is awarded from the bid market. A quarterly increase or decrease of the Company’s backlog does not necessarily result in an improvement or a deterioration of the Company’s business. The Company’s backlog includes only those projects for which the Company has obtained a signed contract with the customer.</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Approximately 72% of the Company’s backlog at December 31, 2017 is expected to be completed and converted to revenue in 2018.</w:t>
      </w:r>
    </w:p>
    <w:p>
      <w:pPr>
        <w:spacing w:after="0" w:line="32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Dredging</w:t>
      </w:r>
    </w:p>
    <w:p>
      <w:pPr>
        <w:spacing w:after="0" w:line="113" w:lineRule="exact"/>
        <w:rPr>
          <w:sz w:val="20"/>
          <w:szCs w:val="20"/>
          <w:color w:val="auto"/>
        </w:rPr>
      </w:pPr>
    </w:p>
    <w:p>
      <w:pPr>
        <w:ind w:firstLine="518"/>
        <w:spacing w:after="0" w:line="267" w:lineRule="auto"/>
        <w:rPr>
          <w:sz w:val="20"/>
          <w:szCs w:val="20"/>
          <w:color w:val="auto"/>
        </w:rPr>
      </w:pPr>
      <w:r>
        <w:rPr>
          <w:rFonts w:ascii="Arial" w:cs="Arial" w:eastAsia="Arial" w:hAnsi="Arial"/>
          <w:sz w:val="17"/>
          <w:szCs w:val="17"/>
          <w:color w:val="auto"/>
        </w:rPr>
        <w:t>The 2017 domestic dredging bid market totaled $1,216 million, a 25.2% increase from the 2016 domestic dredging bid market of $971.6 million. The increase in bid market for 2017 is primarily related to the award of two large deepening projects in Charleston, South Carolina during the current year. The 2017 bid market was also driven by the award of a deepening project on the Delaware River, two coastal restoration projects in the Gulf of Mexico, multiple coastal protection projects in Maryland, South Carolina, Florida, New Jersey and Delaware and maintenance projects in Pennsylvania, Virginia, Mississippi and New York. The Company won 49% of the overall 2017 domestic bid market, up significantly from its 29% win rate of the overall 2016 domestic bid market and the Company’s prior three-year average win rate of 42%. The award of the two deepening projects in Charleston, South Carolina drove the Company’s higher bid market win rate during the current year. Variability in contract wins from period to period is not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46" w:name="page47"/>
    <w:bookmarkEnd w:id="46"/>
    <w:p>
      <w:pPr>
        <w:ind w:right="80"/>
        <w:spacing w:after="0" w:line="267" w:lineRule="auto"/>
        <w:rPr>
          <w:sz w:val="20"/>
          <w:szCs w:val="20"/>
          <w:color w:val="auto"/>
        </w:rPr>
      </w:pPr>
      <w:r>
        <w:rPr>
          <w:rFonts w:ascii="Arial" w:cs="Arial" w:eastAsia="Arial" w:hAnsi="Arial"/>
          <w:sz w:val="18"/>
          <w:szCs w:val="18"/>
          <w:color w:val="auto"/>
        </w:rPr>
        <w:t>unusual. The Company believes trends in its win rate over the prior three year periods provide a historical background against which current year results can be compared.</w:t>
      </w:r>
    </w:p>
    <w:p>
      <w:pPr>
        <w:spacing w:after="0" w:line="180" w:lineRule="exact"/>
        <w:rPr>
          <w:sz w:val="20"/>
          <w:szCs w:val="20"/>
          <w:color w:val="auto"/>
        </w:rPr>
      </w:pPr>
    </w:p>
    <w:p>
      <w:pPr>
        <w:ind w:right="140" w:firstLine="518"/>
        <w:spacing w:after="0" w:line="252" w:lineRule="auto"/>
        <w:rPr>
          <w:sz w:val="20"/>
          <w:szCs w:val="20"/>
          <w:color w:val="auto"/>
        </w:rPr>
      </w:pPr>
      <w:r>
        <w:rPr>
          <w:rFonts w:ascii="Arial" w:cs="Arial" w:eastAsia="Arial" w:hAnsi="Arial"/>
          <w:sz w:val="18"/>
          <w:szCs w:val="18"/>
          <w:color w:val="auto"/>
        </w:rPr>
        <w:t>The Company’s December 31, 2017 contracted dredging backlog was $511.3 million. This represents an increase of $43.6 million, or 9.3%, over the Company’s December 31, 2016 dredging backlog of $467.7 million. These amounts do not reflect approximately $69.9 million of domestic low bids pending formal award and additional phases (“options”) pending on projects currently in backlog. At December 31, 2016, the amount of domestic low bids pending award was $24.6 million. Backlog at December 31, 2017 includes two deepening projects in Charleston, South Carolina and two coastal restoration projects in Louisiana totaling approximately $344 million.</w:t>
      </w:r>
    </w:p>
    <w:p>
      <w:pPr>
        <w:spacing w:after="0" w:line="193" w:lineRule="exact"/>
        <w:rPr>
          <w:sz w:val="20"/>
          <w:szCs w:val="20"/>
          <w:color w:val="auto"/>
        </w:rPr>
      </w:pPr>
    </w:p>
    <w:p>
      <w:pPr>
        <w:ind w:firstLine="518"/>
        <w:spacing w:after="0" w:line="264" w:lineRule="auto"/>
        <w:rPr>
          <w:sz w:val="20"/>
          <w:szCs w:val="20"/>
          <w:color w:val="auto"/>
        </w:rPr>
      </w:pPr>
      <w:r>
        <w:rPr>
          <w:rFonts w:ascii="Arial" w:cs="Arial" w:eastAsia="Arial" w:hAnsi="Arial"/>
          <w:sz w:val="17"/>
          <w:szCs w:val="17"/>
          <w:color w:val="auto"/>
        </w:rPr>
        <w:t>The Company won 71%, or $349.0 million, of the domestic capital dredging projects awarded in 2017, a significant increase from 22%, or $27.2 million, in the prior year. During 2017, the Company was awarded two deepening projects in Charleston and a coastal restoration project in Mississippi which will continue into 2018. In comparison, the awards during the prior year included a coastal restoration project in Louisiana. Domestic capital dredging work made up $383.6 million, or 75%, of the Company’s December 31, 2017 contracted dredging backlog. Domestic capital dredging backlog at December 31, 2017 was $149.0 million higher than the prior year. The Company expects about 65% of its domestic capital backlog at December 31, 2017 to be performed in 2018. The Panama Canal expansion was completed during the second quarter of 2016, which continues to put pressure on the ports on the East Coast to continue with their studies and plans to deepen and widen in anticipation of the post-Panamax vessels. Further, additional phases of the Jacksonville port continue to look promising to potentially bid in 2018. In April 2016, the federal court in New Orleans approved the October 2015 settlement, of approximately $20 billion, between the United States, the five Gulf States and BP for damages from the Deepwater Horizon oil spill. Louisiana will receive a minimum of $6.8 billion for claims related to natural resource damages under the Oil Pollution Act, Clean Water Act as civil penalties, and the State’s various economic claims. Many of the Gulf States previously committed to spending a portion of the fines received to repair the natural resources impacted by the oil spill, including on coastal restoration projects that include dredging. Although the bulk of the fines are to be paid over the next decade, the Company expects several coastal restoration projects envisioned by the Gulf States to come to fruition in the next couple of years providing a new source of domestic capital dredging projects on which the Company will bid. Further, the Company is encouraged by the current administration’s focus on repairing and rebuilding America’s infrastructure, including our nation’s ports and waterways.</w:t>
      </w:r>
    </w:p>
    <w:p>
      <w:pPr>
        <w:spacing w:after="0" w:line="188" w:lineRule="exact"/>
        <w:rPr>
          <w:sz w:val="20"/>
          <w:szCs w:val="20"/>
          <w:color w:val="auto"/>
        </w:rPr>
      </w:pPr>
    </w:p>
    <w:p>
      <w:pPr>
        <w:ind w:right="20" w:firstLine="518"/>
        <w:spacing w:after="0" w:line="285" w:lineRule="auto"/>
        <w:rPr>
          <w:sz w:val="20"/>
          <w:szCs w:val="20"/>
          <w:color w:val="auto"/>
        </w:rPr>
      </w:pPr>
      <w:r>
        <w:rPr>
          <w:rFonts w:ascii="Arial" w:cs="Arial" w:eastAsia="Arial" w:hAnsi="Arial"/>
          <w:sz w:val="16"/>
          <w:szCs w:val="16"/>
          <w:color w:val="auto"/>
        </w:rPr>
        <w:t>Foreign capital dredging backlog decreased to $8.6 million at December 31, 2017 from $22.0 million at the end of 2016. During 2017, the Company was awarded two sand supply projects and an LNG trench project in the Middle East. During the second quarter of 2017, the Company was the low bidder on a $68 million land reclamation project in Bahrain which the Company expects to be awarded in the first quarter of 2018. The Company expects about 100% of its foreign capital backlog at December 31, 2017 to be performed in 2018. Upcoming projects expected to be awarded are not being completed under the tight time constraints that were required on prior years’ large infrastructure projects. As a result, anticipated margins in the current year are expected to be lower than margins experienced internationally over the past several years. The world’s need for reclaimed land continues to expand to support global energy consumption, seaborne trade, population growth and tourism all of which are expected to add nearly 400 viable dredging projects over the next six years. The Company expects the additional opportunities globally to provide a continued source of future international dredging revenue.</w:t>
      </w:r>
    </w:p>
    <w:p>
      <w:pPr>
        <w:spacing w:after="0" w:line="172" w:lineRule="exact"/>
        <w:rPr>
          <w:sz w:val="20"/>
          <w:szCs w:val="20"/>
          <w:color w:val="auto"/>
        </w:rPr>
      </w:pPr>
    </w:p>
    <w:p>
      <w:pPr>
        <w:ind w:right="60" w:firstLine="518"/>
        <w:spacing w:after="0" w:line="264" w:lineRule="auto"/>
        <w:rPr>
          <w:sz w:val="20"/>
          <w:szCs w:val="20"/>
          <w:color w:val="auto"/>
        </w:rPr>
      </w:pPr>
      <w:r>
        <w:rPr>
          <w:rFonts w:ascii="Arial" w:cs="Arial" w:eastAsia="Arial" w:hAnsi="Arial"/>
          <w:sz w:val="17"/>
          <w:szCs w:val="17"/>
          <w:color w:val="auto"/>
        </w:rPr>
        <w:t>The Company won 56%, or $145.1 million, of the coastal protection projects awarded in 2017, compared to 39%, or $163.6 million, in the prior year. During 2017, the Company was awarded a $26 million coastal protection project in South Carolina, a $18 million project in New Jersey and six additional coastal protection projects in Maryland, South Carolina, Florida and Pennsylvania as well as an option on a coastal protection project in New Jersey. In comparison, the prior year included large projects in Virginia and North Carolina as well as two projects in Florida and three Superstorm Sandy appropriated projects in New Jersey and New York. The Company has contracted dredging backlog related to coastal protection of $76.5 million at December 31, 2017 compared to $109.9 million at the end of 2016. The decrease in backlog at December 31, 2017 is due to revenue earned in 2017 on projects in backlog at December 31, 2016. The Company expects about 100% of its coastal protection backlog at December 31, 2017 to be performed in 2018. Funding related to Northeastern U.S. beach replenishment continues to be released and the Company is anticipating these new dredging projects along the coast to continue in 2018. Federal and state government actions continue to support the repair and improvement of America’s coastline through the completion of protective beaches and berms. During February 2018, the U.S. Senate Committee on Appropriations announced the supplemental appropriations for disaster relief and recovery which includes $17.4 billion for the Corps to fund projects that will reduce the risk of future damage from flood and storm events. Although it is uncertain the impact that this will have on the dredging market, the Company believes it is a positive indicator for work in the coastal protection and restoration markets.</w:t>
      </w:r>
    </w:p>
    <w:p>
      <w:pPr>
        <w:spacing w:after="0" w:line="192" w:lineRule="exact"/>
        <w:rPr>
          <w:sz w:val="20"/>
          <w:szCs w:val="20"/>
          <w:color w:val="auto"/>
        </w:rPr>
      </w:pPr>
    </w:p>
    <w:p>
      <w:pPr>
        <w:ind w:right="20" w:firstLine="518"/>
        <w:spacing w:after="0" w:line="252" w:lineRule="auto"/>
        <w:rPr>
          <w:sz w:val="20"/>
          <w:szCs w:val="20"/>
          <w:color w:val="auto"/>
        </w:rPr>
      </w:pPr>
      <w:r>
        <w:rPr>
          <w:rFonts w:ascii="Arial" w:cs="Arial" w:eastAsia="Arial" w:hAnsi="Arial"/>
          <w:sz w:val="18"/>
          <w:szCs w:val="18"/>
          <w:color w:val="auto"/>
        </w:rPr>
        <w:t>The Company won 22%, or $93.5 million, of the maintenance dredging projects awarded in 2017 compared to 23%, or $68.0 million, in 2016. During the year ended December 31, 2017, the Company was awarded maintenance projects in North Carolina, Louisiana, Maryland, Virginia and projects on the Columbia and Delaware Rivers. The Company continued to earn revenue on projects in Maryland, Massachusetts, Pennsylvania, Florida and Delaware which were in backlog at December 31, 2016. The Company’s contracted maintenance dredging backlog at December 31, 2017 of $23.7 million is $33.3 million lower than the backlog</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47" w:name="page48"/>
    <w:bookmarkEnd w:id="47"/>
    <w:p>
      <w:pPr>
        <w:spacing w:after="0" w:line="285" w:lineRule="auto"/>
        <w:rPr>
          <w:sz w:val="20"/>
          <w:szCs w:val="20"/>
          <w:color w:val="auto"/>
        </w:rPr>
      </w:pPr>
      <w:r>
        <w:rPr>
          <w:rFonts w:ascii="Arial" w:cs="Arial" w:eastAsia="Arial" w:hAnsi="Arial"/>
          <w:sz w:val="16"/>
          <w:szCs w:val="16"/>
          <w:color w:val="auto"/>
        </w:rPr>
        <w:t>of $56.9 million at December 31, 2016. The Company expects about 90% of its maintenance dredging backlog at December 31, 2017 to be performed in 2018. The budget for fiscal year 2017 provides for a record budget for the Corps of $6 billion and exceeds the increase in Harbor Maintenance Trust Fund (“HMTF”) spending for maintenance dredging as required by the 2014 Water Resources and Development Act. Further, the water resources development bill, rebranded as the Water Infrastructure Improvements for the Nation Act (“WIIN”) was enacted during the fourth quarter of 2016. WIIN emphasizes previous Water Resources Reform and Development Act (“WRRDA”) language which calls for full use of the HMTF for its intended purpose of maintaining future access to the waterways and ports that support our nation’s economy. Further, WIIN ensures that Harbor Maintenance Tax (“HMT”) funding targets will increase by three per cent over the prior year, even if the HMT revenue estimates decrease, to continue annual progress towards full use of the HMT by 2025. Through the increased appropriation of HMTF monies, the Company anticipates an increase in harbor projects to be let for bid throughout 2018 and beyond.</w:t>
      </w:r>
    </w:p>
    <w:p>
      <w:pPr>
        <w:spacing w:after="0" w:line="172" w:lineRule="exact"/>
        <w:rPr>
          <w:sz w:val="20"/>
          <w:szCs w:val="20"/>
          <w:color w:val="auto"/>
        </w:rPr>
      </w:pPr>
    </w:p>
    <w:p>
      <w:pPr>
        <w:ind w:right="20" w:firstLine="518"/>
        <w:spacing w:after="0" w:line="251" w:lineRule="auto"/>
        <w:rPr>
          <w:sz w:val="20"/>
          <w:szCs w:val="20"/>
          <w:color w:val="auto"/>
        </w:rPr>
      </w:pPr>
      <w:r>
        <w:rPr>
          <w:rFonts w:ascii="Arial" w:cs="Arial" w:eastAsia="Arial" w:hAnsi="Arial"/>
          <w:sz w:val="18"/>
          <w:szCs w:val="18"/>
          <w:color w:val="auto"/>
        </w:rPr>
        <w:t>The Company won 8%, or $2.6 million, of the rivers &amp; lakes projects in the markets where the group operates during the current year, compared to 16%, or $21.7 million, in 2016. During the current year, the Company was awarded a rivers &amp; lakes project in New Jersey. In comparison, rivers &amp; lakes awards during the prior year included projects in New Jersey, Mississippi and Florida. The Company has contracted dredging backlog related to rivers &amp; lakes of $19.0 million at December 31, 2017, which is $25.3 million lower than the backlog of $44.3 million at December 31, 2016. The decrease at December 31, 2017 is the result of the Company continuing to earn revenue on its large lake project in Illinois during 2017. The Company expects about 60% of its rivers &amp; lakes backlog at December 31, 2017 to be performed in 2018.</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&amp; infrastructure</w:t>
      </w:r>
    </w:p>
    <w:p>
      <w:pPr>
        <w:spacing w:after="0" w:line="113" w:lineRule="exact"/>
        <w:rPr>
          <w:sz w:val="20"/>
          <w:szCs w:val="20"/>
          <w:color w:val="auto"/>
        </w:rPr>
      </w:pPr>
    </w:p>
    <w:p>
      <w:pPr>
        <w:ind w:right="20" w:firstLine="518"/>
        <w:spacing w:after="0" w:line="266" w:lineRule="auto"/>
        <w:rPr>
          <w:sz w:val="20"/>
          <w:szCs w:val="20"/>
          <w:color w:val="auto"/>
        </w:rPr>
      </w:pPr>
      <w:r>
        <w:rPr>
          <w:rFonts w:ascii="Arial" w:cs="Arial" w:eastAsia="Arial" w:hAnsi="Arial"/>
          <w:sz w:val="17"/>
          <w:szCs w:val="17"/>
          <w:color w:val="auto"/>
        </w:rPr>
        <w:t>Environmental &amp; infrastructure segment backlog was $35.4 million and $37.6 million at December 31, 2017 and 2016, respectively, a decrease of $2.3 million year over year. During the year ended December 31, 2017, the Company was awarded three levee projects in California, remediation projects in California, New Jersey, South Dakota, Colorado and Texas and two geotechnical projects in California. The small decline during the current year was driven by revenue earned on a remediation project in New Jersey and the completion of a remediation project in Florida during 2017. The Company expects about 81% of its environmental &amp; infrastructure backlog at December 31, 2017 to be performed in 2018. As part of the environmental &amp; infrastructure segment’s initiatives, the Company will focus on geographical expansion in the geotechnical services business. The Company anticipates an increase in levee work in 2018 due to the recent flooding in the Northwest. Further, the Company anticipates additional contracting opportunities arising from the transformation of the U.S. energy infrastructure, specifically related to the remediation requirements as mandated by the EPA’s rule to the regulate the disposal of coal combustion residuals from electric utilities promulgated in June 2015.</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3" w:lineRule="exact"/>
        <w:rPr>
          <w:sz w:val="20"/>
          <w:szCs w:val="20"/>
          <w:color w:val="auto"/>
        </w:rPr>
      </w:pPr>
    </w:p>
    <w:p>
      <w:pPr>
        <w:ind w:right="140" w:firstLine="518"/>
        <w:spacing w:after="0" w:line="254" w:lineRule="auto"/>
        <w:rPr>
          <w:sz w:val="20"/>
          <w:szCs w:val="20"/>
          <w:color w:val="auto"/>
        </w:rPr>
      </w:pPr>
      <w:r>
        <w:rPr>
          <w:rFonts w:ascii="Arial" w:cs="Arial" w:eastAsia="Arial" w:hAnsi="Arial"/>
          <w:sz w:val="18"/>
          <w:szCs w:val="18"/>
          <w:color w:val="auto"/>
        </w:rPr>
        <w:t>The Company’s principal sources of liquidity are net cash flows provided by operating activities, borrowings under the Company’s revolving credit facility and proceeds from issuances of long-term debt. See Note 8, Long-Term Debt, to our consolidated financial statements included in Item 15 of this Annual Report on Form 10-K. The Company’s principal uses of cash are to meet debt service requirements, finance capital expenditures, and provide working capital and other general corporate purposes.</w:t>
      </w:r>
    </w:p>
    <w:p>
      <w:pPr>
        <w:spacing w:after="0" w:line="191" w:lineRule="exact"/>
        <w:rPr>
          <w:sz w:val="20"/>
          <w:szCs w:val="20"/>
          <w:color w:val="auto"/>
        </w:rPr>
      </w:pPr>
    </w:p>
    <w:p>
      <w:pPr>
        <w:jc w:val="both"/>
        <w:ind w:right="60" w:firstLine="518"/>
        <w:spacing w:after="0" w:line="288" w:lineRule="auto"/>
        <w:rPr>
          <w:sz w:val="20"/>
          <w:szCs w:val="20"/>
          <w:color w:val="auto"/>
        </w:rPr>
      </w:pPr>
      <w:r>
        <w:rPr>
          <w:rFonts w:ascii="Arial" w:cs="Arial" w:eastAsia="Arial" w:hAnsi="Arial"/>
          <w:sz w:val="16"/>
          <w:szCs w:val="16"/>
          <w:color w:val="auto"/>
        </w:rPr>
        <w:t>The Company’s net cash provided by operating activities of continuing operations for the years ended December 31, 2017, 2016 and 2015 totaled $42.4 million, $38.7 million and $29.1 million, respectively. Normal increases or decreases in the level of working capital relative to the level of operational activity impact cash flow from operating activities. The change in net cash provided by operating activities of continuing operations in the current year was driven by a lower investment in working capital during 2017. Cash provided by operating activities for the year ended December 31, 2016 was up compared to 2015 due to lower investment in working capital, specifically related to the final billings and collections on large projects completed late in 2015 but collected during 2016. This positive impact of working capital was slightly offset by lower net income during 2016 as compared to 2015.</w:t>
      </w:r>
    </w:p>
    <w:p>
      <w:pPr>
        <w:spacing w:after="0" w:line="169" w:lineRule="exact"/>
        <w:rPr>
          <w:sz w:val="20"/>
          <w:szCs w:val="20"/>
          <w:color w:val="auto"/>
        </w:rPr>
      </w:pPr>
    </w:p>
    <w:p>
      <w:pPr>
        <w:ind w:right="20" w:firstLine="518"/>
        <w:spacing w:after="0" w:line="265" w:lineRule="auto"/>
        <w:rPr>
          <w:sz w:val="20"/>
          <w:szCs w:val="20"/>
          <w:color w:val="auto"/>
        </w:rPr>
      </w:pPr>
      <w:r>
        <w:rPr>
          <w:rFonts w:ascii="Arial" w:cs="Arial" w:eastAsia="Arial" w:hAnsi="Arial"/>
          <w:sz w:val="17"/>
          <w:szCs w:val="17"/>
          <w:color w:val="auto"/>
        </w:rPr>
        <w:t>The Company’s net cash flows used in investing activities of continuing operations for the years ended December 31, 2017, 2016 and 2015 totaled $51.1 million, $72.6 million and $73.1 million, respectively. Investing activities in all periods primarily relate to normal course upgrades and capital maintenance of the Company’s dredging fleet. For the years ended December 31, 2017, 2016 and 2015, the Company spent $43.3 million, $53.9 million and $34.5 million, respectively, on the construction of the ATB. The ATB was placed in service during the fourth quarter of 2017. During 2017, the Company also received $10.1 million in proceeds from dispositions of property and equipment, mostly related to the refinancing of two dredges. For the year ended December 31, 2016, the Company received $18.3 million in proceeds from the sale of underutilized equipment and the sale of assets associated with certain service lines of the environmental &amp; infrastructure segment compared to $1.3 million in proceeds in 2015. Further, in connection with the termination of the Company’s former revolving credit agreement, the Company was required to issue cash collateral of $7.0 million related to two letters of credit during 2016. During the first quarter of 2017, new letters of credit were issued under the Company’s new credit facility, and the cash used to collateralize the previous letters of credit was paid back in full to the Company.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8" w:name="page49"/>
    <w:bookmarkEnd w:id="48"/>
    <w:p>
      <w:pPr>
        <w:ind w:firstLine="518"/>
        <w:spacing w:after="0" w:line="250" w:lineRule="auto"/>
        <w:rPr>
          <w:sz w:val="20"/>
          <w:szCs w:val="20"/>
          <w:color w:val="auto"/>
        </w:rPr>
      </w:pPr>
      <w:r>
        <w:rPr>
          <w:rFonts w:ascii="Arial" w:cs="Arial" w:eastAsia="Arial" w:hAnsi="Arial"/>
          <w:sz w:val="18"/>
          <w:szCs w:val="18"/>
          <w:color w:val="auto"/>
        </w:rPr>
        <w:t>The Company’s net cash flows provided by financing activities of continuing operations for the years ended December 31, 2017, 2016 and 2015 totaled $34.2 million, $30.8 million and $15.9 million, respectively. Net cash flows provided by financing activities for the year ended December 31, 2017 increased due to the issuance of the Company’s $325 million of 8% senior notes during the second quarter of 2017. The Company used a portion of the net proceeds to redeem its $275 million of 7 3/8% senior notes and repay a portion of the Company’s revolver. The changes in net cash flows provided by financing activities were further impacted by net borrowings on the Company’s revolving credit facility. The Company repaid $9.1 million of borrowing during 2017 while net borrowings were $84.1 million and $20.0 million for the years ended December 31, 2016 and 2015, respectively. The Company also paid $5.0 million in financing fees on the issuance of the senior notes during the current year period. The senior secured term loan facility was paid in full during the fourth quarter of 2016.</w:t>
      </w:r>
    </w:p>
    <w:p>
      <w:pPr>
        <w:spacing w:after="0" w:line="1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49" w:name="page50"/>
    <w:bookmarkEnd w:id="49"/>
    <w:p>
      <w:pPr>
        <w:ind w:left="520"/>
        <w:spacing w:after="0"/>
        <w:rPr>
          <w:sz w:val="20"/>
          <w:szCs w:val="20"/>
          <w:color w:val="auto"/>
        </w:rPr>
      </w:pPr>
      <w:r>
        <w:rPr>
          <w:rFonts w:ascii="Arial" w:cs="Arial" w:eastAsia="Arial" w:hAnsi="Arial"/>
          <w:sz w:val="18"/>
          <w:szCs w:val="18"/>
          <w:i w:val="1"/>
          <w:iCs w:val="1"/>
          <w:color w:val="auto"/>
        </w:rPr>
        <w:t>Credit agreement</w:t>
      </w:r>
    </w:p>
    <w:p>
      <w:pPr>
        <w:spacing w:after="0" w:line="220" w:lineRule="exact"/>
        <w:rPr>
          <w:sz w:val="20"/>
          <w:szCs w:val="20"/>
          <w:color w:val="auto"/>
        </w:rPr>
      </w:pPr>
    </w:p>
    <w:p>
      <w:pPr>
        <w:ind w:firstLine="518"/>
        <w:spacing w:after="0" w:line="264" w:lineRule="auto"/>
        <w:rPr>
          <w:sz w:val="20"/>
          <w:szCs w:val="20"/>
          <w:color w:val="auto"/>
        </w:rPr>
      </w:pPr>
      <w:r>
        <w:rPr>
          <w:rFonts w:ascii="Arial" w:cs="Arial" w:eastAsia="Arial" w:hAnsi="Arial"/>
          <w:sz w:val="17"/>
          <w:szCs w:val="17"/>
          <w:color w:val="auto"/>
        </w:rPr>
        <w:t>On December 30, 2016, the Company, Great Lakes Dredge &amp; Dock Company, LLC, NASDI Holdings, LLC, Great Lakes Dredge &amp; Dock Environmental, Inc., Great Lakes Environmental &amp; Infrastructure Solutions, LLC and Great Lakes Environmental &amp; Infrastructure, LLC (collectively, the “Credit Parties”) entered into a revolving credit and security agreement, as subsequently amended, (the “Credit Agreement”) with certain financial institutions from time to time party thereto as lenders, PNC Bank, National Association, as Agent, PNC Capital Markets, The PrivateBank and Trust Company, Suntrust Robinson Humphrey, Inc., Capital One, National Association and Bank of America, N.A., as Joint Lead Arrangers and Joint Bookrunners, Texas Capital Bank, National Association, as Syndication Agent and Woodforest National Bank, as Documentation Agent. The Credit Agreement, which replaced the Company’s former revolving credit agreement, provides for a senior secured revolving credit facility in an aggregate principal amount of up to $250 million, subfacilities for the issuance of standby letters of credit up to a $250 million sublimit and swingline loans up to a $25 million sublimit. The maximum borrowing capacity under the Credit Agreement is determined by a formula and may fluctuate depending on the value of the collateral included in such formula at the time of determination. The Credit Agreement also includes an increase option that will allow the Company to increase the senior secured revolving credit facility by an aggregate principal amount of up to $100 million. This increase is subject to lenders providing incremental commitments for such increase, the Credit Parties having adequate borrowing capacity and provided that no default or event of default exists both before and after giving effect to such incremental commitment increase.</w:t>
      </w:r>
    </w:p>
    <w:p>
      <w:pPr>
        <w:spacing w:after="0" w:line="192"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auto"/>
        </w:rPr>
        <w:t>On December 6, 2017, the Company and the Credit Parties entered into a Consent and Amendment No. 3 (the “Credit Amendment”) to the Credit Agreement with the Agent, and the other required lenders thereunder. The Credit Amendment was entered into to, among other things, obtain consent from the required lenders under the Credit Agreement to permit the Company to consummate certain asset sales, retirements and other restructuring activities described therein, as part of the Company’s plan to reduce overhead, retire certain underperforming and underutilized assets and close out the Company’s Brazilian operations. This consent is subject to a number of important conditions, qualifications, limitations and exceptions that are described in the Credit Amendment.</w:t>
      </w:r>
    </w:p>
    <w:p>
      <w:pPr>
        <w:spacing w:after="0" w:line="165" w:lineRule="exact"/>
        <w:rPr>
          <w:sz w:val="20"/>
          <w:szCs w:val="20"/>
          <w:color w:val="auto"/>
        </w:rPr>
      </w:pPr>
    </w:p>
    <w:p>
      <w:pPr>
        <w:ind w:right="60" w:firstLine="518"/>
        <w:spacing w:after="0" w:line="267" w:lineRule="auto"/>
        <w:rPr>
          <w:sz w:val="20"/>
          <w:szCs w:val="20"/>
          <w:color w:val="auto"/>
        </w:rPr>
      </w:pPr>
      <w:r>
        <w:rPr>
          <w:rFonts w:ascii="Arial" w:cs="Arial" w:eastAsia="Arial" w:hAnsi="Arial"/>
          <w:sz w:val="17"/>
          <w:szCs w:val="17"/>
          <w:color w:val="auto"/>
        </w:rPr>
        <w:t>The Credit Amendment also amends the Credit Agreement to provide that (i) with respect to the Company’s 2017 and 2018 fiscal years, upon written election from the Company to Agent, including supporting documentation in form and substance satisfactory to Agent, up to an aggregate of $20 million of expenses related to the buy-out of operating leases shall not constitute capital expenditures under the Credit Agreement; and (ii) if the amount of capital expenditures incurred by all Credit Parties in fiscal year 2017 does not exceed $75 million then any amount remaining may be carried forward to be incurred in fiscal year 2018; provided further that, the aggregate amount of all capital expenditures incurred by all Credit Parties in fiscal years 2017 and 2018 does not exceed $135 million. Additionally, the Credit Amendment contains acknowledgments and agreements from the Agent and the required lenders with respect to certain EBITDA add-backs for fiscal years 2017 and 2018 described therein.</w:t>
      </w:r>
    </w:p>
    <w:p>
      <w:pPr>
        <w:spacing w:after="0" w:line="185" w:lineRule="exact"/>
        <w:rPr>
          <w:sz w:val="20"/>
          <w:szCs w:val="20"/>
          <w:color w:val="auto"/>
        </w:rPr>
      </w:pPr>
    </w:p>
    <w:p>
      <w:pPr>
        <w:ind w:right="20" w:firstLine="518"/>
        <w:spacing w:after="0" w:line="283" w:lineRule="auto"/>
        <w:rPr>
          <w:sz w:val="20"/>
          <w:szCs w:val="20"/>
          <w:color w:val="auto"/>
        </w:rPr>
      </w:pPr>
      <w:r>
        <w:rPr>
          <w:rFonts w:ascii="Arial" w:cs="Arial" w:eastAsia="Arial" w:hAnsi="Arial"/>
          <w:sz w:val="16"/>
          <w:szCs w:val="16"/>
          <w:color w:val="auto"/>
        </w:rPr>
        <w:t>The Credit Agreement contains customary representations and affirmative and negative covenants, including a springing financial covenant that requires the Credit Parties to maintain a fixed charge coverage ratio (ratio of earnings before income taxes, depreciation and amortization, net interest expenses, non-cash charges and losses and certain other non-recurring charges, minus capital expenditures, income and franchise taxes, to net cash interest expense plus scheduled cash principal payments with respect to debt plus restricted payments paid in cash) of not more than 1.10 to 1.00. The Company is required to maintain this ratio if its availability under the Credit Agreement falls below $31.3 million for five consecutive days or $25.0 million for one day. The Credit Parties are also restricted in the amount of capital expenditures they may make in each of the next three fiscal years. The Credit Agreement also contains customary events of default (including non-payment of principal or interest on any material debt and breaches of covenants) as well as events of default relating to certain actions by the Company’s surety bonding providers. The obligations of the Credit Parties under the Credit Agreement will be unconditionally guaranteed, on a joint and several basis, by each existing and subsequently acquired or formed material direct and indirect domestic subsidiary of the Company. Borrowings under the Credit Agreement will be used to refinance existing indebtedness under the Company’s former revolving credit agreement, refinance existing indebtedness under the Company’s former term loan agreement, pay fees and expenses related to the Credit Agreement, finance acquisitions permitted under the Credit Agreement, finance ongoing working capital and for other general corporate purposes. The Credit Agreement matures on December 30, 2019.</w:t>
      </w:r>
    </w:p>
    <w:p>
      <w:pPr>
        <w:spacing w:after="0" w:line="170" w:lineRule="exact"/>
        <w:rPr>
          <w:sz w:val="20"/>
          <w:szCs w:val="20"/>
          <w:color w:val="auto"/>
        </w:rPr>
      </w:pPr>
    </w:p>
    <w:p>
      <w:pPr>
        <w:ind w:right="100" w:firstLine="518"/>
        <w:spacing w:after="0" w:line="254" w:lineRule="auto"/>
        <w:rPr>
          <w:sz w:val="20"/>
          <w:szCs w:val="20"/>
          <w:color w:val="auto"/>
        </w:rPr>
      </w:pPr>
      <w:r>
        <w:rPr>
          <w:rFonts w:ascii="Arial" w:cs="Arial" w:eastAsia="Arial" w:hAnsi="Arial"/>
          <w:sz w:val="18"/>
          <w:szCs w:val="18"/>
          <w:color w:val="auto"/>
        </w:rPr>
        <w:t>The obligations under the Credit Agreement are secured by substantially all of the assets of the Credit Parties. The outstanding obligations thereunder shall be secured by a valid first priority perfected lien on substantially all of the vessels of the Credit Parties and a valid perfected lien on all domestic accounts receivable and substantially all other assets of the Credit Parties, subject to the permitted liens and interests of other parties (including the Company’s surety bonding providers).</w:t>
      </w:r>
    </w:p>
    <w:p>
      <w:pPr>
        <w:spacing w:after="0" w:line="191"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Interest on the senior secured revolving credit facility of the Credit Agreement is equal to either a Base Rate option or LIBOR option, at the Company’s election. The Base Rate option is (1) the base commercial lending rate of PNC Bank, National Association, as publically announced plus (2)(a) an interest margin of 2.0% or (b) after the date on which a borrowing base certificate is required to</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340" w:right="259" w:bottom="1440" w:gutter="0" w:footer="0" w:header="0"/>
        </w:sectPr>
      </w:pPr>
    </w:p>
    <w:bookmarkStart w:id="50" w:name="page51"/>
    <w:bookmarkEnd w:id="50"/>
    <w:p>
      <w:pPr>
        <w:ind w:right="60"/>
        <w:spacing w:after="0" w:line="291" w:lineRule="auto"/>
        <w:rPr>
          <w:sz w:val="20"/>
          <w:szCs w:val="20"/>
          <w:color w:val="auto"/>
        </w:rPr>
      </w:pPr>
      <w:r>
        <w:rPr>
          <w:rFonts w:ascii="Arial" w:cs="Arial" w:eastAsia="Arial" w:hAnsi="Arial"/>
          <w:sz w:val="16"/>
          <w:szCs w:val="16"/>
          <w:color w:val="auto"/>
        </w:rPr>
        <w:t>be delivered under Section 9.2 of the Credit Agreement (commencing with the fiscal quarter ending December 31, 2017, the “Adjustment Date”), an interest margin ranging between 1.5% and 2.0% depending on the quarterly average undrawn availability on the senior secured revolving credit facility. The LIBOR option is the sum of (1) LIBOR and (2) (a) an interest margin of 3.0% or (b) after the Adjustment Date, an interest rate margin ranging between 2.5% to 3.0% per annum depending on the quarterly average undrawn availability on the senior secured revolving credit facility. The Credit Agreement is subject to an unused fee ranging from 0.25% to 0.375% per annum depending on the amount of average daily outstandings under the senior secured revolving credit facility.</w:t>
      </w:r>
    </w:p>
    <w:p>
      <w:pPr>
        <w:spacing w:after="0" w:line="165"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The obligations of Great Lakes under the Credit Agreement are unconditionally guaranteed, on a joint and several basis, by each existing and subsequently acquired or formed material direct and indirect domestic subsidiary of the Company. During a year, the Company frequently borrows and repays amounts under its revolving credit facility. As of December 31, 2017, the Company had $95.0 million of borrowings on the revolver and $34.3 million of letters of credit outstanding, resulting in $76.8 million of availability under the Credit Agreement.</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Term loan facility</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conjunction with the Credit Agreement entered into on December 30, 2016, the Term Loan Facility was paid in full.</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Surety agreements</w:t>
      </w:r>
    </w:p>
    <w:p>
      <w:pPr>
        <w:spacing w:after="0" w:line="220"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Performance and bid bonds are customarily required for dredging and marine construction projects, as well as some environmental &amp; infrastructure projects. The Company has a bonding agreement with the Sureties under which the Company can obtain performance, bid and payment bonds. The Company also has outstanding bonds with Travelers Casualty and Surety Company of America and Zurich. Bid bonds are generally obtained for a percentage of bid value and amounts outstanding typically range from $1 million to $10 million. At December 31, 2017, the Company had outstanding performance bonds valued at approximately $1,340.8 million of which $41.1 million relates to projects accounted for in discontinued operations. The revenue value remaining in backlog related to the projects of continuing operations totaled approximately $515.3 million.</w:t>
      </w:r>
    </w:p>
    <w:p>
      <w:pPr>
        <w:spacing w:after="0" w:line="179" w:lineRule="exact"/>
        <w:rPr>
          <w:sz w:val="20"/>
          <w:szCs w:val="20"/>
          <w:color w:val="auto"/>
        </w:rPr>
      </w:pPr>
    </w:p>
    <w:p>
      <w:pPr>
        <w:ind w:right="200" w:firstLine="518"/>
        <w:spacing w:after="0" w:line="250" w:lineRule="auto"/>
        <w:rPr>
          <w:sz w:val="20"/>
          <w:szCs w:val="20"/>
          <w:color w:val="auto"/>
        </w:rPr>
      </w:pPr>
      <w:r>
        <w:rPr>
          <w:rFonts w:ascii="Arial" w:cs="Arial" w:eastAsia="Arial" w:hAnsi="Arial"/>
          <w:sz w:val="18"/>
          <w:szCs w:val="18"/>
          <w:color w:val="auto"/>
        </w:rPr>
        <w:t>In connection with the sale of our historical demolition business, the Company was obligated to keep in place the surety bonds on pending demolition projects for the period required under the respective contract for a project and issued Zurich a letter of credit related to this exposure. In February 2017, the Company was notified by Zurich of an alleged default triggered on a historical demolition surety performance bond in the aggregate of approximately $20 million for failure of the contractor to perform in accordance with the terms of a project. In May 2017, Zurich drew upon the letter of credit in the amount of $20.9 million. In order to fund the draw on the letter of credit, the Company had to increase the borrowings on its revolving credit facility. As the outstanding letters of credit previously reduced our availability under the revolving credit facility, this draw down on our letter of credit does not impact our liquidity or capital availability.</w:t>
      </w:r>
    </w:p>
    <w:p>
      <w:pPr>
        <w:spacing w:after="0" w:line="198"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Pursuant to the terms of sale of our historical demolition business, the Company received an indemnification from the buyer for losses resulting from the bonding arrangement. The Company intends to aggressively pursue enforcement of the indemnification provisions if the buyer of the historical demolition business is found to be in default of its obligations. The Company cannot estimate the amount or range of recoveries related to the indemnification or resolution of the Company’s responsibilities under the surety bond. The surety bond claim impact has been included in discontinued operations and is discussed in Note 14, Commitments and Contingencies, to the Company’s condensed consolidated financial statements.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Senior notes</w:t>
      </w:r>
    </w:p>
    <w:p>
      <w:pPr>
        <w:spacing w:after="0" w:line="220" w:lineRule="exact"/>
        <w:rPr>
          <w:sz w:val="20"/>
          <w:szCs w:val="20"/>
          <w:color w:val="auto"/>
        </w:rPr>
      </w:pPr>
    </w:p>
    <w:p>
      <w:pPr>
        <w:ind w:firstLine="518"/>
        <w:spacing w:after="0" w:line="265" w:lineRule="auto"/>
        <w:rPr>
          <w:sz w:val="20"/>
          <w:szCs w:val="20"/>
          <w:color w:val="auto"/>
        </w:rPr>
      </w:pPr>
      <w:r>
        <w:rPr>
          <w:rFonts w:ascii="Arial" w:cs="Arial" w:eastAsia="Arial" w:hAnsi="Arial"/>
          <w:sz w:val="17"/>
          <w:szCs w:val="17"/>
          <w:color w:val="auto"/>
        </w:rPr>
        <w:t>In May 2017, the Company issued $325 million in aggregate principal amount of its 8% senior notes (“8% Senior Notes”) due May 15, 2022. Approximately $283 million of the net proceeds from the issuance of the 8% Senior Notes were used to prepay all of the Company’s 7.375% senior notes due February 2019, including a tender premium and accrued and unpaid interest. Interest on the 8% Senior Notes is payable semi-annually in arrears on May 15 and November 15 of each year, beginning on November 15, 2017. The 8% Senior Notes are senior unsecured obligations of the Company and will be guaranteed on a senior unsecured basis by the guarantors and any other subsidiary guarantors that from time to time become parties to the indenture. The terms of the indenture will, among other things, limit the ability of the Company and its restricted subsidiaries to (i) pay dividends, or make certain other restricted payments or investments; (ii) incur additional indebtedness and issue disqualified stock; (iii) create liens on their assets; (iv) transfer and sell assets; (v) enter into certain business combinations with third parties or into certain other transactions with affiliates; (vi) create restrictions on dividends or other payments by the Company’s restricted subsidiaries; and (vii) create guarantees of indebtedness by restricted subsidiaries. These covenants are subject to a number of important limitations and exceptions that are described in the indenture.</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51" w:name="page52"/>
    <w:bookmarkEnd w:id="51"/>
    <w:p>
      <w:pPr>
        <w:ind w:right="400" w:firstLine="518"/>
        <w:spacing w:after="0" w:line="295" w:lineRule="auto"/>
        <w:rPr>
          <w:sz w:val="20"/>
          <w:szCs w:val="20"/>
          <w:color w:val="auto"/>
        </w:rPr>
      </w:pPr>
      <w:r>
        <w:rPr>
          <w:rFonts w:ascii="Arial" w:cs="Arial" w:eastAsia="Arial" w:hAnsi="Arial"/>
          <w:sz w:val="16"/>
          <w:szCs w:val="16"/>
          <w:color w:val="auto"/>
        </w:rPr>
        <w:t>The future declaration and payment of dividends will be at the discretion of the Company’s board of directors and will depend on many factors, including general economic and business conditions, the Company’s strategic plans, its financial results and condition and legal requirements, including restrictions and limitations contained in the Credit Agreement, bonding agreement and the indenture relating to its senior notes. Accordingly, the Company cannot make any assurances as to the size of any such dividend or that it will pay any such dividend in future quarters.</w:t>
      </w:r>
    </w:p>
    <w:p>
      <w:pPr>
        <w:spacing w:after="0" w:line="162"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The impact of changes in functional currency exchange rates against the U.S. dollar on non-U.S. dollar cash balances, primarily the Australian dollar and the Brazilian real, is reflected in the cumulative translation adjustment—net within accumulated other comprehensive income (loss). Cash held in non-U.S. dollar currencies primarily is used for project-related and other operating costs in those currencies reducing the Company’s exposure to future realized exchange gains and losses.</w:t>
      </w:r>
    </w:p>
    <w:p>
      <w:pPr>
        <w:spacing w:after="0" w:line="191"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The Company believes its cash and cash equivalents, its anticipated cash flows from operations and availability under its revolving credit facility will be sufficient to fund the Company’s operations, capital expenditures and the scheduled debt service requirements for the next twelve months. Beyond the next twelve months, the Company’s ability to fund its working capital needs, planned capital expenditures, scheduled debt payments and dividends, if any, and to comply with all the financial covenants required under the Credit Agreement, depends on its future operating performance and cash flows, which in turn are subject to prevailing economic conditions and to financial, business and other factors, some of which are beyond the Company’s control.</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3" w:lineRule="exact"/>
        <w:rPr>
          <w:sz w:val="20"/>
          <w:szCs w:val="20"/>
          <w:color w:val="auto"/>
        </w:rPr>
      </w:pPr>
    </w:p>
    <w:p>
      <w:pPr>
        <w:ind w:right="160" w:firstLine="518"/>
        <w:spacing w:after="0" w:line="331" w:lineRule="auto"/>
        <w:rPr>
          <w:sz w:val="20"/>
          <w:szCs w:val="20"/>
          <w:color w:val="auto"/>
        </w:rPr>
      </w:pPr>
      <w:r>
        <w:rPr>
          <w:rFonts w:ascii="Arial" w:cs="Arial" w:eastAsia="Arial" w:hAnsi="Arial"/>
          <w:sz w:val="16"/>
          <w:szCs w:val="16"/>
          <w:color w:val="auto"/>
        </w:rPr>
        <w:t>The following table summarizes the Company’s contractual cash obligations at December 31, 2017. Additional information related to these obligations can be found in Note 8, Long-Term Debt, and Note 14, Commitments and Contingencies, to the Company’s consolidated financial statements.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8"/>
          </w:tcPr>
          <w:p>
            <w:pPr>
              <w:ind w:left="300"/>
              <w:spacing w:after="0"/>
              <w:rPr>
                <w:sz w:val="20"/>
                <w:szCs w:val="20"/>
                <w:color w:val="auto"/>
              </w:rPr>
            </w:pPr>
            <w:r>
              <w:rPr>
                <w:rFonts w:ascii="Arial" w:cs="Arial" w:eastAsia="Arial" w:hAnsi="Arial"/>
                <w:sz w:val="14"/>
                <w:szCs w:val="14"/>
                <w:b w:val="1"/>
                <w:bCs w:val="1"/>
                <w:color w:val="auto"/>
              </w:rPr>
              <w:t>Obligations coming due in year(s) ending:</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6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76"/>
              <w:spacing w:after="0" w:line="144"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276"/>
              <w:spacing w:after="0" w:line="144" w:lineRule="exact"/>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ind w:left="80"/>
              <w:spacing w:after="0" w:line="144" w:lineRule="exact"/>
              <w:rPr>
                <w:sz w:val="20"/>
                <w:szCs w:val="20"/>
                <w:color w:val="auto"/>
              </w:rPr>
            </w:pPr>
            <w:r>
              <w:rPr>
                <w:rFonts w:ascii="Arial" w:cs="Arial" w:eastAsia="Arial" w:hAnsi="Arial"/>
                <w:sz w:val="14"/>
                <w:szCs w:val="14"/>
                <w:b w:val="1"/>
                <w:bCs w:val="1"/>
                <w:color w:val="auto"/>
              </w:rPr>
              <w:t>2025 and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660" w:type="dxa"/>
            <w:vAlign w:val="bottom"/>
            <w:vMerge w:val="restart"/>
          </w:tcPr>
          <w:p>
            <w:pPr>
              <w:spacing w:after="0"/>
              <w:rPr>
                <w:sz w:val="20"/>
                <w:szCs w:val="20"/>
                <w:color w:val="auto"/>
              </w:rPr>
            </w:pPr>
            <w:r>
              <w:rPr>
                <w:rFonts w:ascii="Arial" w:cs="Arial" w:eastAsia="Arial" w:hAnsi="Arial"/>
                <w:sz w:val="18"/>
                <w:szCs w:val="18"/>
                <w:color w:val="auto"/>
              </w:rPr>
              <w:t>Equipment notes payable (2)</w:t>
            </w:r>
          </w:p>
        </w:tc>
        <w:tc>
          <w:tcPr>
            <w:tcW w:w="1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Total (1)</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2024</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beyond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660" w:type="dxa"/>
            <w:vAlign w:val="bottom"/>
            <w:vMerge w:val="continue"/>
          </w:tcPr>
          <w:p>
            <w:pPr>
              <w:spacing w:after="0"/>
              <w:rPr>
                <w:sz w:val="19"/>
                <w:szCs w:val="19"/>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9"/>
                <w:szCs w:val="19"/>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Senior notes (3)</w:t>
            </w:r>
          </w:p>
        </w:tc>
        <w:tc>
          <w:tcPr>
            <w:tcW w:w="1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335.8</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3660" w:type="dxa"/>
            <w:vAlign w:val="bottom"/>
          </w:tcPr>
          <w:p>
            <w:pPr>
              <w:spacing w:after="0"/>
              <w:rPr>
                <w:sz w:val="20"/>
                <w:szCs w:val="20"/>
                <w:color w:val="auto"/>
              </w:rPr>
            </w:pPr>
            <w:r>
              <w:rPr>
                <w:rFonts w:ascii="Arial" w:cs="Arial" w:eastAsia="Arial" w:hAnsi="Arial"/>
                <w:sz w:val="18"/>
                <w:szCs w:val="18"/>
                <w:color w:val="auto"/>
              </w:rPr>
              <w:t>Notes payable (4)</w:t>
            </w: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Long term bank debt (5)</w:t>
            </w:r>
          </w:p>
        </w:tc>
        <w:tc>
          <w:tcPr>
            <w:tcW w:w="1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3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 commitments</w:t>
            </w:r>
          </w:p>
        </w:tc>
        <w:tc>
          <w:tcPr>
            <w:tcW w:w="15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635.4</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360.4</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520" w:hanging="513"/>
        <w:spacing w:after="0"/>
        <w:tabs>
          <w:tab w:leader="none" w:pos="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Excluded from the above table are $0.2 million in liabilities for uncertain tax positions for which the period of settlement is not determinable.</w:t>
      </w:r>
    </w:p>
    <w:p>
      <w:pPr>
        <w:spacing w:after="0" w:line="28" w:lineRule="exact"/>
        <w:rPr>
          <w:rFonts w:ascii="Arial" w:cs="Arial" w:eastAsia="Arial" w:hAnsi="Arial"/>
          <w:sz w:val="17"/>
          <w:szCs w:val="17"/>
          <w:color w:val="auto"/>
        </w:rPr>
      </w:pPr>
    </w:p>
    <w:p>
      <w:pPr>
        <w:ind w:left="520" w:hanging="513"/>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principal and interest on ten capital equipment leases.</w:t>
      </w:r>
    </w:p>
    <w:p>
      <w:pPr>
        <w:spacing w:after="0" w:line="6" w:lineRule="exact"/>
        <w:rPr>
          <w:rFonts w:ascii="Arial" w:cs="Arial" w:eastAsia="Arial" w:hAnsi="Arial"/>
          <w:sz w:val="18"/>
          <w:szCs w:val="18"/>
          <w:color w:val="auto"/>
        </w:rPr>
      </w:pPr>
    </w:p>
    <w:p>
      <w:pPr>
        <w:ind w:left="520" w:hanging="513"/>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cash interest payments calculated at stated fixed rate of 8.000%.</w:t>
      </w:r>
    </w:p>
    <w:p>
      <w:pPr>
        <w:spacing w:after="0" w:line="6" w:lineRule="exact"/>
        <w:rPr>
          <w:rFonts w:ascii="Arial" w:cs="Arial" w:eastAsia="Arial" w:hAnsi="Arial"/>
          <w:sz w:val="18"/>
          <w:szCs w:val="18"/>
          <w:color w:val="auto"/>
        </w:rPr>
      </w:pPr>
    </w:p>
    <w:p>
      <w:pPr>
        <w:ind w:left="520" w:hanging="513"/>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the principal on one piece of vessel financing and all corresponding interest payments.</w:t>
      </w:r>
    </w:p>
    <w:p>
      <w:pPr>
        <w:spacing w:after="0" w:line="6" w:lineRule="exact"/>
        <w:rPr>
          <w:rFonts w:ascii="Arial" w:cs="Arial" w:eastAsia="Arial" w:hAnsi="Arial"/>
          <w:sz w:val="18"/>
          <w:szCs w:val="18"/>
          <w:color w:val="auto"/>
        </w:rPr>
      </w:pPr>
    </w:p>
    <w:p>
      <w:pPr>
        <w:ind w:left="520" w:right="20" w:hanging="513"/>
        <w:spacing w:after="0" w:line="254"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the Credit Agreement. At December 31, 2017, total outstanding on this facility was $95 million. Includes cash interest payments calculated at variable rates between 4.37% and 6.50%.</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Off-Balance Sheet and Contingent Obligations</w:t>
      </w:r>
    </w:p>
    <w:p>
      <w:pPr>
        <w:spacing w:after="0" w:line="113" w:lineRule="exact"/>
        <w:rPr>
          <w:sz w:val="20"/>
          <w:szCs w:val="20"/>
          <w:color w:val="auto"/>
        </w:rPr>
      </w:pPr>
    </w:p>
    <w:p>
      <w:pPr>
        <w:ind w:right="480" w:firstLine="518"/>
        <w:spacing w:after="0" w:line="257" w:lineRule="auto"/>
        <w:rPr>
          <w:sz w:val="20"/>
          <w:szCs w:val="20"/>
          <w:color w:val="auto"/>
        </w:rPr>
      </w:pPr>
      <w:r>
        <w:rPr>
          <w:rFonts w:ascii="Arial" w:cs="Arial" w:eastAsia="Arial" w:hAnsi="Arial"/>
          <w:sz w:val="18"/>
          <w:szCs w:val="18"/>
          <w:color w:val="auto"/>
        </w:rPr>
        <w:t>The Company had outstanding letters of credit relating to foreign contract guarantees and insurance payment liabilities totaling $34.8 million at December 31, 2017. The Company has granted liens on a substantial portion of its owned operating equipment as security for borrowings under its Credit Agreement and other indebtedness.</w:t>
      </w:r>
    </w:p>
    <w:p>
      <w:pPr>
        <w:spacing w:after="0" w:line="188" w:lineRule="exact"/>
        <w:rPr>
          <w:sz w:val="20"/>
          <w:szCs w:val="20"/>
          <w:color w:val="auto"/>
        </w:rPr>
      </w:pPr>
    </w:p>
    <w:p>
      <w:pPr>
        <w:ind w:right="100" w:firstLine="518"/>
        <w:spacing w:after="0" w:line="269" w:lineRule="auto"/>
        <w:rPr>
          <w:sz w:val="20"/>
          <w:szCs w:val="20"/>
          <w:color w:val="auto"/>
        </w:rPr>
      </w:pPr>
      <w:r>
        <w:rPr>
          <w:rFonts w:ascii="Arial" w:cs="Arial" w:eastAsia="Arial" w:hAnsi="Arial"/>
          <w:sz w:val="17"/>
          <w:szCs w:val="17"/>
          <w:color w:val="auto"/>
        </w:rPr>
        <w:t>The Company finances certain key vessels, office space, and other equipment used in its operations with off-balance sheet operating lease arrangements with unrelated lessors, requiring annual rentals of $21.3 million in 2018 which will decline to $2.9 million over the next seven years subject to future lease arrangements. These off-balance sheet leases contain default provisions, which are triggered by an acceleration of debt maturity under the terms of the Company’s Credit Agreement. Additionally, the leases typically contain provisions whereby the Company indemnifies the lessors for the tax treatment attributable to such leases based on the tax rules in place at lease inception. The tax indemnifications do not have a contractual dollar limit. To date, no lessors have asserted any claims against the Company under these tax indemnification provisions.</w:t>
      </w:r>
    </w:p>
    <w:p>
      <w:pPr>
        <w:spacing w:after="0" w:line="179"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At December 31, 2017, the Company had outstanding performance bonds with a notional amount of $1,340.8 million of which $41.1 million relates to projects from the Company’s historical environmental &amp; infrastructure businesses. The revenue value remaining in backlog related to the projects of continuing operations totaled $515.3 million.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2" w:name="page53"/>
    <w:bookmarkEnd w:id="52"/>
    <w:p>
      <w:pPr>
        <w:ind w:right="180" w:firstLine="518"/>
        <w:spacing w:after="0" w:line="267" w:lineRule="auto"/>
        <w:rPr>
          <w:sz w:val="20"/>
          <w:szCs w:val="20"/>
          <w:color w:val="auto"/>
        </w:rPr>
      </w:pPr>
      <w:r>
        <w:rPr>
          <w:rFonts w:ascii="Arial" w:cs="Arial" w:eastAsia="Arial" w:hAnsi="Arial"/>
          <w:sz w:val="17"/>
          <w:szCs w:val="17"/>
          <w:color w:val="auto"/>
        </w:rPr>
        <w:t>In connection with the sale of our historical demolition business, the Company was obligated to keep in place the surety bonds on pending demolition projects for the period required under the respective contract for a project and issued Zurich a letter of credit related to this exposure. In February 2017, the Company was notified by Zurich of an alleged default triggered on a historical demolition surety performance bond in the aggregate of approximately $20 million for failure of the contractor to perform in accordance with the terms of a project. In May 2017, Zurich drew upon the letter of credit in the amount of $20.9 million. In order to fund the draw on the letter of credit, the Company had to increase the borrowings on its revolving credit facility. As the outstanding letters of credit previously reduced the Company’s availability under the revolving credit facility, the draw down on the Company’s letter of credit does not impact its liquidity or capital availability.</w:t>
      </w:r>
    </w:p>
    <w:p>
      <w:pPr>
        <w:spacing w:after="0" w:line="185" w:lineRule="exact"/>
        <w:rPr>
          <w:sz w:val="20"/>
          <w:szCs w:val="20"/>
          <w:color w:val="auto"/>
        </w:rPr>
      </w:pPr>
    </w:p>
    <w:p>
      <w:pPr>
        <w:ind w:right="20" w:firstLine="518"/>
        <w:spacing w:after="0" w:line="304" w:lineRule="auto"/>
        <w:rPr>
          <w:sz w:val="20"/>
          <w:szCs w:val="20"/>
          <w:color w:val="auto"/>
        </w:rPr>
      </w:pPr>
      <w:r>
        <w:rPr>
          <w:rFonts w:ascii="Arial" w:cs="Arial" w:eastAsia="Arial" w:hAnsi="Arial"/>
          <w:sz w:val="16"/>
          <w:szCs w:val="16"/>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considers it unlikely that it would have to perform under any of the aforementioned contingent obligations, other than operating leases.</w:t>
      </w:r>
    </w:p>
    <w:p>
      <w:pPr>
        <w:spacing w:after="0" w:line="22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9" w:lineRule="exact"/>
        <w:rPr>
          <w:sz w:val="20"/>
          <w:szCs w:val="20"/>
          <w:color w:val="auto"/>
        </w:rPr>
      </w:pPr>
    </w:p>
    <w:p>
      <w:pPr>
        <w:ind w:right="80" w:firstLine="518"/>
        <w:spacing w:after="0" w:line="295" w:lineRule="auto"/>
        <w:rPr>
          <w:sz w:val="20"/>
          <w:szCs w:val="20"/>
          <w:color w:val="auto"/>
        </w:rPr>
      </w:pPr>
      <w:r>
        <w:rPr>
          <w:rFonts w:ascii="Arial" w:cs="Arial" w:eastAsia="Arial" w:hAnsi="Arial"/>
          <w:sz w:val="16"/>
          <w:szCs w:val="16"/>
          <w:color w:val="auto"/>
        </w:rPr>
        <w:t>A significant portion of the Company’s current dredging operations are conducted outside of the U.S., primarily in the Middle East. It is the Company’s policy to hedge foreign currency exchange risk on contracts denominated in currencies other than the U.S. dollar, if available. Currently, the majority of the Company’s foreign dredging work is in the Middle East. The currency in Bahrain, the Bahraini Dinar, is linked to the U.S. dollar; therefore, there is no foreign currency exposure on these transactions. At December 31, 2017, the Company had no foreign exchange forward contracts outstanding.</w:t>
      </w:r>
    </w:p>
    <w:p>
      <w:pPr>
        <w:spacing w:after="0" w:line="162" w:lineRule="exact"/>
        <w:rPr>
          <w:sz w:val="20"/>
          <w:szCs w:val="20"/>
          <w:color w:val="auto"/>
        </w:rPr>
      </w:pPr>
    </w:p>
    <w:p>
      <w:pPr>
        <w:ind w:right="260" w:firstLine="518"/>
        <w:spacing w:after="0" w:line="279" w:lineRule="auto"/>
        <w:rPr>
          <w:sz w:val="20"/>
          <w:szCs w:val="20"/>
          <w:color w:val="auto"/>
        </w:rPr>
      </w:pPr>
      <w:r>
        <w:rPr>
          <w:rFonts w:ascii="Arial" w:cs="Arial" w:eastAsia="Arial" w:hAnsi="Arial"/>
          <w:sz w:val="17"/>
          <w:szCs w:val="17"/>
          <w:color w:val="auto"/>
        </w:rPr>
        <w:t>At December 31, 2017, the Company had long-term senior notes outstanding with a recorded face value of $325.0 million. The fair value of these existing notes, which bear interest at a fixed rate of 8.000%, was $340.0 million at December 31, 2017 based on market prices. Assuming a 10% decrease in interest rates from the rates at December 31, 2017 the fair value of this fixed rate debt would have increased to $349.3 million.</w:t>
      </w:r>
    </w:p>
    <w:p>
      <w:pPr>
        <w:spacing w:after="0" w:line="172" w:lineRule="exact"/>
        <w:rPr>
          <w:sz w:val="20"/>
          <w:szCs w:val="20"/>
          <w:color w:val="auto"/>
        </w:rPr>
      </w:pPr>
    </w:p>
    <w:p>
      <w:pPr>
        <w:ind w:firstLine="518"/>
        <w:spacing w:after="0" w:line="280" w:lineRule="auto"/>
        <w:rPr>
          <w:sz w:val="20"/>
          <w:szCs w:val="20"/>
          <w:color w:val="auto"/>
        </w:rPr>
      </w:pPr>
      <w:r>
        <w:rPr>
          <w:rFonts w:ascii="Arial" w:cs="Arial" w:eastAsia="Arial" w:hAnsi="Arial"/>
          <w:sz w:val="16"/>
          <w:szCs w:val="16"/>
          <w:color w:val="auto"/>
        </w:rPr>
        <w:t>A significant operating cost for the Company is diesel fuel, which represents approximately 6% of the Company’s costs of contract revenues. The Company uses fuel commodity forward contracts, typically with durations of less than one year, to reduce the impacts of changing fuel prices on operations. The Company does not purchase fuel hedges for trading purposes. Based on the Company’s 2018 projected domestic fuel consumption, a 10% increase in the average price per gallon of fuel would have an immaterial effect on fuel expense, after the effect of fuel commodity contracts in place at December 31, 2017. At December 31, 2017 the Company had outstanding arrangements to hedge the price of a portion of its fuel purchases related to domestic dredging work in backlog, representing approximately 80% of its anticipated domestic fuel requirements through December 2017. As of December 31, 2017, there were</w:t>
      </w:r>
    </w:p>
    <w:p>
      <w:pPr>
        <w:spacing w:after="0" w:line="3" w:lineRule="exact"/>
        <w:rPr>
          <w:sz w:val="20"/>
          <w:szCs w:val="20"/>
          <w:color w:val="auto"/>
        </w:rPr>
      </w:pPr>
    </w:p>
    <w:p>
      <w:pPr>
        <w:ind w:right="360"/>
        <w:spacing w:after="0" w:line="297" w:lineRule="auto"/>
        <w:rPr>
          <w:sz w:val="20"/>
          <w:szCs w:val="20"/>
          <w:color w:val="auto"/>
        </w:rPr>
      </w:pPr>
      <w:r>
        <w:rPr>
          <w:rFonts w:ascii="Arial" w:cs="Arial" w:eastAsia="Arial" w:hAnsi="Arial"/>
          <w:sz w:val="16"/>
          <w:szCs w:val="16"/>
          <w:color w:val="auto"/>
        </w:rPr>
        <w:t>9.8 million gallons remaining on these contracts. Under these agreements, the Company will pay fixed prices ranging from $1.53 to $2.02 per gallon. At December 31, 2017, the fair value asset on these contracts was estimated to be $2.5 million, based on quoted market prices and is recorded in other current assets. A 10% change in forward fuel prices would result in an immaterial change in the fair value of fuel hedges outstanding at December 31, 2017.</w:t>
      </w:r>
    </w:p>
    <w:p>
      <w:pPr>
        <w:spacing w:after="0" w:line="26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19" w:lineRule="exact"/>
        <w:rPr>
          <w:sz w:val="20"/>
          <w:szCs w:val="20"/>
          <w:color w:val="auto"/>
        </w:rPr>
      </w:pPr>
    </w:p>
    <w:p>
      <w:pPr>
        <w:ind w:right="180" w:firstLine="518"/>
        <w:spacing w:after="0" w:line="295" w:lineRule="auto"/>
        <w:rPr>
          <w:sz w:val="20"/>
          <w:szCs w:val="20"/>
          <w:color w:val="auto"/>
        </w:rPr>
      </w:pPr>
      <w:r>
        <w:rPr>
          <w:rFonts w:ascii="Arial" w:cs="Arial" w:eastAsia="Arial" w:hAnsi="Arial"/>
          <w:sz w:val="16"/>
          <w:szCs w:val="16"/>
          <w:color w:val="auto"/>
        </w:rPr>
        <w:t>The consolidated financial statements (including financial statement schedules listed under Item 15 of this Report) of the Company called for by this Item, together with the Report of Independent Registered Public Accounting Firm dated February 28, 2018, are set forth on pages 58 to 96 inclusive, of this Report, and are hereby incorporated by reference into this Item. Financial statement schedules not included in this Report have been omitted because they are not applicable or because the information called for is shown in the consolidated financial statements or notes thereto.</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340" w:right="27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Quarterly Results of Operations (Unaudited)</w:t>
      </w:r>
    </w:p>
    <w:p>
      <w:pPr>
        <w:spacing w:after="0" w:line="119" w:lineRule="exact"/>
        <w:rPr>
          <w:sz w:val="20"/>
          <w:szCs w:val="20"/>
          <w:color w:val="auto"/>
        </w:rPr>
      </w:pPr>
    </w:p>
    <w:p>
      <w:pPr>
        <w:ind w:right="20" w:firstLine="518"/>
        <w:spacing w:after="0" w:line="251" w:lineRule="auto"/>
        <w:rPr>
          <w:sz w:val="20"/>
          <w:szCs w:val="20"/>
          <w:color w:val="auto"/>
        </w:rPr>
      </w:pPr>
      <w:r>
        <w:rPr>
          <w:rFonts w:ascii="Arial" w:cs="Arial" w:eastAsia="Arial" w:hAnsi="Arial"/>
          <w:sz w:val="18"/>
          <w:szCs w:val="18"/>
          <w:color w:val="auto"/>
        </w:rPr>
        <w:t>The following tables set forth our unaudited quarterly results of operations for 2017 and 2016. We have prepared this unaudited information on a basis consistent with the audited consolidated financial statements contained in this report and this unaudited information includes all adjustments, consisting only of normal recurring adjustments that we consider necessary for a fair presentation of our results of operations for the quarters presented. You should read this quarterly financial data along with the Condensed Consolidated Financial Statements and the related notes to those statements included in our Quarterly Reports on Form 10-Q filed with the Commission. The operating results for any quarter are not necessarily indicative of the results for the annual period or any future period.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4"/>
              </w:rPr>
              <w:t>Quarter Ended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September 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4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720" w:type="dxa"/>
            <w:vAlign w:val="bottom"/>
            <w:tcBorders>
              <w:top w:val="single" w:sz="8" w:color="auto"/>
            </w:tcBorders>
            <w:gridSpan w:val="5"/>
          </w:tcPr>
          <w:p>
            <w:pPr>
              <w:jc w:val="center"/>
              <w:ind w:right="360"/>
              <w:spacing w:after="0" w:line="144" w:lineRule="exact"/>
              <w:rPr>
                <w:sz w:val="20"/>
                <w:szCs w:val="20"/>
                <w:color w:val="auto"/>
              </w:rPr>
            </w:pPr>
            <w:r>
              <w:rPr>
                <w:rFonts w:ascii="Arial" w:cs="Arial" w:eastAsia="Arial" w:hAnsi="Arial"/>
                <w:sz w:val="14"/>
                <w:szCs w:val="14"/>
                <w:b w:val="1"/>
                <w:bCs w:val="1"/>
                <w:color w:val="auto"/>
                <w:w w:val="93"/>
              </w:rPr>
              <w:t>Unaudited</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20" w:type="dxa"/>
            <w:vAlign w:val="bottom"/>
            <w:gridSpan w:val="12"/>
          </w:tcPr>
          <w:p>
            <w:pPr>
              <w:jc w:val="center"/>
              <w:ind w:right="220"/>
              <w:spacing w:after="0"/>
              <w:rPr>
                <w:sz w:val="20"/>
                <w:szCs w:val="20"/>
                <w:color w:val="auto"/>
              </w:rPr>
            </w:pPr>
            <w:r>
              <w:rPr>
                <w:rFonts w:ascii="Arial" w:cs="Arial" w:eastAsia="Arial" w:hAnsi="Arial"/>
                <w:sz w:val="14"/>
                <w:szCs w:val="14"/>
                <w:b w:val="1"/>
                <w:bCs w:val="1"/>
                <w:color w:val="auto"/>
                <w:w w:val="89"/>
              </w:rPr>
              <w:t>(dollars in millions except shares in thousands and per share data)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5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2017</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480" w:type="dxa"/>
            <w:vAlign w:val="bottom"/>
          </w:tcPr>
          <w:p>
            <w:pPr>
              <w:spacing w:after="0"/>
              <w:rPr>
                <w:sz w:val="20"/>
                <w:szCs w:val="20"/>
                <w:color w:val="auto"/>
              </w:rPr>
            </w:pPr>
            <w:r>
              <w:rPr>
                <w:rFonts w:ascii="Arial" w:cs="Arial" w:eastAsia="Arial" w:hAnsi="Arial"/>
                <w:sz w:val="18"/>
                <w:szCs w:val="18"/>
                <w:color w:val="auto"/>
              </w:rPr>
              <w:t>Contract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170.6</w:t>
            </w:r>
          </w:p>
        </w:tc>
        <w:tc>
          <w:tcPr>
            <w:tcW w:w="26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176.9</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163.3</w:t>
            </w:r>
          </w:p>
        </w:tc>
        <w:tc>
          <w:tcPr>
            <w:tcW w:w="16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Costs of contract revenues</w:t>
            </w: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(154.4)</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(151.1)</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(146.6)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ind w:left="26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4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(17.3)</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480" w:type="dxa"/>
            <w:vAlign w:val="bottom"/>
          </w:tcPr>
          <w:p>
            <w:pPr>
              <w:spacing w:after="0"/>
              <w:rPr>
                <w:sz w:val="20"/>
                <w:szCs w:val="20"/>
                <w:color w:val="auto"/>
              </w:rPr>
            </w:pPr>
            <w:r>
              <w:rPr>
                <w:rFonts w:ascii="Arial" w:cs="Arial" w:eastAsia="Arial" w:hAnsi="Arial"/>
                <w:sz w:val="18"/>
                <w:szCs w:val="18"/>
                <w:color w:val="auto"/>
              </w:rPr>
              <w:t>Loss on sale of assets — net</w:t>
            </w:r>
          </w:p>
        </w:tc>
        <w:tc>
          <w:tcPr>
            <w:tcW w:w="12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shd w:val="clear" w:color="auto" w:fill="CFF0FC"/>
          </w:tcPr>
          <w:p>
            <w:pPr>
              <w:ind w:left="260"/>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8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480" w:type="dxa"/>
            <w:vAlign w:val="bottom"/>
          </w:tcPr>
          <w:p>
            <w:pPr>
              <w:spacing w:after="0"/>
              <w:rPr>
                <w:sz w:val="20"/>
                <w:szCs w:val="20"/>
                <w:color w:val="auto"/>
              </w:rPr>
            </w:pPr>
            <w:r>
              <w:rPr>
                <w:rFonts w:ascii="Arial" w:cs="Arial" w:eastAsia="Arial" w:hAnsi="Arial"/>
                <w:sz w:val="18"/>
                <w:szCs w:val="18"/>
                <w:color w:val="auto"/>
              </w:rPr>
              <w:t>Interest expense — net</w:t>
            </w:r>
          </w:p>
        </w:tc>
        <w:tc>
          <w:tcPr>
            <w:tcW w:w="12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(loss) of joint ventures</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4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2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ind w:left="260"/>
              <w:spacing w:after="0"/>
              <w:rPr>
                <w:sz w:val="20"/>
                <w:szCs w:val="20"/>
                <w:color w:val="auto"/>
              </w:rPr>
            </w:pPr>
            <w:r>
              <w:rPr>
                <w:rFonts w:ascii="Arial" w:cs="Arial" w:eastAsia="Arial" w:hAnsi="Arial"/>
                <w:sz w:val="18"/>
                <w:szCs w:val="18"/>
                <w:color w:val="auto"/>
              </w:rPr>
              <w:t>Loss before income taxes</w:t>
            </w: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4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48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12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discontinued operations, net of income taxes</w:t>
            </w: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5480" w:type="dxa"/>
            <w:vAlign w:val="bottom"/>
            <w:vMerge w:val="continue"/>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(16.8)</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54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480" w:type="dxa"/>
            <w:vAlign w:val="bottom"/>
          </w:tcPr>
          <w:p>
            <w:pPr>
              <w:spacing w:after="0"/>
              <w:rPr>
                <w:sz w:val="20"/>
                <w:szCs w:val="20"/>
                <w:color w:val="auto"/>
              </w:rPr>
            </w:pPr>
            <w:r>
              <w:rPr>
                <w:rFonts w:ascii="Arial" w:cs="Arial" w:eastAsia="Arial" w:hAnsi="Arial"/>
                <w:sz w:val="18"/>
                <w:szCs w:val="18"/>
                <w:color w:val="auto"/>
              </w:rPr>
              <w:t>Basic loss per share attributable to continuing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(0.06)</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w w:val="98"/>
              </w:rPr>
              <w:t>Basic loss per share attributable to discontinued operations, net of tax</w:t>
            </w: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(0.21)</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480" w:type="dxa"/>
            <w:vAlign w:val="bottom"/>
          </w:tcPr>
          <w:p>
            <w:pPr>
              <w:spacing w:after="0"/>
              <w:rPr>
                <w:sz w:val="20"/>
                <w:szCs w:val="20"/>
                <w:color w:val="auto"/>
              </w:rPr>
            </w:pPr>
            <w:r>
              <w:rPr>
                <w:rFonts w:ascii="Arial" w:cs="Arial" w:eastAsia="Arial" w:hAnsi="Arial"/>
                <w:sz w:val="18"/>
                <w:szCs w:val="18"/>
                <w:color w:val="auto"/>
              </w:rPr>
              <w:t>Basic loss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(0.27)</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Basic weighted average shares</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Diluted loss per share attributable to continuing operations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(0.06)</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(0.08)</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480" w:type="dxa"/>
            <w:vAlign w:val="bottom"/>
          </w:tcPr>
          <w:p>
            <w:pPr>
              <w:spacing w:after="0"/>
              <w:rPr>
                <w:sz w:val="20"/>
                <w:szCs w:val="20"/>
                <w:color w:val="auto"/>
              </w:rPr>
            </w:pPr>
            <w:r>
              <w:rPr>
                <w:rFonts w:ascii="Arial" w:cs="Arial" w:eastAsia="Arial" w:hAnsi="Arial"/>
                <w:sz w:val="18"/>
                <w:szCs w:val="18"/>
                <w:color w:val="auto"/>
                <w:w w:val="96"/>
              </w:rPr>
              <w:t>Diluted loss per share attributable to discontinued operations, net of tax</w:t>
            </w:r>
          </w:p>
        </w:tc>
        <w:tc>
          <w:tcPr>
            <w:tcW w:w="12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(0.21)</w:t>
            </w:r>
          </w:p>
        </w:tc>
        <w:tc>
          <w:tcPr>
            <w:tcW w:w="22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Diluted loss per share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(0.27)</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(0.08)</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80" w:type="dxa"/>
            <w:vAlign w:val="bottom"/>
          </w:tcPr>
          <w:p>
            <w:pPr>
              <w:spacing w:after="0"/>
              <w:rPr>
                <w:sz w:val="20"/>
                <w:szCs w:val="20"/>
                <w:color w:val="auto"/>
              </w:rPr>
            </w:pPr>
            <w:r>
              <w:rPr>
                <w:rFonts w:ascii="Arial" w:cs="Arial" w:eastAsia="Arial" w:hAnsi="Arial"/>
                <w:sz w:val="18"/>
                <w:szCs w:val="18"/>
                <w:color w:val="auto"/>
              </w:rPr>
              <w:t>Diluted weighted average shares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0"/>
        </w:trPr>
        <w:tc>
          <w:tcPr>
            <w:tcW w:w="5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852"/>
              <w:spacing w:after="0"/>
              <w:rPr>
                <w:sz w:val="20"/>
                <w:szCs w:val="20"/>
                <w:color w:val="auto"/>
              </w:rPr>
            </w:pPr>
            <w:r>
              <w:rPr>
                <w:rFonts w:ascii="Arial" w:cs="Arial" w:eastAsia="Arial" w:hAnsi="Arial"/>
                <w:sz w:val="18"/>
                <w:szCs w:val="18"/>
                <w:color w:val="auto"/>
                <w:w w:val="89"/>
              </w:rPr>
              <w:t>52</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441" w:right="21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4"/>
              </w:rPr>
              <w:t>Quarter Ended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September 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4"/>
        </w:trPr>
        <w:tc>
          <w:tcPr>
            <w:tcW w:w="54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720" w:type="dxa"/>
            <w:vAlign w:val="bottom"/>
            <w:tcBorders>
              <w:top w:val="single" w:sz="8" w:color="auto"/>
            </w:tcBorders>
            <w:gridSpan w:val="5"/>
          </w:tcPr>
          <w:p>
            <w:pPr>
              <w:jc w:val="center"/>
              <w:ind w:right="360"/>
              <w:spacing w:after="0" w:line="144" w:lineRule="exact"/>
              <w:rPr>
                <w:sz w:val="20"/>
                <w:szCs w:val="20"/>
                <w:color w:val="auto"/>
              </w:rPr>
            </w:pPr>
            <w:r>
              <w:rPr>
                <w:rFonts w:ascii="Arial" w:cs="Arial" w:eastAsia="Arial" w:hAnsi="Arial"/>
                <w:sz w:val="14"/>
                <w:szCs w:val="14"/>
                <w:b w:val="1"/>
                <w:bCs w:val="1"/>
                <w:color w:val="auto"/>
                <w:w w:val="93"/>
              </w:rPr>
              <w:t>Unaudited</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740" w:type="dxa"/>
            <w:vAlign w:val="bottom"/>
            <w:gridSpan w:val="12"/>
          </w:tcPr>
          <w:p>
            <w:pPr>
              <w:jc w:val="center"/>
              <w:ind w:right="300"/>
              <w:spacing w:after="0"/>
              <w:rPr>
                <w:sz w:val="20"/>
                <w:szCs w:val="20"/>
                <w:color w:val="auto"/>
              </w:rPr>
            </w:pPr>
            <w:r>
              <w:rPr>
                <w:rFonts w:ascii="Arial" w:cs="Arial" w:eastAsia="Arial" w:hAnsi="Arial"/>
                <w:sz w:val="14"/>
                <w:szCs w:val="14"/>
                <w:b w:val="1"/>
                <w:bCs w:val="1"/>
                <w:color w:val="auto"/>
                <w:w w:val="89"/>
              </w:rPr>
              <w:t>(dollars in millions except shares in thousands and per share data)</w:t>
            </w:r>
          </w:p>
        </w:tc>
        <w:tc>
          <w:tcPr>
            <w:tcW w:w="0" w:type="dxa"/>
            <w:vAlign w:val="bottom"/>
          </w:tcPr>
          <w:p>
            <w:pPr>
              <w:spacing w:after="0"/>
              <w:rPr>
                <w:sz w:val="1"/>
                <w:szCs w:val="1"/>
                <w:color w:val="auto"/>
              </w:rPr>
            </w:pPr>
          </w:p>
        </w:tc>
      </w:tr>
      <w:tr>
        <w:trPr>
          <w:trHeight w:val="227"/>
        </w:trPr>
        <w:tc>
          <w:tcPr>
            <w:tcW w:w="5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2016</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480" w:type="dxa"/>
            <w:vAlign w:val="bottom"/>
          </w:tcPr>
          <w:p>
            <w:pPr>
              <w:spacing w:after="0"/>
              <w:rPr>
                <w:sz w:val="20"/>
                <w:szCs w:val="20"/>
                <w:color w:val="auto"/>
              </w:rPr>
            </w:pPr>
            <w:r>
              <w:rPr>
                <w:rFonts w:ascii="Arial" w:cs="Arial" w:eastAsia="Arial" w:hAnsi="Arial"/>
                <w:sz w:val="18"/>
                <w:szCs w:val="18"/>
                <w:color w:val="auto"/>
              </w:rPr>
              <w:t>Contract revenues</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163.1</w:t>
            </w:r>
          </w:p>
        </w:tc>
        <w:tc>
          <w:tcPr>
            <w:tcW w:w="26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192.2</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198.9</w:t>
            </w:r>
          </w:p>
        </w:tc>
        <w:tc>
          <w:tcPr>
            <w:tcW w:w="16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Costs of contract revenues</w:t>
            </w: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(143.1)</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(167.9)</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(178.8)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19"/>
        </w:trPr>
        <w:tc>
          <w:tcPr>
            <w:tcW w:w="5480" w:type="dxa"/>
            <w:vAlign w:val="bottom"/>
          </w:tcPr>
          <w:p>
            <w:pPr>
              <w:ind w:left="260"/>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(20.1)</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6"/>
        </w:trPr>
        <w:tc>
          <w:tcPr>
            <w:tcW w:w="5480" w:type="dxa"/>
            <w:vAlign w:val="bottom"/>
          </w:tcPr>
          <w:p>
            <w:pPr>
              <w:spacing w:after="0"/>
              <w:rPr>
                <w:sz w:val="20"/>
                <w:szCs w:val="20"/>
                <w:color w:val="auto"/>
              </w:rPr>
            </w:pPr>
            <w:r>
              <w:rPr>
                <w:rFonts w:ascii="Arial" w:cs="Arial" w:eastAsia="Arial" w:hAnsi="Arial"/>
                <w:sz w:val="18"/>
                <w:szCs w:val="18"/>
                <w:color w:val="auto"/>
              </w:rPr>
              <w:t>Gain on sale of assets — net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480" w:type="dxa"/>
            <w:vAlign w:val="bottom"/>
            <w:vMerge w:val="restart"/>
            <w:shd w:val="clear" w:color="auto" w:fill="CFF0FC"/>
          </w:tcPr>
          <w:p>
            <w:pPr>
              <w:ind w:left="260"/>
              <w:spacing w:after="0"/>
              <w:rPr>
                <w:sz w:val="20"/>
                <w:szCs w:val="20"/>
                <w:color w:val="auto"/>
              </w:rPr>
            </w:pPr>
            <w:r>
              <w:rPr>
                <w:rFonts w:ascii="Arial" w:cs="Arial" w:eastAsia="Arial" w:hAnsi="Arial"/>
                <w:sz w:val="18"/>
                <w:szCs w:val="18"/>
                <w:color w:val="auto"/>
              </w:rPr>
              <w:t>Operating income (loss)</w:t>
            </w: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8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6"/>
        </w:trPr>
        <w:tc>
          <w:tcPr>
            <w:tcW w:w="5480" w:type="dxa"/>
            <w:vAlign w:val="bottom"/>
          </w:tcPr>
          <w:p>
            <w:pPr>
              <w:spacing w:after="0"/>
              <w:rPr>
                <w:sz w:val="20"/>
                <w:szCs w:val="20"/>
                <w:color w:val="auto"/>
              </w:rPr>
            </w:pPr>
            <w:r>
              <w:rPr>
                <w:rFonts w:ascii="Arial" w:cs="Arial" w:eastAsia="Arial" w:hAnsi="Arial"/>
                <w:sz w:val="18"/>
                <w:szCs w:val="18"/>
                <w:color w:val="auto"/>
              </w:rPr>
              <w:t>Interest expense — net</w:t>
            </w:r>
          </w:p>
        </w:tc>
        <w:tc>
          <w:tcPr>
            <w:tcW w:w="2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7"/>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(loss) of joint ventures</w:t>
            </w: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6"/>
        </w:trPr>
        <w:tc>
          <w:tcPr>
            <w:tcW w:w="5480" w:type="dxa"/>
            <w:vAlign w:val="bottom"/>
          </w:tcPr>
          <w:p>
            <w:pPr>
              <w:spacing w:after="0"/>
              <w:rPr>
                <w:sz w:val="20"/>
                <w:szCs w:val="20"/>
                <w:color w:val="auto"/>
              </w:rPr>
            </w:pPr>
            <w:r>
              <w:rPr>
                <w:rFonts w:ascii="Arial" w:cs="Arial" w:eastAsia="Arial" w:hAnsi="Arial"/>
                <w:sz w:val="18"/>
                <w:szCs w:val="18"/>
                <w:color w:val="auto"/>
              </w:rPr>
              <w:t>Other expense</w:t>
            </w:r>
          </w:p>
        </w:tc>
        <w:tc>
          <w:tcPr>
            <w:tcW w:w="2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5480" w:type="dxa"/>
            <w:vAlign w:val="bottom"/>
            <w:vMerge w:val="restart"/>
            <w:shd w:val="clear" w:color="auto" w:fill="CFF0FC"/>
          </w:tcPr>
          <w:p>
            <w:pPr>
              <w:ind w:left="260"/>
              <w:spacing w:after="0"/>
              <w:rPr>
                <w:sz w:val="20"/>
                <w:szCs w:val="20"/>
                <w:color w:val="auto"/>
              </w:rPr>
            </w:pPr>
            <w:r>
              <w:rPr>
                <w:rFonts w:ascii="Arial" w:cs="Arial" w:eastAsia="Arial" w:hAnsi="Arial"/>
                <w:sz w:val="18"/>
                <w:szCs w:val="18"/>
                <w:color w:val="auto"/>
              </w:rPr>
              <w:t>Income (loss) before income taxes</w:t>
            </w: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8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6"/>
        </w:trPr>
        <w:tc>
          <w:tcPr>
            <w:tcW w:w="548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48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54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Basic earnings (loss) per share</w:t>
            </w: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(0.07)</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(0.03)</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26"/>
        </w:trPr>
        <w:tc>
          <w:tcPr>
            <w:tcW w:w="5480" w:type="dxa"/>
            <w:vAlign w:val="bottom"/>
          </w:tcPr>
          <w:p>
            <w:pPr>
              <w:spacing w:after="0"/>
              <w:rPr>
                <w:sz w:val="20"/>
                <w:szCs w:val="20"/>
                <w:color w:val="auto"/>
              </w:rPr>
            </w:pPr>
            <w:r>
              <w:rPr>
                <w:rFonts w:ascii="Arial" w:cs="Arial" w:eastAsia="Arial" w:hAnsi="Arial"/>
                <w:sz w:val="18"/>
                <w:szCs w:val="18"/>
                <w:color w:val="auto"/>
              </w:rPr>
              <w:t>Basic weighted average shares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480" w:type="dxa"/>
            <w:vAlign w:val="bottom"/>
          </w:tcPr>
          <w:p>
            <w:pPr>
              <w:spacing w:after="0"/>
              <w:rPr>
                <w:sz w:val="20"/>
                <w:szCs w:val="20"/>
                <w:color w:val="auto"/>
              </w:rPr>
            </w:pPr>
            <w:r>
              <w:rPr>
                <w:rFonts w:ascii="Arial" w:cs="Arial" w:eastAsia="Arial" w:hAnsi="Arial"/>
                <w:sz w:val="18"/>
                <w:szCs w:val="18"/>
                <w:color w:val="auto"/>
              </w:rPr>
              <w:t>Diluted earnings (loss) per share</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(0.07)</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(0.03)</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0.07</w:t>
            </w:r>
          </w:p>
        </w:tc>
        <w:tc>
          <w:tcPr>
            <w:tcW w:w="16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27"/>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Diluted weighted average shares</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Note: Items may not sum due to rounding.</w:t>
      </w:r>
    </w:p>
    <w:p>
      <w:pPr>
        <w:spacing w:after="0" w:line="32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4"/>
          <w:szCs w:val="14"/>
          <w:b w:val="1"/>
          <w:bCs w:val="1"/>
          <w:color w:val="auto"/>
        </w:rPr>
        <w:t>Changes in and Disagreements With Accountants on Accounting and Financial Disclosure</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4"/>
          <w:szCs w:val="14"/>
          <w:b w:val="1"/>
          <w:bCs w:val="1"/>
          <w:color w:val="auto"/>
        </w:rPr>
        <w:t>Controls and Procedures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19" w:lineRule="exact"/>
        <w:rPr>
          <w:sz w:val="20"/>
          <w:szCs w:val="20"/>
          <w:color w:val="auto"/>
        </w:rPr>
      </w:pPr>
    </w:p>
    <w:p>
      <w:pPr>
        <w:ind w:left="1020" w:hanging="507"/>
        <w:spacing w:after="0"/>
        <w:tabs>
          <w:tab w:leader="none" w:pos="102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Evaluation of disclosure controls and procedures</w:t>
      </w:r>
    </w:p>
    <w:p>
      <w:pPr>
        <w:spacing w:after="0" w:line="113" w:lineRule="exact"/>
        <w:rPr>
          <w:sz w:val="20"/>
          <w:szCs w:val="20"/>
          <w:color w:val="auto"/>
        </w:rPr>
      </w:pPr>
    </w:p>
    <w:p>
      <w:pPr>
        <w:ind w:right="540" w:firstLine="518"/>
        <w:spacing w:after="0" w:line="285"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the Company’s disclosure controls and procedures, as required by Rule 13a-15(b) under the Securities Exchange Act of 1934 (the “Exchange Act”) as of December 31,</w:t>
      </w:r>
    </w:p>
    <w:p>
      <w:pPr>
        <w:spacing w:after="0" w:line="1" w:lineRule="exact"/>
        <w:rPr>
          <w:sz w:val="20"/>
          <w:szCs w:val="20"/>
          <w:color w:val="auto"/>
        </w:rPr>
      </w:pPr>
    </w:p>
    <w:p>
      <w:pPr>
        <w:ind w:right="200"/>
        <w:spacing w:after="0" w:line="249" w:lineRule="auto"/>
        <w:rPr>
          <w:sz w:val="20"/>
          <w:szCs w:val="20"/>
          <w:color w:val="auto"/>
        </w:rPr>
      </w:pPr>
      <w:r>
        <w:rPr>
          <w:rFonts w:ascii="Arial" w:cs="Arial" w:eastAsia="Arial" w:hAnsi="Arial"/>
          <w:sz w:val="18"/>
          <w:szCs w:val="18"/>
          <w:color w:val="auto"/>
        </w:rPr>
        <w:t>2017. Our disclosure controls and procedures are designed to ensure that information required to be disclosed in the reports that we file or submit under the Exchange Act (a) is accumulated and communicated to our management, including our Chief Executive Officer and Chief Financial Officer, as appropriate to allow timely decisions regarding disclosure and (b) is recorded, processed, summarized and reported within the time periods specified in the Securities and Exchange Commission’s rules and forms.</w:t>
      </w:r>
    </w:p>
    <w:p>
      <w:pPr>
        <w:spacing w:after="0" w:line="197" w:lineRule="exact"/>
        <w:rPr>
          <w:sz w:val="20"/>
          <w:szCs w:val="20"/>
          <w:color w:val="auto"/>
        </w:rPr>
      </w:pPr>
    </w:p>
    <w:p>
      <w:pPr>
        <w:ind w:right="100" w:firstLine="518"/>
        <w:spacing w:after="0" w:line="254" w:lineRule="auto"/>
        <w:rPr>
          <w:sz w:val="20"/>
          <w:szCs w:val="20"/>
          <w:color w:val="auto"/>
        </w:rPr>
      </w:pPr>
      <w:r>
        <w:rPr>
          <w:rFonts w:ascii="Arial" w:cs="Arial" w:eastAsia="Arial" w:hAnsi="Arial"/>
          <w:sz w:val="18"/>
          <w:szCs w:val="18"/>
          <w:color w:val="auto"/>
        </w:rPr>
        <w:t>Based on that evaluation, the Chief Executive Officer and the Chief Financial Officer have concluded that the Company’s disclosure controls and procedures, as designed and implemented, were effective as of December 31, 2017. Notwithstanding the foregoing, a control system, no matter how well designed, implemented and operated can provide only reasonable, not absolute, assurance that it will detect or uncover failures within the Company to disclose material information otherwise required to be set forth in the Company’s periodic reports.</w:t>
      </w:r>
    </w:p>
    <w:p>
      <w:pPr>
        <w:spacing w:after="0" w:line="297" w:lineRule="exact"/>
        <w:rPr>
          <w:sz w:val="20"/>
          <w:szCs w:val="20"/>
          <w:color w:val="auto"/>
        </w:rPr>
      </w:pPr>
    </w:p>
    <w:p>
      <w:pPr>
        <w:ind w:left="1020" w:hanging="507"/>
        <w:spacing w:after="0"/>
        <w:tabs>
          <w:tab w:leader="none" w:pos="102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Changes in internal control over financial reporting</w:t>
      </w:r>
    </w:p>
    <w:p>
      <w:pPr>
        <w:spacing w:after="0" w:line="113" w:lineRule="exact"/>
        <w:rPr>
          <w:sz w:val="20"/>
          <w:szCs w:val="20"/>
          <w:color w:val="auto"/>
        </w:rPr>
      </w:pPr>
    </w:p>
    <w:p>
      <w:pPr>
        <w:ind w:right="260" w:firstLine="518"/>
        <w:spacing w:after="0" w:line="331" w:lineRule="auto"/>
        <w:rPr>
          <w:sz w:val="20"/>
          <w:szCs w:val="20"/>
          <w:color w:val="auto"/>
        </w:rPr>
      </w:pPr>
      <w:r>
        <w:rPr>
          <w:rFonts w:ascii="Arial" w:cs="Arial" w:eastAsia="Arial" w:hAnsi="Arial"/>
          <w:sz w:val="16"/>
          <w:szCs w:val="16"/>
          <w:color w:val="auto"/>
        </w:rPr>
        <w:t>There were no changes in our internal control over financial reporting (as defined in Rule 13a-15(f) under the Exchange Act) during the fiscal quarter ended December 31, 2017 that have materially affected, or are reasonably likely to materially affect, our internal control over financial reporting.</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209" w:right="239" w:bottom="1440" w:gutter="0" w:footer="0" w:header="0"/>
        </w:sectPr>
      </w:pPr>
    </w:p>
    <w:bookmarkStart w:id="55" w:name="page56"/>
    <w:bookmarkEnd w:id="55"/>
    <w:p>
      <w:pPr>
        <w:ind w:left="1020" w:hanging="507"/>
        <w:spacing w:after="0"/>
        <w:tabs>
          <w:tab w:leader="none" w:pos="102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3" w:lineRule="exact"/>
        <w:rPr>
          <w:sz w:val="20"/>
          <w:szCs w:val="20"/>
          <w:color w:val="auto"/>
        </w:rPr>
      </w:pPr>
    </w:p>
    <w:p>
      <w:pPr>
        <w:ind w:firstLine="518"/>
        <w:spacing w:after="0" w:line="295" w:lineRule="auto"/>
        <w:rPr>
          <w:sz w:val="20"/>
          <w:szCs w:val="20"/>
          <w:color w:val="auto"/>
        </w:rPr>
      </w:pPr>
      <w:r>
        <w:rPr>
          <w:rFonts w:ascii="Arial" w:cs="Arial" w:eastAsia="Arial" w:hAnsi="Arial"/>
          <w:sz w:val="16"/>
          <w:szCs w:val="16"/>
          <w:color w:val="auto"/>
        </w:rPr>
        <w:t xml:space="preserve">The management of Great Lakes Dredge &amp; Dock Corporation, including its Chief Executive Officer and Chief Financial Officer, is responsible for establishing and maintaining adequate internal control over financial reporting (as defined in Rules 13a-15(f), and 15d-15(f) under the Securities Exchange Act of 1934). Management has used the framework set forth in the report entitled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(2013) published by the Committee of Sponsoring Organizations of the Treadway Commission (“COSO”) to evaluate the effectiveness of the Company’s internal control over financial reporting.</w:t>
      </w:r>
    </w:p>
    <w:p>
      <w:pPr>
        <w:spacing w:after="0" w:line="162"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The phrase internal control over financial reporting refers to the process designed by, or under the supervision of, our Chief Executive Officer and Chief Financial Officer, and overseen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84" w:lineRule="exact"/>
        <w:rPr>
          <w:sz w:val="20"/>
          <w:szCs w:val="20"/>
          <w:color w:val="auto"/>
        </w:rPr>
      </w:pPr>
    </w:p>
    <w:p>
      <w:pPr>
        <w:ind w:left="1020" w:right="120" w:hanging="507"/>
        <w:spacing w:after="0" w:line="26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72" w:lineRule="exact"/>
        <w:rPr>
          <w:rFonts w:ascii="Arial" w:cs="Arial" w:eastAsia="Arial" w:hAnsi="Arial"/>
          <w:sz w:val="18"/>
          <w:szCs w:val="18"/>
          <w:color w:val="auto"/>
        </w:rPr>
      </w:pPr>
    </w:p>
    <w:p>
      <w:pPr>
        <w:ind w:left="1020" w:right="20" w:hanging="507"/>
        <w:spacing w:after="0" w:line="25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 accepted accounting principles, and that receipts and expenditures of the Company are being made only in accordance with authorizations of management and directors of the Company; and</w:t>
      </w:r>
    </w:p>
    <w:p>
      <w:pPr>
        <w:spacing w:after="0" w:line="81" w:lineRule="exact"/>
        <w:rPr>
          <w:rFonts w:ascii="Arial" w:cs="Arial" w:eastAsia="Arial" w:hAnsi="Arial"/>
          <w:sz w:val="18"/>
          <w:szCs w:val="18"/>
          <w:color w:val="auto"/>
        </w:rPr>
      </w:pPr>
    </w:p>
    <w:p>
      <w:pPr>
        <w:ind w:left="1020" w:right="220" w:hanging="507"/>
        <w:spacing w:after="0" w:line="26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80" w:lineRule="exact"/>
        <w:rPr>
          <w:sz w:val="20"/>
          <w:szCs w:val="20"/>
          <w:color w:val="auto"/>
        </w:rPr>
      </w:pPr>
    </w:p>
    <w:p>
      <w:pPr>
        <w:ind w:right="20" w:firstLine="518"/>
        <w:spacing w:after="0" w:line="250" w:lineRule="auto"/>
        <w:rPr>
          <w:sz w:val="20"/>
          <w:szCs w:val="20"/>
          <w:color w:val="auto"/>
        </w:rPr>
      </w:pPr>
      <w:r>
        <w:rPr>
          <w:rFonts w:ascii="Arial" w:cs="Arial" w:eastAsia="Arial" w:hAnsi="Arial"/>
          <w:sz w:val="18"/>
          <w:szCs w:val="18"/>
          <w:color w:val="auto"/>
        </w:rPr>
        <w:t>Neither internal control over financial reporting nor disclosure controls and procedures can provide absolute assurance of achieving financial reporting objectives because of their inherent limitations. Internal control over financial reporting and disclosure controls are processes that involve human diligence and compliance, and are subject to lapses in judgment and breakdowns resulting from human failures. Internal control over financial reporting and disclosure controls also can be circumvented by collusion or improper management override. Because of such limitations, there is a risk that material misstatements may not be prevented, detected or reported on a timely basis by internal control over financial reporting or disclosure controls. However, these inherent limitations are known features of the financial reporting process. Therefore, it is possible to design safeguards for these processes that will reduce, although may not eliminate, these risks.</w:t>
      </w:r>
    </w:p>
    <w:p>
      <w:pPr>
        <w:spacing w:after="0" w:line="198" w:lineRule="exact"/>
        <w:rPr>
          <w:sz w:val="20"/>
          <w:szCs w:val="20"/>
          <w:color w:val="auto"/>
        </w:rPr>
      </w:pPr>
    </w:p>
    <w:p>
      <w:pPr>
        <w:ind w:firstLine="518"/>
        <w:spacing w:after="0" w:line="297" w:lineRule="auto"/>
        <w:rPr>
          <w:sz w:val="20"/>
          <w:szCs w:val="20"/>
          <w:color w:val="auto"/>
        </w:rPr>
      </w:pPr>
      <w:r>
        <w:rPr>
          <w:rFonts w:ascii="Arial" w:cs="Arial" w:eastAsia="Arial" w:hAnsi="Arial"/>
          <w:sz w:val="17"/>
          <w:szCs w:val="17"/>
          <w:color w:val="auto"/>
        </w:rPr>
        <w:t>Our independent registered public accounting firm, Deloitte &amp; Touche LLP, who audited Great Lakes’ consolidated financial statements included in this Annual Report on Form 10-K, has issued a report on Great Lakes’ internal control over financial reporting, which is included herein.</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Management has concluded that our internal control over financial reporting was effective as of December 31, 2017.</w:t>
      </w:r>
    </w:p>
    <w:p>
      <w:pPr>
        <w:spacing w:after="0" w:line="22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W. M</w:t>
      </w:r>
      <w:r>
        <w:rPr>
          <w:rFonts w:ascii="Arial" w:cs="Arial" w:eastAsia="Arial" w:hAnsi="Arial"/>
          <w:sz w:val="12"/>
          <w:szCs w:val="12"/>
          <w:color w:val="auto"/>
        </w:rPr>
        <w:t>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12065</wp:posOffset>
            </wp:positionV>
            <wp:extent cx="32600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60090" cy="8255"/>
                    </a:xfrm>
                    <a:prstGeom prst="rect">
                      <a:avLst/>
                    </a:prstGeom>
                    <a:noFill/>
                  </pic:spPr>
                </pic:pic>
              </a:graphicData>
            </a:graphic>
          </wp:anchor>
        </w:drawing>
      </w:r>
    </w:p>
    <w:p>
      <w:pPr>
        <w:ind w:left="6280"/>
        <w:spacing w:after="0"/>
        <w:rPr>
          <w:sz w:val="20"/>
          <w:szCs w:val="20"/>
          <w:color w:val="auto"/>
        </w:rPr>
      </w:pPr>
      <w:r>
        <w:rPr>
          <w:rFonts w:ascii="Arial" w:cs="Arial" w:eastAsia="Arial" w:hAnsi="Arial"/>
          <w:sz w:val="18"/>
          <w:szCs w:val="18"/>
          <w:color w:val="auto"/>
        </w:rPr>
        <w:t>Mark W. Marinko</w:t>
      </w:r>
    </w:p>
    <w:p>
      <w:pPr>
        <w:spacing w:after="0" w:line="17"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23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February 28, 2018</w:t>
      </w: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40"/>
          </w:cols>
          <w:pgMar w:left="240" w:top="127" w:right="31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Great Lakes Dredge &amp; Dock Corporation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7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We have audited the internal control over financial reporting of Great Lakes Dredge &amp; Dock Corporation and subsidiaries (the “Company”) as of December 31, 2017,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2017,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and financial statement schedule as of and for the year ended December 31, 2017, of the Company and our report dated February 28, 2018, expressed an unqualified opinion on those financial statements and financial statement schedule.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7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7" w:name="page58"/>
    <w:bookmarkEnd w:id="57"/>
    <w:p>
      <w:pPr>
        <w:spacing w:after="0"/>
        <w:tabs>
          <w:tab w:leader="none" w:pos="11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400"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Part III</w:t>
      </w:r>
    </w:p>
    <w:p>
      <w:pPr>
        <w:spacing w:after="0" w:line="22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19" w:lineRule="exact"/>
        <w:rPr>
          <w:sz w:val="20"/>
          <w:szCs w:val="20"/>
          <w:color w:val="auto"/>
        </w:rPr>
      </w:pPr>
    </w:p>
    <w:p>
      <w:pPr>
        <w:ind w:right="120" w:firstLine="518"/>
        <w:spacing w:after="0" w:line="267" w:lineRule="auto"/>
        <w:rPr>
          <w:sz w:val="20"/>
          <w:szCs w:val="20"/>
          <w:color w:val="auto"/>
        </w:rPr>
      </w:pPr>
      <w:r>
        <w:rPr>
          <w:rFonts w:ascii="Arial" w:cs="Arial" w:eastAsia="Arial" w:hAnsi="Arial"/>
          <w:sz w:val="18"/>
          <w:szCs w:val="18"/>
          <w:color w:val="auto"/>
        </w:rPr>
        <w:t xml:space="preserve">Information regarding our executive officers is incorporated by reference herein from the discussion under </w:t>
      </w:r>
      <w:r>
        <w:rPr>
          <w:rFonts w:ascii="Arial" w:cs="Arial" w:eastAsia="Arial" w:hAnsi="Arial"/>
          <w:sz w:val="18"/>
          <w:szCs w:val="18"/>
          <w:i w:val="1"/>
          <w:iCs w:val="1"/>
          <w:color w:val="auto"/>
        </w:rPr>
        <w:t>Item 1. Business—Executive Officers of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Registrant </w:t>
      </w:r>
      <w:r>
        <w:rPr>
          <w:rFonts w:ascii="Arial" w:cs="Arial" w:eastAsia="Arial" w:hAnsi="Arial"/>
          <w:sz w:val="18"/>
          <w:szCs w:val="18"/>
          <w:color w:val="auto"/>
        </w:rPr>
        <w:t>in this Annual Report on Form 10-K.</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19" w:lineRule="exact"/>
        <w:rPr>
          <w:sz w:val="20"/>
          <w:szCs w:val="20"/>
          <w:color w:val="auto"/>
        </w:rPr>
      </w:pPr>
    </w:p>
    <w:p>
      <w:pPr>
        <w:ind w:right="160" w:firstLine="518"/>
        <w:spacing w:after="0" w:line="254" w:lineRule="auto"/>
        <w:rPr>
          <w:sz w:val="20"/>
          <w:szCs w:val="20"/>
          <w:color w:val="auto"/>
        </w:rPr>
      </w:pPr>
      <w:r>
        <w:rPr>
          <w:rFonts w:ascii="Arial" w:cs="Arial" w:eastAsia="Arial" w:hAnsi="Arial"/>
          <w:sz w:val="18"/>
          <w:szCs w:val="18"/>
          <w:color w:val="auto"/>
        </w:rPr>
        <w:t>The Company has adopted a written code of business conduct and ethics that applies to all of its employees, including its principal executive officer, principal financial officer, controller, and persons performing similar functions. The Company’s code of ethics can be found on its website at www.gldd.com. The Company will post on our website any amendments to or waivers of the code of business conduct and ethics for executive officers or directors, in accordance with applicable laws and regulations.</w:t>
      </w:r>
    </w:p>
    <w:p>
      <w:pPr>
        <w:spacing w:after="0" w:line="191" w:lineRule="exact"/>
        <w:rPr>
          <w:sz w:val="20"/>
          <w:szCs w:val="20"/>
          <w:color w:val="auto"/>
        </w:rPr>
      </w:pPr>
    </w:p>
    <w:p>
      <w:pPr>
        <w:ind w:right="360" w:firstLine="518"/>
        <w:spacing w:after="0" w:line="279" w:lineRule="auto"/>
        <w:rPr>
          <w:sz w:val="20"/>
          <w:szCs w:val="20"/>
          <w:color w:val="auto"/>
        </w:rPr>
      </w:pPr>
      <w:r>
        <w:rPr>
          <w:rFonts w:ascii="Arial" w:cs="Arial" w:eastAsia="Arial" w:hAnsi="Arial"/>
          <w:sz w:val="17"/>
          <w:szCs w:val="17"/>
          <w:color w:val="auto"/>
        </w:rPr>
        <w:t>The remaining information called for by this Item 10 is incorporated by reference herein from the discussions under the headings “Election of Directors,” “Board of Directors and Corporate Governance” and “Security Ownership of Certain Beneficial Owners and Management” and “Section 16(a) Beneficial Ownership Reporting Compliance” in the definitive Proxy Statement for the 2018 Annual Meeting of Stockholders.</w:t>
      </w:r>
    </w:p>
    <w:p>
      <w:pPr>
        <w:spacing w:after="0" w:line="27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4"/>
          <w:szCs w:val="14"/>
          <w:b w:val="1"/>
          <w:bCs w:val="1"/>
          <w:color w:val="auto"/>
        </w:rPr>
        <w:t>Executive Compensation</w:t>
      </w:r>
    </w:p>
    <w:p>
      <w:pPr>
        <w:spacing w:after="0" w:line="119" w:lineRule="exact"/>
        <w:rPr>
          <w:sz w:val="20"/>
          <w:szCs w:val="20"/>
          <w:color w:val="auto"/>
        </w:rPr>
      </w:pPr>
    </w:p>
    <w:p>
      <w:pPr>
        <w:ind w:right="340" w:firstLine="518"/>
        <w:spacing w:after="0" w:line="257" w:lineRule="auto"/>
        <w:rPr>
          <w:sz w:val="20"/>
          <w:szCs w:val="20"/>
          <w:color w:val="auto"/>
        </w:rPr>
      </w:pPr>
      <w:r>
        <w:rPr>
          <w:rFonts w:ascii="Arial" w:cs="Arial" w:eastAsia="Arial" w:hAnsi="Arial"/>
          <w:sz w:val="18"/>
          <w:szCs w:val="18"/>
          <w:color w:val="auto"/>
        </w:rPr>
        <w:t>The information required by Item 11 of Form 10-K is incorporated by reference herein from the discussions under the headings “Executive Compensation Tables”, “Compensation Discussion and Analysis”, “Board of Directors and Corporate Governance” and “CEO Pay Ratio” in the definitive Proxy Statement for the 2018 Annual Meeting of Stockholders.</w:t>
      </w:r>
    </w:p>
    <w:p>
      <w:pPr>
        <w:spacing w:after="0" w:line="28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19"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The information required by Item 12 of Form 10-K is incorporated by reference herein from the discussion under the heading “Security Ownership of Certain Beneficial Owners and Management” and “Equity Compensation Plan Information” in our definitive Proxy Statement for the 2018 Annual Meeting of Stockholders.</w:t>
      </w:r>
    </w:p>
    <w:p>
      <w:pPr>
        <w:spacing w:after="0" w:line="28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19"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information required by Item 13 of Form 10-K is incorporated by reference herein from the discussions under the headings “Board of Directors and Corporate Governance” and “Change of Control of the Company” and “Certain Relationships and Related Transactions” in the definitive Proxy Statement for the 2018 Annual Meeting of Stockholders.</w:t>
      </w:r>
    </w:p>
    <w:p>
      <w:pPr>
        <w:spacing w:after="0" w:line="28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4"/>
          <w:szCs w:val="14"/>
          <w:b w:val="1"/>
          <w:bCs w:val="1"/>
          <w:color w:val="auto"/>
        </w:rPr>
        <w:t>Principal Accounting Fees and Services</w:t>
      </w:r>
    </w:p>
    <w:p>
      <w:pPr>
        <w:spacing w:after="0" w:line="119" w:lineRule="exact"/>
        <w:rPr>
          <w:sz w:val="20"/>
          <w:szCs w:val="20"/>
          <w:color w:val="auto"/>
        </w:rPr>
      </w:pPr>
    </w:p>
    <w:p>
      <w:pPr>
        <w:ind w:right="460" w:firstLine="518"/>
        <w:spacing w:after="0" w:line="297" w:lineRule="auto"/>
        <w:rPr>
          <w:sz w:val="20"/>
          <w:szCs w:val="20"/>
          <w:color w:val="auto"/>
        </w:rPr>
      </w:pPr>
      <w:r>
        <w:rPr>
          <w:rFonts w:ascii="Arial" w:cs="Arial" w:eastAsia="Arial" w:hAnsi="Arial"/>
          <w:sz w:val="17"/>
          <w:szCs w:val="17"/>
          <w:color w:val="auto"/>
        </w:rPr>
        <w:t>The information required by Item 14 of Form 10-K is incorporated by reference herein from the discussion under the heading “Matters Related to Independent Registered Public Accounting Firm” in the definitive Proxy Statement for the 2018 Annual Meeting of Stockholders.</w:t>
      </w:r>
    </w:p>
    <w:p>
      <w:pPr>
        <w:spacing w:after="0" w:line="200" w:lineRule="exact"/>
        <w:rPr>
          <w:sz w:val="20"/>
          <w:szCs w:val="20"/>
          <w:color w:val="auto"/>
        </w:rPr>
      </w:pP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58" w:name="page59"/>
    <w:bookmarkEnd w:id="58"/>
    <w:p>
      <w:pPr>
        <w:jc w:val="center"/>
        <w:ind w:right="-119"/>
        <w:spacing w:after="0"/>
        <w:rPr>
          <w:sz w:val="20"/>
          <w:szCs w:val="20"/>
          <w:color w:val="auto"/>
        </w:rPr>
      </w:pPr>
      <w:r>
        <w:rPr>
          <w:rFonts w:ascii="Arial" w:cs="Arial" w:eastAsia="Arial" w:hAnsi="Arial"/>
          <w:sz w:val="18"/>
          <w:szCs w:val="18"/>
          <w:b w:val="1"/>
          <w:bCs w:val="1"/>
          <w:color w:val="auto"/>
        </w:rPr>
        <w:t>Part IV</w:t>
      </w:r>
    </w:p>
    <w:p>
      <w:pPr>
        <w:spacing w:after="0" w:line="22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4"/>
          <w:szCs w:val="14"/>
          <w:b w:val="1"/>
          <w:bCs w:val="1"/>
          <w:color w:val="auto"/>
        </w:rPr>
        <w:t>Exhibits, Financial Statement Schedules</w:t>
      </w:r>
    </w:p>
    <w:p>
      <w:pPr>
        <w:spacing w:after="0" w:line="113" w:lineRule="exact"/>
        <w:rPr>
          <w:sz w:val="20"/>
          <w:szCs w:val="20"/>
          <w:color w:val="auto"/>
        </w:rPr>
      </w:pPr>
    </w:p>
    <w:p>
      <w:pPr>
        <w:ind w:right="8200" w:firstLine="7"/>
        <w:spacing w:after="0" w:line="374" w:lineRule="auto"/>
        <w:tabs>
          <w:tab w:leader="none" w:pos="252"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as part of this report 1. Financial Statements</w:t>
      </w: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financial statements are set forth on pages 58 to 96 of this Report and are incorporated by reference in Item 8 of this Report.</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19" w:lineRule="exact"/>
        <w:rPr>
          <w:sz w:val="20"/>
          <w:szCs w:val="20"/>
          <w:color w:val="auto"/>
        </w:rPr>
      </w:pPr>
    </w:p>
    <w:p>
      <w:pPr>
        <w:ind w:right="360" w:firstLine="518"/>
        <w:spacing w:after="0" w:line="267" w:lineRule="auto"/>
        <w:rPr>
          <w:sz w:val="20"/>
          <w:szCs w:val="20"/>
          <w:color w:val="auto"/>
        </w:rPr>
      </w:pPr>
      <w:r>
        <w:rPr>
          <w:rFonts w:ascii="Arial" w:cs="Arial" w:eastAsia="Arial" w:hAnsi="Arial"/>
          <w:sz w:val="18"/>
          <w:szCs w:val="18"/>
          <w:color w:val="auto"/>
        </w:rPr>
        <w:t>All other schedules, except Schedule II—Valuation and Qualifying Accounts on page 97, are omitted because they are not required or the required information is shown in the financial statements or notes thereto.</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exhibits required to be filed by Item 601 of Regulation S-K are listed in the “Exhibit Index” which is attached hereto and incorporated by reference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200" w:lineRule="exact"/>
        <w:rPr>
          <w:sz w:val="20"/>
          <w:szCs w:val="20"/>
          <w:color w:val="auto"/>
        </w:rPr>
      </w:pPr>
    </w:p>
    <w:p>
      <w:pPr>
        <w:spacing w:after="0" w:line="216"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1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bookmarkStart w:id="59" w:name="page60"/>
    <w:bookmarkEnd w:id="59"/>
    <w:p>
      <w:pPr>
        <w:jc w:val="center"/>
        <w:ind w:right="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740" w:type="dxa"/>
            <w:vAlign w:val="bottom"/>
            <w:gridSpan w:val="8"/>
            <w:vMerge w:val="restart"/>
          </w:tcPr>
          <w:p>
            <w:pPr>
              <w:spacing w:after="0"/>
              <w:rPr>
                <w:rFonts w:ascii="Arial" w:cs="Arial" w:eastAsia="Arial" w:hAnsi="Arial"/>
                <w:sz w:val="18"/>
                <w:szCs w:val="18"/>
                <w:color w:val="0000EE"/>
                <w:w w:val="94"/>
              </w:rPr>
            </w:pPr>
            <w:hyperlink w:anchor="page61">
              <w:r>
                <w:rPr>
                  <w:rFonts w:ascii="Arial" w:cs="Arial" w:eastAsia="Arial" w:hAnsi="Arial"/>
                  <w:sz w:val="18"/>
                  <w:szCs w:val="18"/>
                  <w:color w:val="0000EE"/>
                  <w:w w:val="94"/>
                </w:rPr>
                <w:t>REPORT OF INDEPENDENT REGISTERED PUBLIC ACCOUNTING FIRM</w:t>
              </w:r>
            </w:hyperlink>
          </w:p>
        </w:tc>
        <w:tc>
          <w:tcPr>
            <w:tcW w:w="4900" w:type="dxa"/>
            <w:vAlign w:val="bottom"/>
            <w:vMerge w:val="restart"/>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2"/>
        </w:trPr>
        <w:tc>
          <w:tcPr>
            <w:tcW w:w="5740" w:type="dxa"/>
            <w:vAlign w:val="bottom"/>
            <w:tcBorders>
              <w:bottom w:val="single" w:sz="8" w:color="0000EE"/>
            </w:tcBorders>
            <w:gridSpan w:val="8"/>
            <w:vMerge w:val="continue"/>
          </w:tcPr>
          <w:p>
            <w:pPr>
              <w:spacing w:after="0"/>
              <w:rPr>
                <w:sz w:val="14"/>
                <w:szCs w:val="14"/>
                <w:color w:val="auto"/>
              </w:rPr>
            </w:pPr>
          </w:p>
        </w:tc>
        <w:tc>
          <w:tcPr>
            <w:tcW w:w="4900" w:type="dxa"/>
            <w:vAlign w:val="bottom"/>
            <w:vMerge w:val="continue"/>
          </w:tcPr>
          <w:p>
            <w:pPr>
              <w:spacing w:after="0"/>
              <w:rPr>
                <w:sz w:val="14"/>
                <w:szCs w:val="14"/>
                <w:color w:val="auto"/>
              </w:rPr>
            </w:pPr>
          </w:p>
        </w:tc>
        <w:tc>
          <w:tcPr>
            <w:tcW w:w="78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8"/>
                <w:szCs w:val="18"/>
                <w:color w:val="auto"/>
              </w:rPr>
              <w:t>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0640" w:type="dxa"/>
            <w:vAlign w:val="bottom"/>
            <w:gridSpan w:val="9"/>
          </w:tcPr>
          <w:p>
            <w:pPr>
              <w:spacing w:after="0"/>
              <w:rPr>
                <w:sz w:val="20"/>
                <w:szCs w:val="20"/>
                <w:color w:val="auto"/>
              </w:rPr>
            </w:pPr>
            <w:r>
              <w:rPr>
                <w:rFonts w:ascii="Arial" w:cs="Arial" w:eastAsia="Arial" w:hAnsi="Arial"/>
                <w:sz w:val="18"/>
                <w:szCs w:val="18"/>
                <w:color w:val="auto"/>
                <w:w w:val="96"/>
              </w:rPr>
              <w:t>CONSOLIDATED FINANCIAL STATEMENTS AS OF DECEMBER 31, 2017 AND 2016, AND FOR THE YEARS ENDED DECEMBER 31,</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640" w:type="dxa"/>
            <w:vAlign w:val="bottom"/>
            <w:gridSpan w:val="9"/>
          </w:tcPr>
          <w:p>
            <w:pPr>
              <w:ind w:left="220"/>
              <w:spacing w:after="0"/>
              <w:rPr>
                <w:sz w:val="20"/>
                <w:szCs w:val="20"/>
                <w:color w:val="auto"/>
              </w:rPr>
            </w:pPr>
            <w:r>
              <w:rPr>
                <w:rFonts w:ascii="Arial" w:cs="Arial" w:eastAsia="Arial" w:hAnsi="Arial"/>
                <w:sz w:val="18"/>
                <w:szCs w:val="18"/>
                <w:color w:val="auto"/>
              </w:rPr>
              <w:t>2017, 2016 AND 2015</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80" w:type="dxa"/>
            <w:vAlign w:val="bottom"/>
          </w:tcPr>
          <w:p>
            <w:pPr>
              <w:spacing w:after="0"/>
              <w:rPr>
                <w:sz w:val="16"/>
                <w:szCs w:val="16"/>
                <w:color w:val="auto"/>
              </w:rPr>
            </w:pPr>
          </w:p>
        </w:tc>
        <w:tc>
          <w:tcPr>
            <w:tcW w:w="2040" w:type="dxa"/>
            <w:vAlign w:val="bottom"/>
            <w:tcBorders>
              <w:bottom w:val="single" w:sz="8" w:color="0000EE"/>
            </w:tcBorders>
          </w:tcPr>
          <w:p>
            <w:pPr>
              <w:spacing w:after="0" w:line="186" w:lineRule="exact"/>
              <w:rPr>
                <w:rFonts w:ascii="Arial" w:cs="Arial" w:eastAsia="Arial" w:hAnsi="Arial"/>
                <w:sz w:val="18"/>
                <w:szCs w:val="18"/>
                <w:color w:val="0000EE"/>
                <w:w w:val="85"/>
              </w:rPr>
            </w:pPr>
            <w:hyperlink w:anchor="page62">
              <w:r>
                <w:rPr>
                  <w:rFonts w:ascii="Arial" w:cs="Arial" w:eastAsia="Arial" w:hAnsi="Arial"/>
                  <w:sz w:val="18"/>
                  <w:szCs w:val="18"/>
                  <w:color w:val="0000EE"/>
                  <w:w w:val="85"/>
                </w:rPr>
                <w:t>Consolidated Balance Sheets</w:t>
              </w:r>
            </w:hyperlink>
          </w:p>
        </w:tc>
        <w:tc>
          <w:tcPr>
            <w:tcW w:w="8320" w:type="dxa"/>
            <w:vAlign w:val="bottom"/>
            <w:gridSpan w:val="7"/>
          </w:tcPr>
          <w:p>
            <w:pPr>
              <w:spacing w:after="0"/>
              <w:rPr>
                <w:sz w:val="16"/>
                <w:szCs w:val="16"/>
                <w:color w:val="auto"/>
              </w:rPr>
            </w:pPr>
          </w:p>
        </w:tc>
        <w:tc>
          <w:tcPr>
            <w:tcW w:w="800" w:type="dxa"/>
            <w:vAlign w:val="bottom"/>
            <w:gridSpan w:val="2"/>
          </w:tcPr>
          <w:p>
            <w:pPr>
              <w:jc w:val="right"/>
              <w:ind w:right="20"/>
              <w:spacing w:after="0" w:line="18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10360" w:type="dxa"/>
            <w:vAlign w:val="bottom"/>
            <w:gridSpan w:val="8"/>
          </w:tcPr>
          <w:p>
            <w:pPr>
              <w:spacing w:after="0" w:line="194" w:lineRule="exact"/>
              <w:rPr>
                <w:rFonts w:ascii="Arial" w:cs="Arial" w:eastAsia="Arial" w:hAnsi="Arial"/>
                <w:sz w:val="18"/>
                <w:szCs w:val="18"/>
                <w:color w:val="0000EE"/>
              </w:rPr>
            </w:pPr>
            <w:hyperlink w:anchor="page63">
              <w:r>
                <w:rPr>
                  <w:rFonts w:ascii="Arial" w:cs="Arial" w:eastAsia="Arial" w:hAnsi="Arial"/>
                  <w:sz w:val="18"/>
                  <w:szCs w:val="18"/>
                  <w:color w:val="0000EE"/>
                </w:rPr>
                <w:t>Consolidated Statements of Operations</w:t>
              </w:r>
            </w:hyperlink>
          </w:p>
        </w:tc>
        <w:tc>
          <w:tcPr>
            <w:tcW w:w="80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9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0" w:type="dxa"/>
            <w:vAlign w:val="bottom"/>
          </w:tcPr>
          <w:p>
            <w:pPr>
              <w:spacing w:after="0"/>
              <w:rPr>
                <w:sz w:val="16"/>
                <w:szCs w:val="16"/>
                <w:color w:val="auto"/>
              </w:rPr>
            </w:pPr>
          </w:p>
        </w:tc>
        <w:tc>
          <w:tcPr>
            <w:tcW w:w="10360" w:type="dxa"/>
            <w:vAlign w:val="bottom"/>
            <w:gridSpan w:val="8"/>
          </w:tcPr>
          <w:p>
            <w:pPr>
              <w:spacing w:after="0" w:line="194" w:lineRule="exact"/>
              <w:rPr>
                <w:rFonts w:ascii="Arial" w:cs="Arial" w:eastAsia="Arial" w:hAnsi="Arial"/>
                <w:sz w:val="18"/>
                <w:szCs w:val="18"/>
                <w:color w:val="0000EE"/>
              </w:rPr>
            </w:pPr>
            <w:hyperlink w:anchor="page64">
              <w:r>
                <w:rPr>
                  <w:rFonts w:ascii="Arial" w:cs="Arial" w:eastAsia="Arial" w:hAnsi="Arial"/>
                  <w:sz w:val="18"/>
                  <w:szCs w:val="18"/>
                  <w:color w:val="0000EE"/>
                </w:rPr>
                <w:t>Consolidated Statements of Comprehensive Loss</w:t>
              </w:r>
            </w:hyperlink>
          </w:p>
        </w:tc>
        <w:tc>
          <w:tcPr>
            <w:tcW w:w="80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3460" w:type="dxa"/>
            <w:vAlign w:val="bottom"/>
            <w:tcBorders>
              <w:top w:val="single" w:sz="8" w:color="0000EE"/>
            </w:tcBorders>
            <w:gridSpan w:val="6"/>
          </w:tcPr>
          <w:p>
            <w:pPr>
              <w:spacing w:after="0" w:line="194" w:lineRule="exact"/>
              <w:rPr>
                <w:rFonts w:ascii="Arial" w:cs="Arial" w:eastAsia="Arial" w:hAnsi="Arial"/>
                <w:sz w:val="18"/>
                <w:szCs w:val="18"/>
                <w:color w:val="0000EE"/>
              </w:rPr>
            </w:pPr>
            <w:hyperlink w:anchor="page65">
              <w:r>
                <w:rPr>
                  <w:rFonts w:ascii="Arial" w:cs="Arial" w:eastAsia="Arial" w:hAnsi="Arial"/>
                  <w:sz w:val="18"/>
                  <w:szCs w:val="18"/>
                  <w:color w:val="0000EE"/>
                </w:rPr>
                <w:t>Consolidated Statements of Equity</w:t>
              </w:r>
            </w:hyperlink>
          </w:p>
        </w:tc>
        <w:tc>
          <w:tcPr>
            <w:tcW w:w="6900" w:type="dxa"/>
            <w:vAlign w:val="bottom"/>
            <w:gridSpan w:val="2"/>
          </w:tcPr>
          <w:p>
            <w:pPr>
              <w:spacing w:after="0"/>
              <w:rPr>
                <w:sz w:val="16"/>
                <w:szCs w:val="16"/>
                <w:color w:val="auto"/>
              </w:rPr>
            </w:pPr>
          </w:p>
        </w:tc>
        <w:tc>
          <w:tcPr>
            <w:tcW w:w="80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0" w:type="dxa"/>
            <w:vAlign w:val="bottom"/>
          </w:tcPr>
          <w:p>
            <w:pPr>
              <w:spacing w:after="0"/>
              <w:rPr>
                <w:sz w:val="16"/>
                <w:szCs w:val="16"/>
                <w:color w:val="auto"/>
              </w:rPr>
            </w:pPr>
          </w:p>
        </w:tc>
        <w:tc>
          <w:tcPr>
            <w:tcW w:w="10360" w:type="dxa"/>
            <w:vAlign w:val="bottom"/>
            <w:gridSpan w:val="8"/>
          </w:tcPr>
          <w:p>
            <w:pPr>
              <w:spacing w:after="0" w:line="194" w:lineRule="exact"/>
              <w:rPr>
                <w:rFonts w:ascii="Arial" w:cs="Arial" w:eastAsia="Arial" w:hAnsi="Arial"/>
                <w:sz w:val="18"/>
                <w:szCs w:val="18"/>
                <w:color w:val="0000EE"/>
              </w:rPr>
            </w:pPr>
            <w:hyperlink w:anchor="page66">
              <w:r>
                <w:rPr>
                  <w:rFonts w:ascii="Arial" w:cs="Arial" w:eastAsia="Arial" w:hAnsi="Arial"/>
                  <w:sz w:val="18"/>
                  <w:szCs w:val="18"/>
                  <w:color w:val="0000EE"/>
                </w:rPr>
                <w:t>Consolidated Statements of Cash Flows</w:t>
              </w:r>
            </w:hyperlink>
          </w:p>
        </w:tc>
        <w:tc>
          <w:tcPr>
            <w:tcW w:w="80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0" w:type="dxa"/>
            <w:vAlign w:val="bottom"/>
          </w:tcPr>
          <w:p>
            <w:pPr>
              <w:spacing w:after="0"/>
              <w:rPr>
                <w:sz w:val="16"/>
                <w:szCs w:val="16"/>
                <w:color w:val="auto"/>
              </w:rPr>
            </w:pPr>
          </w:p>
        </w:tc>
        <w:tc>
          <w:tcPr>
            <w:tcW w:w="10360" w:type="dxa"/>
            <w:vAlign w:val="bottom"/>
            <w:gridSpan w:val="8"/>
          </w:tcPr>
          <w:p>
            <w:pPr>
              <w:spacing w:after="0" w:line="194" w:lineRule="exact"/>
              <w:rPr>
                <w:rFonts w:ascii="Arial" w:cs="Arial" w:eastAsia="Arial" w:hAnsi="Arial"/>
                <w:sz w:val="18"/>
                <w:szCs w:val="18"/>
                <w:color w:val="0000EE"/>
              </w:rPr>
            </w:pPr>
            <w:hyperlink w:anchor="page68">
              <w:r>
                <w:rPr>
                  <w:rFonts w:ascii="Arial" w:cs="Arial" w:eastAsia="Arial" w:hAnsi="Arial"/>
                  <w:sz w:val="18"/>
                  <w:szCs w:val="18"/>
                  <w:color w:val="0000EE"/>
                </w:rPr>
                <w:t>Notes to Consolidated Financial Statements</w:t>
              </w:r>
            </w:hyperlink>
          </w:p>
        </w:tc>
        <w:tc>
          <w:tcPr>
            <w:tcW w:w="80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859"/>
        </w:trPr>
        <w:tc>
          <w:tcPr>
            <w:tcW w:w="280" w:type="dxa"/>
            <w:vAlign w:val="bottom"/>
          </w:tcPr>
          <w:p>
            <w:pPr>
              <w:spacing w:after="0"/>
              <w:rPr>
                <w:sz w:val="24"/>
                <w:szCs w:val="24"/>
                <w:color w:val="auto"/>
              </w:rPr>
            </w:pPr>
          </w:p>
        </w:tc>
        <w:tc>
          <w:tcPr>
            <w:tcW w:w="3080" w:type="dxa"/>
            <w:vAlign w:val="bottom"/>
            <w:tcBorders>
              <w:top w:val="single" w:sz="8" w:color="0000EE"/>
            </w:tcBorders>
            <w:gridSpan w:val="5"/>
          </w:tcPr>
          <w:p>
            <w:pPr>
              <w:spacing w:after="0"/>
              <w:rPr>
                <w:sz w:val="24"/>
                <w:szCs w:val="24"/>
                <w:color w:val="auto"/>
              </w:rPr>
            </w:pPr>
          </w:p>
        </w:tc>
        <w:tc>
          <w:tcPr>
            <w:tcW w:w="7280" w:type="dxa"/>
            <w:vAlign w:val="bottom"/>
            <w:gridSpan w:val="3"/>
          </w:tcPr>
          <w:p>
            <w:pPr>
              <w:jc w:val="right"/>
              <w:ind w:right="4840"/>
              <w:spacing w:after="0"/>
              <w:rPr>
                <w:sz w:val="20"/>
                <w:szCs w:val="20"/>
                <w:color w:val="auto"/>
              </w:rPr>
            </w:pPr>
            <w:r>
              <w:rPr>
                <w:rFonts w:ascii="Arial" w:cs="Arial" w:eastAsia="Arial" w:hAnsi="Arial"/>
                <w:sz w:val="18"/>
                <w:szCs w:val="18"/>
                <w:color w:val="auto"/>
              </w:rPr>
              <w:t>58</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49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Great Lakes Dredge &amp; Dock Corporation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audited the accompanying consolidated balance sheets of Great Lakes Dredge &amp; Dock Corporation and subsidiaries (the "Company") as of December 31, 2017 and 2016, the related consolidated statements of operations, comprehensive loss, equity, and cash flows for each of the three years in the period ended December 31, 2017, and the related notes and the schedule listed in the Index at Item 15 (collectively referred to as the "financial statements"). In our opinion, the financial statements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14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28, 2018, expressed an unqualified opinion on the Company's internal control over financial reporting.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2"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As of December 31, 2017 and 2016</w:t>
      </w:r>
    </w:p>
    <w:p>
      <w:pPr>
        <w:spacing w:after="0" w:line="6"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6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6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200" w:type="dxa"/>
            <w:vAlign w:val="bottom"/>
            <w:gridSpan w:val="2"/>
            <w:shd w:val="clear" w:color="auto" w:fill="CFF0FC"/>
          </w:tcPr>
          <w:p>
            <w:pPr>
              <w:jc w:val="right"/>
              <w:ind w:right="8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15,852</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600" w:type="dxa"/>
            <w:vAlign w:val="bottom"/>
          </w:tcPr>
          <w:p>
            <w:pPr>
              <w:ind w:left="240"/>
              <w:spacing w:after="0"/>
              <w:rPr>
                <w:sz w:val="20"/>
                <w:szCs w:val="20"/>
                <w:color w:val="auto"/>
              </w:rPr>
            </w:pPr>
            <w:r>
              <w:rPr>
                <w:rFonts w:ascii="Arial" w:cs="Arial" w:eastAsia="Arial" w:hAnsi="Arial"/>
                <w:sz w:val="18"/>
                <w:szCs w:val="18"/>
                <w:color w:val="auto"/>
              </w:rPr>
              <w:t>Accounts receivable—net</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75,533</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88,091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Contract revenues in excess of billings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90,788</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60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34,600</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37,137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expenses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5,183</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6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40,228</w:t>
            </w:r>
          </w:p>
        </w:tc>
        <w:tc>
          <w:tcPr>
            <w:tcW w:w="2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63,412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262,184</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307,226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62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EQUIPMENT—Net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407,294</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413,008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6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83,576</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83,576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OTHER INTANGIBLE ASSETS — Net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620" w:type="dxa"/>
            <w:vAlign w:val="bottom"/>
            <w:gridSpan w:val="2"/>
          </w:tcPr>
          <w:p>
            <w:pPr>
              <w:spacing w:after="0"/>
              <w:rPr>
                <w:sz w:val="20"/>
                <w:szCs w:val="20"/>
                <w:color w:val="auto"/>
              </w:rPr>
            </w:pPr>
            <w:r>
              <w:rPr>
                <w:rFonts w:ascii="Arial" w:cs="Arial" w:eastAsia="Arial" w:hAnsi="Arial"/>
                <w:sz w:val="18"/>
                <w:szCs w:val="18"/>
                <w:color w:val="auto"/>
              </w:rPr>
              <w:t>INVENTORIES—Noncurrent</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54,023</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52,602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INVESTMENTS IN JOINT VENTURES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2,714</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620" w:type="dxa"/>
            <w:vAlign w:val="bottom"/>
            <w:gridSpan w:val="2"/>
          </w:tcPr>
          <w:p>
            <w:pPr>
              <w:spacing w:after="0"/>
              <w:rPr>
                <w:sz w:val="20"/>
                <w:szCs w:val="20"/>
                <w:color w:val="auto"/>
              </w:rPr>
            </w:pPr>
            <w:r>
              <w:rPr>
                <w:rFonts w:ascii="Arial" w:cs="Arial" w:eastAsia="Arial" w:hAnsi="Arial"/>
                <w:sz w:val="18"/>
                <w:szCs w:val="18"/>
                <w:color w:val="auto"/>
              </w:rPr>
              <w:t>ASSETS HELD FOR SALE— Noncurrent</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8,530</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13,128</w:t>
            </w:r>
          </w:p>
        </w:tc>
        <w:tc>
          <w:tcPr>
            <w:tcW w:w="2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7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832,357</w:t>
            </w:r>
          </w:p>
        </w:tc>
        <w:tc>
          <w:tcPr>
            <w:tcW w:w="280" w:type="dxa"/>
            <w:vAlign w:val="bottom"/>
          </w:tcPr>
          <w:p>
            <w:pPr>
              <w:spacing w:after="0"/>
              <w:rPr>
                <w:sz w:val="22"/>
                <w:szCs w:val="22"/>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893,588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76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60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12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87,659</w:t>
            </w:r>
          </w:p>
        </w:tc>
        <w:tc>
          <w:tcPr>
            <w:tcW w:w="28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103,185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56,218</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600" w:type="dxa"/>
            <w:vAlign w:val="bottom"/>
          </w:tcPr>
          <w:p>
            <w:pPr>
              <w:ind w:left="240"/>
              <w:spacing w:after="0"/>
              <w:rPr>
                <w:sz w:val="20"/>
                <w:szCs w:val="20"/>
                <w:color w:val="auto"/>
              </w:rPr>
            </w:pPr>
            <w:r>
              <w:rPr>
                <w:rFonts w:ascii="Arial" w:cs="Arial" w:eastAsia="Arial" w:hAnsi="Arial"/>
                <w:sz w:val="18"/>
                <w:szCs w:val="18"/>
                <w:color w:val="auto"/>
              </w:rPr>
              <w:t>Billings in excess of contract revenues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3,615</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2,758</w:t>
            </w:r>
          </w:p>
        </w:tc>
        <w:tc>
          <w:tcPr>
            <w:tcW w:w="2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150,250</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179,834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6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333,141</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286,291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95,000</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62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25,561</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68,449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7,109</w:t>
            </w:r>
          </w:p>
        </w:tc>
        <w:tc>
          <w:tcPr>
            <w:tcW w:w="2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611,061</w:t>
            </w:r>
          </w:p>
        </w:tc>
        <w:tc>
          <w:tcPr>
            <w:tcW w:w="2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645,698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620" w:type="dxa"/>
            <w:vAlign w:val="bottom"/>
            <w:gridSpan w:val="2"/>
          </w:tcPr>
          <w:p>
            <w:pPr>
              <w:spacing w:after="0"/>
              <w:rPr>
                <w:sz w:val="20"/>
                <w:szCs w:val="20"/>
                <w:color w:val="auto"/>
              </w:rPr>
            </w:pPr>
            <w:r>
              <w:rPr>
                <w:rFonts w:ascii="Arial" w:cs="Arial" w:eastAsia="Arial" w:hAnsi="Arial"/>
                <w:sz w:val="18"/>
                <w:szCs w:val="18"/>
                <w:color w:val="auto"/>
              </w:rPr>
              <w:t>COMMITMENTS AND CONTINGENCIES (Note 14)</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00" w:type="dxa"/>
            <w:vAlign w:val="bottom"/>
          </w:tcPr>
          <w:p>
            <w:pPr>
              <w:ind w:left="240"/>
              <w:spacing w:after="0"/>
              <w:rPr>
                <w:sz w:val="20"/>
                <w:szCs w:val="20"/>
                <w:color w:val="auto"/>
              </w:rPr>
            </w:pPr>
            <w:r>
              <w:rPr>
                <w:rFonts w:ascii="Arial" w:cs="Arial" w:eastAsia="Arial" w:hAnsi="Arial"/>
                <w:sz w:val="18"/>
                <w:szCs w:val="18"/>
                <w:color w:val="auto"/>
                <w:w w:val="91"/>
              </w:rPr>
              <w:t>Common stock—$.0001 par value; 90,000 authorized, 61,897 and 61,240 shares issued; 61,619 and</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600" w:type="dxa"/>
            <w:vAlign w:val="bottom"/>
          </w:tcPr>
          <w:p>
            <w:pPr>
              <w:ind w:left="240"/>
              <w:spacing w:after="0"/>
              <w:rPr>
                <w:sz w:val="20"/>
                <w:szCs w:val="20"/>
                <w:color w:val="auto"/>
              </w:rPr>
            </w:pPr>
            <w:r>
              <w:rPr>
                <w:rFonts w:ascii="Arial" w:cs="Arial" w:eastAsia="Arial" w:hAnsi="Arial"/>
                <w:sz w:val="18"/>
                <w:szCs w:val="18"/>
                <w:color w:val="auto"/>
              </w:rPr>
              <w:t>60,962 outstanding at December 31, 2017 and December 31, 2016, respectively.</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Treasury stock, at cost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(1,433)</w:t>
            </w:r>
          </w:p>
        </w:tc>
        <w:tc>
          <w:tcPr>
            <w:tcW w:w="3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60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289,821</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286,303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8"/>
              </w:rPr>
              <w:t>(67,101)</w:t>
            </w:r>
          </w:p>
        </w:tc>
        <w:tc>
          <w:tcPr>
            <w:tcW w:w="3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(35,841)</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600" w:type="dxa"/>
            <w:vAlign w:val="bottom"/>
          </w:tcPr>
          <w:p>
            <w:pPr>
              <w:ind w:left="24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equity</w:t>
            </w:r>
          </w:p>
        </w:tc>
        <w:tc>
          <w:tcPr>
            <w:tcW w:w="2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221,296</w:t>
            </w:r>
          </w:p>
        </w:tc>
        <w:tc>
          <w:tcPr>
            <w:tcW w:w="2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247,890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832,357</w:t>
            </w:r>
          </w:p>
        </w:tc>
        <w:tc>
          <w:tcPr>
            <w:tcW w:w="28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893,588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2" w:name="page63"/>
    <w:bookmarkEnd w:id="62"/>
    <w:p>
      <w:pPr>
        <w:ind w:left="348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3"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7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REVENUES</w:t>
            </w: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702,503</w:t>
            </w: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767,585</w:t>
            </w: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856,878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COSTS OF CONTRACT REVENUES</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652,620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681,197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760,955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49,883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86,388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68,331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65,533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71,069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IMPAIRMENT OF GOODWILL</w:t>
            </w:r>
          </w:p>
        </w:tc>
        <w:tc>
          <w:tcPr>
            <w:tcW w:w="3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80" w:type="dxa"/>
            <w:vAlign w:val="bottom"/>
          </w:tcPr>
          <w:p>
            <w:pPr>
              <w:spacing w:after="0"/>
              <w:rPr>
                <w:sz w:val="20"/>
                <w:szCs w:val="20"/>
                <w:color w:val="auto"/>
              </w:rPr>
            </w:pPr>
            <w:r>
              <w:rPr>
                <w:rFonts w:ascii="Arial" w:cs="Arial" w:eastAsia="Arial" w:hAnsi="Arial"/>
                <w:sz w:val="18"/>
                <w:szCs w:val="18"/>
                <w:color w:val="auto"/>
              </w:rPr>
              <w:t>(GAIN) LOSS ON SALE OF ASSETS—Net</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5,077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6,175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0"/>
        </w:trPr>
        <w:tc>
          <w:tcPr>
            <w:tcW w:w="67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operating income (loss)</w:t>
            </w: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780" w:type="dxa"/>
            <w:vAlign w:val="bottom"/>
            <w:vMerge w:val="continue"/>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(23,525)</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14,680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80" w:type="dxa"/>
            <w:vAlign w:val="bottom"/>
          </w:tcPr>
          <w:p>
            <w:pPr>
              <w:ind w:left="120"/>
              <w:spacing w:after="0"/>
              <w:rPr>
                <w:sz w:val="20"/>
                <w:szCs w:val="20"/>
                <w:color w:val="auto"/>
              </w:rPr>
            </w:pPr>
            <w:r>
              <w:rPr>
                <w:rFonts w:ascii="Arial" w:cs="Arial" w:eastAsia="Arial" w:hAnsi="Arial"/>
                <w:sz w:val="18"/>
                <w:szCs w:val="18"/>
                <w:color w:val="auto"/>
              </w:rPr>
              <w:t>Interest expense—net</w:t>
            </w:r>
          </w:p>
        </w:tc>
        <w:tc>
          <w:tcPr>
            <w:tcW w:w="3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(26,046)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(22,907)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(24,365)</w:t>
            </w:r>
          </w:p>
        </w:tc>
        <w:tc>
          <w:tcPr>
            <w:tcW w:w="0" w:type="dxa"/>
            <w:vAlign w:val="bottom"/>
          </w:tcPr>
          <w:p>
            <w:pPr>
              <w:spacing w:after="0"/>
              <w:rPr>
                <w:sz w:val="1"/>
                <w:szCs w:val="1"/>
                <w:color w:val="auto"/>
              </w:rPr>
            </w:pPr>
          </w:p>
        </w:tc>
      </w:tr>
      <w:tr>
        <w:trPr>
          <w:trHeight w:val="227"/>
        </w:trPr>
        <w:tc>
          <w:tcPr>
            <w:tcW w:w="67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Equity in loss of joint ventures</w:t>
            </w:r>
          </w:p>
        </w:tc>
        <w:tc>
          <w:tcPr>
            <w:tcW w:w="3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(1,484)</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(2,365)</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(6,051)</w:t>
            </w:r>
          </w:p>
        </w:tc>
        <w:tc>
          <w:tcPr>
            <w:tcW w:w="0" w:type="dxa"/>
            <w:vAlign w:val="bottom"/>
          </w:tcPr>
          <w:p>
            <w:pPr>
              <w:spacing w:after="0"/>
              <w:rPr>
                <w:sz w:val="1"/>
                <w:szCs w:val="1"/>
                <w:color w:val="auto"/>
              </w:rPr>
            </w:pPr>
          </w:p>
        </w:tc>
      </w:tr>
      <w:tr>
        <w:trPr>
          <w:trHeight w:val="226"/>
        </w:trPr>
        <w:tc>
          <w:tcPr>
            <w:tcW w:w="6780" w:type="dxa"/>
            <w:vAlign w:val="bottom"/>
          </w:tcPr>
          <w:p>
            <w:pPr>
              <w:ind w:left="120"/>
              <w:spacing w:after="0"/>
              <w:rPr>
                <w:sz w:val="20"/>
                <w:szCs w:val="20"/>
                <w:color w:val="auto"/>
              </w:rPr>
            </w:pPr>
            <w:r>
              <w:rPr>
                <w:rFonts w:ascii="Arial" w:cs="Arial" w:eastAsia="Arial" w:hAnsi="Arial"/>
                <w:sz w:val="18"/>
                <w:szCs w:val="18"/>
                <w:color w:val="auto"/>
              </w:rPr>
              <w:t>Loss on extinguishment of debt</w:t>
            </w:r>
          </w:p>
        </w:tc>
        <w:tc>
          <w:tcPr>
            <w:tcW w:w="3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(2,330)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67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expense</w:t>
            </w:r>
          </w:p>
        </w:tc>
        <w:tc>
          <w:tcPr>
            <w:tcW w:w="3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(788)</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(3,377)</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0"/>
        </w:trPr>
        <w:tc>
          <w:tcPr>
            <w:tcW w:w="6780" w:type="dxa"/>
            <w:vAlign w:val="bottom"/>
            <w:vMerge w:val="restart"/>
          </w:tcPr>
          <w:p>
            <w:pPr>
              <w:ind w:left="380"/>
              <w:spacing w:after="0"/>
              <w:rPr>
                <w:sz w:val="20"/>
                <w:szCs w:val="20"/>
                <w:color w:val="auto"/>
              </w:rPr>
            </w:pPr>
            <w:r>
              <w:rPr>
                <w:rFonts w:ascii="Arial" w:cs="Arial" w:eastAsia="Arial" w:hAnsi="Arial"/>
                <w:sz w:val="18"/>
                <w:szCs w:val="18"/>
                <w:color w:val="auto"/>
              </w:rPr>
              <w:t>Total other expense</w:t>
            </w: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7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(30,648)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(28,649)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(31,645)</w:t>
            </w:r>
          </w:p>
        </w:tc>
        <w:tc>
          <w:tcPr>
            <w:tcW w:w="0" w:type="dxa"/>
            <w:vAlign w:val="bottom"/>
          </w:tcPr>
          <w:p>
            <w:pPr>
              <w:spacing w:after="0"/>
              <w:rPr>
                <w:sz w:val="1"/>
                <w:szCs w:val="1"/>
                <w:color w:val="auto"/>
              </w:rPr>
            </w:pPr>
          </w:p>
        </w:tc>
      </w:tr>
      <w:tr>
        <w:trPr>
          <w:trHeight w:val="227"/>
        </w:trPr>
        <w:tc>
          <w:tcPr>
            <w:tcW w:w="6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80" w:type="dxa"/>
            <w:vAlign w:val="bottom"/>
          </w:tcPr>
          <w:p>
            <w:pPr>
              <w:spacing w:after="0"/>
              <w:rPr>
                <w:sz w:val="20"/>
                <w:szCs w:val="20"/>
                <w:color w:val="auto"/>
              </w:rPr>
            </w:pPr>
            <w:r>
              <w:rPr>
                <w:rFonts w:ascii="Arial" w:cs="Arial" w:eastAsia="Arial" w:hAnsi="Arial"/>
                <w:sz w:val="18"/>
                <w:szCs w:val="18"/>
                <w:color w:val="auto"/>
              </w:rPr>
              <w:t>LOSS FROM CONTINUING OPERATIONS BEFORE INCOME TAXES</w:t>
            </w:r>
          </w:p>
        </w:tc>
        <w:tc>
          <w:tcPr>
            <w:tcW w:w="3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(54,173)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(13,969)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(8,686)</w:t>
            </w:r>
          </w:p>
        </w:tc>
        <w:tc>
          <w:tcPr>
            <w:tcW w:w="0" w:type="dxa"/>
            <w:vAlign w:val="bottom"/>
          </w:tcPr>
          <w:p>
            <w:pPr>
              <w:spacing w:after="0"/>
              <w:rPr>
                <w:sz w:val="1"/>
                <w:szCs w:val="1"/>
                <w:color w:val="auto"/>
              </w:rPr>
            </w:pPr>
          </w:p>
        </w:tc>
      </w:tr>
      <w:tr>
        <w:trPr>
          <w:trHeight w:val="227"/>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35,610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LOSS FROM CONTINUING OPERATIONS</w:t>
            </w:r>
          </w:p>
        </w:tc>
        <w:tc>
          <w:tcPr>
            <w:tcW w:w="3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(18,563)</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(8,177)</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(6,189)</w:t>
            </w:r>
          </w:p>
        </w:tc>
        <w:tc>
          <w:tcPr>
            <w:tcW w:w="0" w:type="dxa"/>
            <w:vAlign w:val="bottom"/>
          </w:tcPr>
          <w:p>
            <w:pPr>
              <w:spacing w:after="0"/>
              <w:rPr>
                <w:sz w:val="1"/>
                <w:szCs w:val="1"/>
                <w:color w:val="auto"/>
              </w:rPr>
            </w:pPr>
          </w:p>
        </w:tc>
      </w:tr>
      <w:tr>
        <w:trPr>
          <w:trHeight w:val="226"/>
        </w:trPr>
        <w:tc>
          <w:tcPr>
            <w:tcW w:w="6780" w:type="dxa"/>
            <w:vAlign w:val="bottom"/>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3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(12,697)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67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678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(31,260)</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(8,177)</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(6,189)</w:t>
            </w:r>
          </w:p>
        </w:tc>
        <w:tc>
          <w:tcPr>
            <w:tcW w:w="0" w:type="dxa"/>
            <w:vAlign w:val="bottom"/>
          </w:tcPr>
          <w:p>
            <w:pPr>
              <w:spacing w:after="0"/>
              <w:rPr>
                <w:sz w:val="1"/>
                <w:szCs w:val="1"/>
                <w:color w:val="auto"/>
              </w:rPr>
            </w:pPr>
          </w:p>
        </w:tc>
      </w:tr>
      <w:tr>
        <w:trPr>
          <w:trHeight w:val="207"/>
        </w:trPr>
        <w:tc>
          <w:tcPr>
            <w:tcW w:w="67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780" w:type="dxa"/>
            <w:vAlign w:val="bottom"/>
          </w:tcPr>
          <w:p>
            <w:pPr>
              <w:spacing w:after="0"/>
              <w:rPr>
                <w:sz w:val="20"/>
                <w:szCs w:val="20"/>
                <w:color w:val="auto"/>
              </w:rPr>
            </w:pPr>
            <w:r>
              <w:rPr>
                <w:rFonts w:ascii="Arial" w:cs="Arial" w:eastAsia="Arial" w:hAnsi="Arial"/>
                <w:sz w:val="18"/>
                <w:szCs w:val="18"/>
                <w:color w:val="auto"/>
              </w:rPr>
              <w:t>Basic loss per share attributable to loss from continuing operations</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7"/>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w w:val="96"/>
              </w:rPr>
              <w:t>Basic loss per share attributable to loss on discontinued operations, net of income taxes</w:t>
            </w:r>
          </w:p>
        </w:tc>
        <w:tc>
          <w:tcPr>
            <w:tcW w:w="3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(0.21)</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8"/>
                <w:szCs w:val="18"/>
                <w:color w:val="auto"/>
              </w:rPr>
              <w:t>Basic loss per share</w:t>
            </w: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780" w:type="dxa"/>
            <w:vAlign w:val="bottom"/>
            <w:vMerge w:val="continue"/>
          </w:tcPr>
          <w:p>
            <w:pPr>
              <w:spacing w:after="0"/>
              <w:rPr>
                <w:sz w:val="19"/>
                <w:szCs w:val="19"/>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(0.51)</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7"/>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Basic weighted average shares</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61,365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60,744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Diluted loss per share attributable to loss from continuing operations</w:t>
            </w: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(0.30)</w:t>
            </w: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(0.13)</w:t>
            </w: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6"/>
        </w:trPr>
        <w:tc>
          <w:tcPr>
            <w:tcW w:w="6780" w:type="dxa"/>
            <w:vAlign w:val="bottom"/>
          </w:tcPr>
          <w:p>
            <w:pPr>
              <w:spacing w:after="0"/>
              <w:rPr>
                <w:sz w:val="20"/>
                <w:szCs w:val="20"/>
                <w:color w:val="auto"/>
              </w:rPr>
            </w:pPr>
            <w:r>
              <w:rPr>
                <w:rFonts w:ascii="Arial" w:cs="Arial" w:eastAsia="Arial" w:hAnsi="Arial"/>
                <w:sz w:val="18"/>
                <w:szCs w:val="18"/>
                <w:color w:val="auto"/>
                <w:w w:val="95"/>
              </w:rPr>
              <w:t>Diluted loss per share attributable to loss on discontinued operations, net of income taxes</w:t>
            </w:r>
          </w:p>
        </w:tc>
        <w:tc>
          <w:tcPr>
            <w:tcW w:w="3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Diluted loss per share</w:t>
            </w: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780" w:type="dxa"/>
            <w:vAlign w:val="bottom"/>
            <w:vMerge w:val="continue"/>
            <w:shd w:val="clear" w:color="auto" w:fill="CFF0FC"/>
          </w:tcPr>
          <w:p>
            <w:pPr>
              <w:spacing w:after="0"/>
              <w:rPr>
                <w:sz w:val="19"/>
                <w:szCs w:val="19"/>
                <w:color w:val="auto"/>
              </w:rPr>
            </w:pP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(0.51)</w:t>
            </w: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(0.13)</w:t>
            </w: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5"/>
        </w:trPr>
        <w:tc>
          <w:tcPr>
            <w:tcW w:w="6780" w:type="dxa"/>
            <w:vAlign w:val="bottom"/>
          </w:tcPr>
          <w:p>
            <w:pPr>
              <w:spacing w:after="0"/>
              <w:rPr>
                <w:sz w:val="20"/>
                <w:szCs w:val="20"/>
                <w:color w:val="auto"/>
              </w:rPr>
            </w:pPr>
            <w:r>
              <w:rPr>
                <w:rFonts w:ascii="Arial" w:cs="Arial" w:eastAsia="Arial" w:hAnsi="Arial"/>
                <w:sz w:val="18"/>
                <w:szCs w:val="18"/>
                <w:color w:val="auto"/>
              </w:rPr>
              <w:t>Diluted weighted average shares</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61,365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60,744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3" w:name="page64"/>
    <w:bookmarkEnd w:id="63"/>
    <w:p>
      <w:pPr>
        <w:ind w:left="348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3"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78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780" w:type="dxa"/>
            <w:vAlign w:val="bottom"/>
            <w:vMerge w:val="continue"/>
          </w:tcPr>
          <w:p>
            <w:pPr>
              <w:spacing w:after="0"/>
              <w:rPr>
                <w:sz w:val="19"/>
                <w:szCs w:val="19"/>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(31,260)</w:t>
            </w:r>
          </w:p>
        </w:tc>
        <w:tc>
          <w:tcPr>
            <w:tcW w:w="960" w:type="dxa"/>
            <w:vAlign w:val="bottom"/>
            <w:gridSpan w:val="2"/>
          </w:tcPr>
          <w:p>
            <w:pPr>
              <w:jc w:val="right"/>
              <w:ind w:right="709"/>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(8,177)</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(6,189)</w:t>
            </w:r>
          </w:p>
        </w:tc>
        <w:tc>
          <w:tcPr>
            <w:tcW w:w="0" w:type="dxa"/>
            <w:vAlign w:val="bottom"/>
          </w:tcPr>
          <w:p>
            <w:pPr>
              <w:spacing w:after="0"/>
              <w:rPr>
                <w:sz w:val="1"/>
                <w:szCs w:val="1"/>
                <w:color w:val="auto"/>
              </w:rPr>
            </w:pPr>
          </w:p>
        </w:tc>
      </w:tr>
      <w:tr>
        <w:trPr>
          <w:trHeight w:val="227"/>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Currency translation adjustment—net of tax (1)</w:t>
            </w:r>
          </w:p>
        </w:tc>
        <w:tc>
          <w:tcPr>
            <w:tcW w:w="3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26"/>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unrealized loss on derivatives—net of tax (2)</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(loss)—net of tax</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8"/>
                <w:szCs w:val="18"/>
                <w:color w:val="auto"/>
              </w:rPr>
              <w:t>Comprehensive loss</w:t>
            </w: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780" w:type="dxa"/>
            <w:vAlign w:val="bottom"/>
            <w:vMerge w:val="continue"/>
          </w:tcPr>
          <w:p>
            <w:pPr>
              <w:spacing w:after="0"/>
              <w:rPr>
                <w:sz w:val="19"/>
                <w:szCs w:val="19"/>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(30,112)</w:t>
            </w:r>
          </w:p>
        </w:tc>
        <w:tc>
          <w:tcPr>
            <w:tcW w:w="960" w:type="dxa"/>
            <w:vAlign w:val="bottom"/>
            <w:gridSpan w:val="2"/>
          </w:tcPr>
          <w:p>
            <w:pPr>
              <w:jc w:val="right"/>
              <w:ind w:right="709"/>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(7,339)</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(7,438)</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520" w:hanging="513"/>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of income tax (provision) benefit of $44, $(338) and $827 for the years ended December 31, 2017, 2016 and 2015, respectively.</w:t>
      </w:r>
    </w:p>
    <w:p>
      <w:pPr>
        <w:spacing w:after="0" w:line="17" w:lineRule="exact"/>
        <w:rPr>
          <w:rFonts w:ascii="Arial" w:cs="Arial" w:eastAsia="Arial" w:hAnsi="Arial"/>
          <w:sz w:val="18"/>
          <w:szCs w:val="18"/>
          <w:color w:val="auto"/>
        </w:rPr>
      </w:pPr>
    </w:p>
    <w:p>
      <w:pPr>
        <w:ind w:left="520" w:hanging="513"/>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of income tax benefit of $1,048 and $216 for the years ended December 31, 2017 and 2016, respectively.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4" w:name="page65"/>
    <w:bookmarkEnd w:id="64"/>
    <w:p>
      <w:pPr>
        <w:ind w:left="348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Consolidated Statements of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8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0" w:type="dxa"/>
            <w:vAlign w:val="bottom"/>
            <w:tcBorders>
              <w:bottom w:val="single" w:sz="8" w:color="auto"/>
            </w:tcBorders>
            <w:gridSpan w:val="14"/>
          </w:tcPr>
          <w:p>
            <w:pPr>
              <w:jc w:val="right"/>
              <w:ind w:right="540"/>
              <w:spacing w:after="0"/>
              <w:rPr>
                <w:sz w:val="20"/>
                <w:szCs w:val="20"/>
                <w:color w:val="auto"/>
              </w:rPr>
            </w:pPr>
            <w:r>
              <w:rPr>
                <w:rFonts w:ascii="Arial" w:cs="Arial" w:eastAsia="Arial" w:hAnsi="Arial"/>
                <w:sz w:val="14"/>
                <w:szCs w:val="14"/>
                <w:b w:val="1"/>
                <w:bCs w:val="1"/>
                <w:color w:val="auto"/>
              </w:rPr>
              <w:t>Great Lakes Dredge &amp; Dock Corporation shareholders</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3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384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Shares of</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Shares of</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840" w:type="dxa"/>
            <w:vAlign w:val="bottom"/>
          </w:tcPr>
          <w:p>
            <w:pPr>
              <w:spacing w:after="0"/>
              <w:rPr>
                <w:sz w:val="16"/>
                <w:szCs w:val="16"/>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Common</w:t>
            </w: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Common</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Treasury</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Treasury</w:t>
            </w:r>
          </w:p>
        </w:tc>
        <w:tc>
          <w:tcPr>
            <w:tcW w:w="100" w:type="dxa"/>
            <w:vAlign w:val="bottom"/>
          </w:tcPr>
          <w:p>
            <w:pPr>
              <w:spacing w:after="0"/>
              <w:rPr>
                <w:sz w:val="16"/>
                <w:szCs w:val="16"/>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Paid-In</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200" w:type="dxa"/>
            <w:vAlign w:val="bottom"/>
            <w:gridSpan w:val="4"/>
          </w:tcPr>
          <w:p>
            <w:pPr>
              <w:ind w:left="60"/>
              <w:spacing w:after="0"/>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40" w:type="dxa"/>
            <w:vAlign w:val="bottom"/>
            <w:tcBorders>
              <w:bottom w:val="single" w:sz="8" w:color="CFF0FC"/>
            </w:tcBorders>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4"/>
              </w:rPr>
              <w:t>Stock</w:t>
            </w:r>
          </w:p>
        </w:tc>
        <w:tc>
          <w:tcPr>
            <w:tcW w:w="180" w:type="dxa"/>
            <w:vAlign w:val="bottom"/>
            <w:tcBorders>
              <w:bottom w:val="single" w:sz="8" w:color="CFF0FC"/>
            </w:tcBorders>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Borders>
              <w:bottom w:val="single" w:sz="8" w:color="CFF0FC"/>
            </w:tcBorders>
          </w:tcPr>
          <w:p>
            <w:pPr>
              <w:spacing w:after="0"/>
              <w:rPr>
                <w:sz w:val="16"/>
                <w:szCs w:val="16"/>
                <w:color w:val="auto"/>
              </w:rPr>
            </w:pPr>
          </w:p>
        </w:tc>
        <w:tc>
          <w:tcPr>
            <w:tcW w:w="6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Stock</w:t>
            </w:r>
          </w:p>
        </w:tc>
        <w:tc>
          <w:tcPr>
            <w:tcW w:w="20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FF0FC"/>
            </w:tcBorders>
          </w:tcPr>
          <w:p>
            <w:pPr>
              <w:spacing w:after="0"/>
              <w:rPr>
                <w:sz w:val="16"/>
                <w:szCs w:val="16"/>
                <w:color w:val="auto"/>
              </w:rPr>
            </w:pPr>
          </w:p>
        </w:tc>
        <w:tc>
          <w:tcPr>
            <w:tcW w:w="60" w:type="dxa"/>
            <w:vAlign w:val="bottom"/>
            <w:tcBorders>
              <w:bottom w:val="single" w:sz="8" w:color="CFF0FC"/>
            </w:tcBorders>
          </w:tcPr>
          <w:p>
            <w:pPr>
              <w:spacing w:after="0"/>
              <w:rPr>
                <w:sz w:val="16"/>
                <w:szCs w:val="16"/>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20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rPr>
              <w:t>BALANCE—January 1, 2015</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60,170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278,166</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(21,475)</w:t>
            </w:r>
          </w:p>
        </w:tc>
        <w:tc>
          <w:tcPr>
            <w:tcW w:w="24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(734)</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255,963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rPr>
              <w:t>Share-based compensation</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4,040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40" w:type="dxa"/>
            <w:vAlign w:val="bottom"/>
          </w:tcPr>
          <w:p>
            <w:pPr>
              <w:spacing w:after="0"/>
              <w:rPr>
                <w:sz w:val="20"/>
                <w:szCs w:val="20"/>
                <w:color w:val="auto"/>
              </w:rPr>
            </w:pPr>
            <w:r>
              <w:rPr>
                <w:rFonts w:ascii="Arial" w:cs="Arial" w:eastAsia="Arial" w:hAnsi="Arial"/>
                <w:sz w:val="16"/>
                <w:szCs w:val="16"/>
                <w:color w:val="auto"/>
                <w:w w:val="91"/>
              </w:rPr>
              <w:t>Vesting of restricted stock units, including impact of shares</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40" w:type="dxa"/>
            <w:vAlign w:val="bottom"/>
          </w:tcPr>
          <w:p>
            <w:pPr>
              <w:spacing w:after="0"/>
              <w:rPr>
                <w:sz w:val="20"/>
                <w:szCs w:val="20"/>
                <w:color w:val="auto"/>
              </w:rPr>
            </w:pPr>
            <w:r>
              <w:rPr>
                <w:rFonts w:ascii="Arial" w:cs="Arial" w:eastAsia="Arial" w:hAnsi="Arial"/>
                <w:sz w:val="16"/>
                <w:szCs w:val="16"/>
                <w:color w:val="auto"/>
              </w:rPr>
              <w:t>withheld for taxes</w:t>
            </w:r>
          </w:p>
        </w:tc>
        <w:tc>
          <w:tcPr>
            <w:tcW w:w="720" w:type="dxa"/>
            <w:vAlign w:val="bottom"/>
          </w:tcPr>
          <w:p>
            <w:pPr>
              <w:jc w:val="right"/>
              <w:spacing w:after="0"/>
              <w:rPr>
                <w:sz w:val="20"/>
                <w:szCs w:val="20"/>
                <w:color w:val="auto"/>
              </w:rPr>
            </w:pPr>
            <w:r>
              <w:rPr>
                <w:rFonts w:ascii="Arial" w:cs="Arial" w:eastAsia="Arial" w:hAnsi="Arial"/>
                <w:sz w:val="16"/>
                <w:szCs w:val="16"/>
                <w:color w:val="auto"/>
              </w:rPr>
              <w:t>115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(267)</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06"/>
        </w:trPr>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w w:val="96"/>
              </w:rPr>
              <w:t>Exercise of stock options and purchases from employee</w:t>
            </w: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rPr>
              <w:t>stock plans</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1,365</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40" w:type="dxa"/>
            <w:vAlign w:val="bottom"/>
          </w:tcPr>
          <w:p>
            <w:pPr>
              <w:spacing w:after="0"/>
              <w:rPr>
                <w:sz w:val="20"/>
                <w:szCs w:val="20"/>
                <w:color w:val="auto"/>
              </w:rPr>
            </w:pPr>
            <w:r>
              <w:rPr>
                <w:rFonts w:ascii="Arial" w:cs="Arial" w:eastAsia="Arial" w:hAnsi="Arial"/>
                <w:sz w:val="16"/>
                <w:szCs w:val="16"/>
                <w:color w:val="auto"/>
                <w:w w:val="90"/>
              </w:rPr>
              <w:t>Excess income tax benefit from share-based compensation</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(57)</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rPr>
              <w:t>Purchase of treasury stock</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(278)</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(1,433)</w:t>
            </w:r>
          </w:p>
        </w:tc>
        <w:tc>
          <w:tcPr>
            <w:tcW w:w="1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(1,433)</w:t>
            </w:r>
          </w:p>
        </w:tc>
        <w:tc>
          <w:tcPr>
            <w:tcW w:w="0" w:type="dxa"/>
            <w:vAlign w:val="bottom"/>
          </w:tcPr>
          <w:p>
            <w:pPr>
              <w:spacing w:after="0"/>
              <w:rPr>
                <w:sz w:val="1"/>
                <w:szCs w:val="1"/>
                <w:color w:val="auto"/>
              </w:rPr>
            </w:pPr>
          </w:p>
        </w:tc>
      </w:tr>
      <w:tr>
        <w:trPr>
          <w:trHeight w:val="211"/>
        </w:trPr>
        <w:tc>
          <w:tcPr>
            <w:tcW w:w="3840" w:type="dxa"/>
            <w:vAlign w:val="bottom"/>
          </w:tcPr>
          <w:p>
            <w:pPr>
              <w:spacing w:after="0"/>
              <w:rPr>
                <w:sz w:val="20"/>
                <w:szCs w:val="20"/>
                <w:color w:val="auto"/>
              </w:rPr>
            </w:pPr>
            <w:r>
              <w:rPr>
                <w:rFonts w:ascii="Arial" w:cs="Arial" w:eastAsia="Arial" w:hAnsi="Arial"/>
                <w:sz w:val="16"/>
                <w:szCs w:val="16"/>
                <w:color w:val="auto"/>
              </w:rPr>
              <w:t>Net loss</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(6,189)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(6,189)</w:t>
            </w: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loss—net of tax</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(1,249)</w:t>
            </w:r>
          </w:p>
        </w:tc>
        <w:tc>
          <w:tcPr>
            <w:tcW w:w="1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(1,249)</w:t>
            </w: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6"/>
                <w:szCs w:val="16"/>
                <w:color w:val="auto"/>
              </w:rPr>
              <w:t>BALANCE—December 31, 2015</w:t>
            </w: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840" w:type="dxa"/>
            <w:vAlign w:val="bottom"/>
            <w:vMerge w:val="continue"/>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60,709</w:t>
            </w:r>
          </w:p>
        </w:tc>
        <w:tc>
          <w:tcPr>
            <w:tcW w:w="1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(278)</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(1,433)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283,247</w:t>
            </w:r>
          </w:p>
        </w:tc>
        <w:tc>
          <w:tcPr>
            <w:tcW w:w="18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(27,664)</w:t>
            </w:r>
          </w:p>
        </w:tc>
        <w:tc>
          <w:tcPr>
            <w:tcW w:w="2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(1,983)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252,173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84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84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720" w:type="dxa"/>
            <w:vAlign w:val="bottom"/>
          </w:tcPr>
          <w:p>
            <w:pPr>
              <w:jc w:val="right"/>
              <w:spacing w:after="0"/>
              <w:rPr>
                <w:sz w:val="20"/>
                <w:szCs w:val="20"/>
                <w:color w:val="auto"/>
              </w:rPr>
            </w:pPr>
            <w:r>
              <w:rPr>
                <w:rFonts w:ascii="Arial" w:cs="Arial" w:eastAsia="Arial" w:hAnsi="Arial"/>
                <w:sz w:val="16"/>
                <w:szCs w:val="16"/>
                <w:color w:val="auto"/>
              </w:rPr>
              <w:t>148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w w:val="91"/>
              </w:rPr>
              <w:t>Vesting of restricted stock units, including impact of shares</w:t>
            </w: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rPr>
              <w:t>withheld for taxes</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(171)</w:t>
            </w: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03"/>
        </w:trPr>
        <w:tc>
          <w:tcPr>
            <w:tcW w:w="3840" w:type="dxa"/>
            <w:vAlign w:val="bottom"/>
          </w:tcPr>
          <w:p>
            <w:pPr>
              <w:spacing w:after="0"/>
              <w:rPr>
                <w:sz w:val="20"/>
                <w:szCs w:val="20"/>
                <w:color w:val="auto"/>
              </w:rPr>
            </w:pPr>
            <w:r>
              <w:rPr>
                <w:rFonts w:ascii="Arial" w:cs="Arial" w:eastAsia="Arial" w:hAnsi="Arial"/>
                <w:sz w:val="16"/>
                <w:szCs w:val="16"/>
                <w:color w:val="auto"/>
                <w:w w:val="96"/>
              </w:rPr>
              <w:t>Exercise of stock options and purchases from employee</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40" w:type="dxa"/>
            <w:vAlign w:val="bottom"/>
          </w:tcPr>
          <w:p>
            <w:pPr>
              <w:spacing w:after="0"/>
              <w:rPr>
                <w:sz w:val="20"/>
                <w:szCs w:val="20"/>
                <w:color w:val="auto"/>
              </w:rPr>
            </w:pPr>
            <w:r>
              <w:rPr>
                <w:rFonts w:ascii="Arial" w:cs="Arial" w:eastAsia="Arial" w:hAnsi="Arial"/>
                <w:sz w:val="16"/>
                <w:szCs w:val="16"/>
                <w:color w:val="auto"/>
              </w:rPr>
              <w:t>stock purchase plan</w:t>
            </w:r>
          </w:p>
        </w:tc>
        <w:tc>
          <w:tcPr>
            <w:tcW w:w="720" w:type="dxa"/>
            <w:vAlign w:val="bottom"/>
          </w:tcPr>
          <w:p>
            <w:pPr>
              <w:jc w:val="right"/>
              <w:spacing w:after="0"/>
              <w:rPr>
                <w:sz w:val="20"/>
                <w:szCs w:val="20"/>
                <w:color w:val="auto"/>
              </w:rPr>
            </w:pPr>
            <w:r>
              <w:rPr>
                <w:rFonts w:ascii="Arial" w:cs="Arial" w:eastAsia="Arial" w:hAnsi="Arial"/>
                <w:sz w:val="16"/>
                <w:szCs w:val="16"/>
                <w:color w:val="auto"/>
              </w:rPr>
              <w:t>309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w w:val="90"/>
              </w:rPr>
              <w:t>Excess income tax benefit from share-based compensation</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(133)</w:t>
            </w: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11"/>
        </w:trPr>
        <w:tc>
          <w:tcPr>
            <w:tcW w:w="3840" w:type="dxa"/>
            <w:vAlign w:val="bottom"/>
          </w:tcPr>
          <w:p>
            <w:pPr>
              <w:spacing w:after="0"/>
              <w:rPr>
                <w:sz w:val="20"/>
                <w:szCs w:val="20"/>
                <w:color w:val="auto"/>
              </w:rPr>
            </w:pPr>
            <w:r>
              <w:rPr>
                <w:rFonts w:ascii="Arial" w:cs="Arial" w:eastAsia="Arial" w:hAnsi="Arial"/>
                <w:sz w:val="16"/>
                <w:szCs w:val="16"/>
                <w:color w:val="auto"/>
              </w:rPr>
              <w:t>Net loss</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(8,177)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(8,177)</w:t>
            </w: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income—net of tax</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838</w:t>
            </w:r>
          </w:p>
        </w:tc>
        <w:tc>
          <w:tcPr>
            <w:tcW w:w="2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840" w:type="dxa"/>
            <w:vAlign w:val="bottom"/>
          </w:tcPr>
          <w:p>
            <w:pPr>
              <w:spacing w:after="0"/>
              <w:rPr>
                <w:sz w:val="20"/>
                <w:szCs w:val="20"/>
                <w:color w:val="auto"/>
              </w:rPr>
            </w:pPr>
            <w:r>
              <w:rPr>
                <w:rFonts w:ascii="Arial" w:cs="Arial" w:eastAsia="Arial" w:hAnsi="Arial"/>
                <w:sz w:val="16"/>
                <w:szCs w:val="16"/>
                <w:color w:val="auto"/>
              </w:rPr>
              <w:t>BALANCE—December 31, 2016</w:t>
            </w:r>
          </w:p>
        </w:tc>
        <w:tc>
          <w:tcPr>
            <w:tcW w:w="720" w:type="dxa"/>
            <w:vAlign w:val="bottom"/>
          </w:tcPr>
          <w:p>
            <w:pPr>
              <w:jc w:val="right"/>
              <w:spacing w:after="0"/>
              <w:rPr>
                <w:sz w:val="20"/>
                <w:szCs w:val="20"/>
                <w:color w:val="auto"/>
              </w:rPr>
            </w:pPr>
            <w:r>
              <w:rPr>
                <w:rFonts w:ascii="Arial" w:cs="Arial" w:eastAsia="Arial" w:hAnsi="Arial"/>
                <w:sz w:val="16"/>
                <w:szCs w:val="16"/>
                <w:color w:val="auto"/>
              </w:rPr>
              <w:t>61,240</w:t>
            </w:r>
          </w:p>
        </w:tc>
        <w:tc>
          <w:tcPr>
            <w:tcW w:w="1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(278)</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(1,433)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286,303</w:t>
            </w:r>
          </w:p>
        </w:tc>
        <w:tc>
          <w:tcPr>
            <w:tcW w:w="18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(35,841)</w:t>
            </w:r>
          </w:p>
        </w:tc>
        <w:tc>
          <w:tcPr>
            <w:tcW w:w="2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(1,145)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247,890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84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84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720" w:type="dxa"/>
            <w:vAlign w:val="bottom"/>
          </w:tcPr>
          <w:p>
            <w:pPr>
              <w:jc w:val="right"/>
              <w:spacing w:after="0"/>
              <w:rPr>
                <w:sz w:val="20"/>
                <w:szCs w:val="20"/>
                <w:color w:val="auto"/>
              </w:rPr>
            </w:pPr>
            <w:r>
              <w:rPr>
                <w:rFonts w:ascii="Arial" w:cs="Arial" w:eastAsia="Arial" w:hAnsi="Arial"/>
                <w:sz w:val="16"/>
                <w:szCs w:val="16"/>
                <w:color w:val="auto"/>
              </w:rPr>
              <w:t>248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2,963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w w:val="91"/>
              </w:rPr>
              <w:t>Vesting of restricted stock units, including impact of shares</w:t>
            </w: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rPr>
              <w:t>withheld for taxes</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(328)</w:t>
            </w: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03"/>
        </w:trPr>
        <w:tc>
          <w:tcPr>
            <w:tcW w:w="3840" w:type="dxa"/>
            <w:vAlign w:val="bottom"/>
          </w:tcPr>
          <w:p>
            <w:pPr>
              <w:spacing w:after="0"/>
              <w:rPr>
                <w:sz w:val="20"/>
                <w:szCs w:val="20"/>
                <w:color w:val="auto"/>
              </w:rPr>
            </w:pPr>
            <w:r>
              <w:rPr>
                <w:rFonts w:ascii="Arial" w:cs="Arial" w:eastAsia="Arial" w:hAnsi="Arial"/>
                <w:sz w:val="16"/>
                <w:szCs w:val="16"/>
                <w:color w:val="auto"/>
                <w:w w:val="96"/>
              </w:rPr>
              <w:t>Exercise of stock options and purchases from employee</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40" w:type="dxa"/>
            <w:vAlign w:val="bottom"/>
          </w:tcPr>
          <w:p>
            <w:pPr>
              <w:spacing w:after="0"/>
              <w:rPr>
                <w:sz w:val="20"/>
                <w:szCs w:val="20"/>
                <w:color w:val="auto"/>
              </w:rPr>
            </w:pPr>
            <w:r>
              <w:rPr>
                <w:rFonts w:ascii="Arial" w:cs="Arial" w:eastAsia="Arial" w:hAnsi="Arial"/>
                <w:sz w:val="16"/>
                <w:szCs w:val="16"/>
                <w:color w:val="auto"/>
              </w:rPr>
              <w:t>stock purchase plan</w:t>
            </w:r>
          </w:p>
        </w:tc>
        <w:tc>
          <w:tcPr>
            <w:tcW w:w="720" w:type="dxa"/>
            <w:vAlign w:val="bottom"/>
          </w:tcPr>
          <w:p>
            <w:pPr>
              <w:jc w:val="right"/>
              <w:spacing w:after="0"/>
              <w:rPr>
                <w:sz w:val="20"/>
                <w:szCs w:val="20"/>
                <w:color w:val="auto"/>
              </w:rPr>
            </w:pPr>
            <w:r>
              <w:rPr>
                <w:rFonts w:ascii="Arial" w:cs="Arial" w:eastAsia="Arial" w:hAnsi="Arial"/>
                <w:sz w:val="16"/>
                <w:szCs w:val="16"/>
                <w:color w:val="auto"/>
              </w:rPr>
              <w:t>262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(31,260)</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(31,260)</w:t>
            </w:r>
          </w:p>
        </w:tc>
        <w:tc>
          <w:tcPr>
            <w:tcW w:w="0" w:type="dxa"/>
            <w:vAlign w:val="bottom"/>
          </w:tcPr>
          <w:p>
            <w:pPr>
              <w:spacing w:after="0"/>
              <w:rPr>
                <w:sz w:val="1"/>
                <w:szCs w:val="1"/>
                <w:color w:val="auto"/>
              </w:rPr>
            </w:pPr>
          </w:p>
        </w:tc>
      </w:tr>
      <w:tr>
        <w:trPr>
          <w:trHeight w:val="211"/>
        </w:trPr>
        <w:tc>
          <w:tcPr>
            <w:tcW w:w="38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comprehensive income—net of tax</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1,148</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rPr>
              <w:t>BALANCE—December 31, 2017</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61,897</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(278)</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(1,433)</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289,821</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(67,101)</w:t>
            </w:r>
          </w:p>
        </w:tc>
        <w:tc>
          <w:tcPr>
            <w:tcW w:w="24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221,296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5" w:name="page66"/>
    <w:bookmarkEnd w:id="65"/>
    <w:p>
      <w:pPr>
        <w:ind w:left="348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3"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2017</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500"/>
              <w:spacing w:after="0"/>
              <w:rPr>
                <w:sz w:val="20"/>
                <w:szCs w:val="20"/>
                <w:color w:val="auto"/>
              </w:rPr>
            </w:pPr>
            <w:r>
              <w:rPr>
                <w:rFonts w:ascii="Arial" w:cs="Arial" w:eastAsia="Arial" w:hAnsi="Arial"/>
                <w:sz w:val="16"/>
                <w:szCs w:val="16"/>
                <w:b w:val="1"/>
                <w:bCs w:val="1"/>
                <w:color w:val="auto"/>
              </w:rPr>
              <w:t>2016</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4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OPERATING ACTIVITIES:</w:t>
            </w:r>
          </w:p>
        </w:tc>
        <w:tc>
          <w:tcPr>
            <w:tcW w:w="76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68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1700" w:type="dxa"/>
            <w:vAlign w:val="bottom"/>
            <w:gridSpan w:val="2"/>
          </w:tcPr>
          <w:p>
            <w:pPr>
              <w:jc w:val="right"/>
              <w:ind w:right="8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w w:val="90"/>
              </w:rPr>
              <w:t>(31,260)</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(8,177)</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(6,189)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6"/>
                <w:szCs w:val="16"/>
                <w:color w:val="auto"/>
              </w:rPr>
              <w:t>Loss from discontinued operations, net of income taxes</w:t>
            </w:r>
          </w:p>
        </w:tc>
        <w:tc>
          <w:tcPr>
            <w:tcW w:w="7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w w:val="90"/>
              </w:rPr>
              <w:t>(12,697)</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6"/>
                <w:szCs w:val="16"/>
                <w:color w:val="auto"/>
              </w:rPr>
              <w:t>Loss from continuing operations</w:t>
            </w:r>
          </w:p>
        </w:tc>
        <w:tc>
          <w:tcPr>
            <w:tcW w:w="7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w w:val="90"/>
              </w:rPr>
              <w:t>(18,563)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(8,177)</w:t>
            </w:r>
          </w:p>
        </w:tc>
        <w:tc>
          <w:tcPr>
            <w:tcW w:w="34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(6,189)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flows provided by operating</w:t>
            </w:r>
          </w:p>
        </w:tc>
        <w:tc>
          <w:tcPr>
            <w:tcW w:w="7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activities:</w:t>
            </w:r>
          </w:p>
        </w:tc>
        <w:tc>
          <w:tcPr>
            <w:tcW w:w="7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6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60,520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63,023</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64,585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Equity in (earnings) loss of joint ventures</w:t>
            </w:r>
          </w:p>
        </w:tc>
        <w:tc>
          <w:tcPr>
            <w:tcW w:w="7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(5,008)</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(4,494)</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60" w:type="dxa"/>
            <w:vAlign w:val="bottom"/>
          </w:tcPr>
          <w:p>
            <w:pPr>
              <w:ind w:left="240"/>
              <w:spacing w:after="0"/>
              <w:rPr>
                <w:sz w:val="20"/>
                <w:szCs w:val="20"/>
                <w:color w:val="auto"/>
              </w:rPr>
            </w:pPr>
            <w:r>
              <w:rPr>
                <w:rFonts w:ascii="Arial" w:cs="Arial" w:eastAsia="Arial" w:hAnsi="Arial"/>
                <w:sz w:val="16"/>
                <w:szCs w:val="16"/>
                <w:color w:val="auto"/>
              </w:rPr>
              <w:t>Loss on extinguishment of 7 3/8% senior subordinated notes</w:t>
            </w: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2,330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Cash distributions from joint ventures</w:t>
            </w:r>
          </w:p>
        </w:tc>
        <w:tc>
          <w:tcPr>
            <w:tcW w:w="7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8,486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5,129</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60" w:type="dxa"/>
            <w:vAlign w:val="bottom"/>
          </w:tcPr>
          <w:p>
            <w:pPr>
              <w:ind w:left="240"/>
              <w:spacing w:after="0"/>
              <w:rPr>
                <w:sz w:val="20"/>
                <w:szCs w:val="20"/>
                <w:color w:val="auto"/>
              </w:rPr>
            </w:pPr>
            <w:r>
              <w:rPr>
                <w:rFonts w:ascii="Arial" w:cs="Arial" w:eastAsia="Arial" w:hAnsi="Arial"/>
                <w:sz w:val="16"/>
                <w:szCs w:val="16"/>
                <w:color w:val="auto"/>
              </w:rPr>
              <w:t>Deferred income taxes</w:t>
            </w: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w w:val="90"/>
              </w:rPr>
              <w:t>(34,684)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(6,109)</w:t>
            </w:r>
          </w:p>
        </w:tc>
        <w:tc>
          <w:tcPr>
            <w:tcW w:w="3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(2,689)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(Gain) loss on dispositions of property and equipment</w:t>
            </w:r>
          </w:p>
        </w:tc>
        <w:tc>
          <w:tcPr>
            <w:tcW w:w="7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5,077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6,175</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(855)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60" w:type="dxa"/>
            <w:vAlign w:val="bottom"/>
          </w:tcPr>
          <w:p>
            <w:pPr>
              <w:ind w:left="240"/>
              <w:spacing w:after="0"/>
              <w:rPr>
                <w:sz w:val="20"/>
                <w:szCs w:val="20"/>
                <w:color w:val="auto"/>
              </w:rPr>
            </w:pPr>
            <w:r>
              <w:rPr>
                <w:rFonts w:ascii="Arial" w:cs="Arial" w:eastAsia="Arial" w:hAnsi="Arial"/>
                <w:sz w:val="16"/>
                <w:szCs w:val="16"/>
                <w:color w:val="auto"/>
              </w:rPr>
              <w:t>Impairment of goodwill</w:t>
            </w: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Gain on adjustment of contingent consideration</w:t>
            </w:r>
          </w:p>
        </w:tc>
        <w:tc>
          <w:tcPr>
            <w:tcW w:w="7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(8,940)</w:t>
            </w: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(8,444)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60" w:type="dxa"/>
            <w:vAlign w:val="bottom"/>
          </w:tcPr>
          <w:p>
            <w:pPr>
              <w:ind w:left="240"/>
              <w:spacing w:after="0"/>
              <w:rPr>
                <w:sz w:val="20"/>
                <w:szCs w:val="20"/>
                <w:color w:val="auto"/>
              </w:rPr>
            </w:pPr>
            <w:r>
              <w:rPr>
                <w:rFonts w:ascii="Arial" w:cs="Arial" w:eastAsia="Arial" w:hAnsi="Arial"/>
                <w:sz w:val="16"/>
                <w:szCs w:val="16"/>
                <w:color w:val="auto"/>
              </w:rPr>
              <w:t>Other non-cash restructuring items</w:t>
            </w: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15,678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Amortization of deferred financing fees</w:t>
            </w:r>
          </w:p>
        </w:tc>
        <w:tc>
          <w:tcPr>
            <w:tcW w:w="7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2,922</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60" w:type="dxa"/>
            <w:vAlign w:val="bottom"/>
          </w:tcPr>
          <w:p>
            <w:pPr>
              <w:ind w:left="240"/>
              <w:spacing w:after="0"/>
              <w:rPr>
                <w:sz w:val="20"/>
                <w:szCs w:val="20"/>
                <w:color w:val="auto"/>
              </w:rPr>
            </w:pPr>
            <w:r>
              <w:rPr>
                <w:rFonts w:ascii="Arial" w:cs="Arial" w:eastAsia="Arial" w:hAnsi="Arial"/>
                <w:sz w:val="16"/>
                <w:szCs w:val="16"/>
                <w:color w:val="auto"/>
              </w:rPr>
              <w:t>Unrealized foreign currency (gain) loss</w:t>
            </w: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Unrealized net (gain) loss from mark-to-market valuations of derivatives</w:t>
            </w:r>
          </w:p>
        </w:tc>
        <w:tc>
          <w:tcPr>
            <w:tcW w:w="7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(6,135)</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60" w:type="dxa"/>
            <w:vAlign w:val="bottom"/>
          </w:tcPr>
          <w:p>
            <w:pPr>
              <w:ind w:left="240"/>
              <w:spacing w:after="0"/>
              <w:rPr>
                <w:sz w:val="20"/>
                <w:szCs w:val="20"/>
                <w:color w:val="auto"/>
              </w:rPr>
            </w:pPr>
            <w:r>
              <w:rPr>
                <w:rFonts w:ascii="Arial" w:cs="Arial" w:eastAsia="Arial" w:hAnsi="Arial"/>
                <w:sz w:val="16"/>
                <w:szCs w:val="16"/>
                <w:color w:val="auto"/>
              </w:rPr>
              <w:t>Share-based compensation expense</w:t>
            </w: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2,963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2,455</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Excess income tax benefit from share-based compensation</w:t>
            </w:r>
          </w:p>
        </w:tc>
        <w:tc>
          <w:tcPr>
            <w:tcW w:w="7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60" w:type="dxa"/>
            <w:vAlign w:val="bottom"/>
          </w:tcPr>
          <w:p>
            <w:pPr>
              <w:ind w:left="240"/>
              <w:spacing w:after="0"/>
              <w:rPr>
                <w:sz w:val="20"/>
                <w:szCs w:val="20"/>
                <w:color w:val="auto"/>
              </w:rPr>
            </w:pPr>
            <w:r>
              <w:rPr>
                <w:rFonts w:ascii="Arial" w:cs="Arial" w:eastAsia="Arial" w:hAnsi="Arial"/>
                <w:sz w:val="16"/>
                <w:szCs w:val="16"/>
                <w:color w:val="auto"/>
              </w:rPr>
              <w:t>Changes in assets and liabilities:</w:t>
            </w: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FF0FC"/>
          </w:tcPr>
          <w:p>
            <w:pPr>
              <w:ind w:left="480"/>
              <w:spacing w:after="0"/>
              <w:rPr>
                <w:sz w:val="20"/>
                <w:szCs w:val="20"/>
                <w:color w:val="auto"/>
              </w:rPr>
            </w:pPr>
            <w:r>
              <w:rPr>
                <w:rFonts w:ascii="Arial" w:cs="Arial" w:eastAsia="Arial" w:hAnsi="Arial"/>
                <w:sz w:val="16"/>
                <w:szCs w:val="16"/>
                <w:color w:val="auto"/>
              </w:rPr>
              <w:t>Accounts receivable</w:t>
            </w:r>
          </w:p>
        </w:tc>
        <w:tc>
          <w:tcPr>
            <w:tcW w:w="7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12,544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41,274</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(20,190)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60" w:type="dxa"/>
            <w:vAlign w:val="bottom"/>
          </w:tcPr>
          <w:p>
            <w:pPr>
              <w:ind w:left="480"/>
              <w:spacing w:after="0"/>
              <w:rPr>
                <w:sz w:val="20"/>
                <w:szCs w:val="20"/>
                <w:color w:val="auto"/>
              </w:rPr>
            </w:pPr>
            <w:r>
              <w:rPr>
                <w:rFonts w:ascii="Arial" w:cs="Arial" w:eastAsia="Arial" w:hAnsi="Arial"/>
                <w:sz w:val="16"/>
                <w:szCs w:val="16"/>
                <w:color w:val="auto"/>
              </w:rPr>
              <w:t>Contract revenues in excess of billings</w:t>
            </w: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4,254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(13,554)</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FF0FC"/>
          </w:tcPr>
          <w:p>
            <w:pPr>
              <w:ind w:left="480"/>
              <w:spacing w:after="0"/>
              <w:rPr>
                <w:sz w:val="20"/>
                <w:szCs w:val="20"/>
                <w:color w:val="auto"/>
              </w:rPr>
            </w:pPr>
            <w:r>
              <w:rPr>
                <w:rFonts w:ascii="Arial" w:cs="Arial" w:eastAsia="Arial" w:hAnsi="Arial"/>
                <w:sz w:val="16"/>
                <w:szCs w:val="16"/>
                <w:color w:val="auto"/>
              </w:rPr>
              <w:t>Inventories</w:t>
            </w:r>
          </w:p>
        </w:tc>
        <w:tc>
          <w:tcPr>
            <w:tcW w:w="7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(2,237)</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(6,239)</w:t>
            </w: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(6,612)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60" w:type="dxa"/>
            <w:vAlign w:val="bottom"/>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(1,170)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(5,310)</w:t>
            </w:r>
          </w:p>
        </w:tc>
        <w:tc>
          <w:tcPr>
            <w:tcW w:w="3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(9,730)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FF0FC"/>
          </w:tcPr>
          <w:p>
            <w:pPr>
              <w:ind w:left="480"/>
              <w:spacing w:after="0"/>
              <w:rPr>
                <w:sz w:val="20"/>
                <w:szCs w:val="20"/>
                <w:color w:val="auto"/>
              </w:rPr>
            </w:pPr>
            <w:r>
              <w:rPr>
                <w:rFonts w:ascii="Arial" w:cs="Arial" w:eastAsia="Arial" w:hAnsi="Arial"/>
                <w:sz w:val="16"/>
                <w:szCs w:val="16"/>
                <w:color w:val="auto"/>
              </w:rPr>
              <w:t>Accounts payable and accrued expenses</w:t>
            </w:r>
          </w:p>
        </w:tc>
        <w:tc>
          <w:tcPr>
            <w:tcW w:w="7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(9,579)</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(17,762)</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60" w:type="dxa"/>
            <w:vAlign w:val="bottom"/>
          </w:tcPr>
          <w:p>
            <w:pPr>
              <w:ind w:left="480"/>
              <w:spacing w:after="0"/>
              <w:rPr>
                <w:sz w:val="20"/>
                <w:szCs w:val="20"/>
                <w:color w:val="auto"/>
              </w:rPr>
            </w:pPr>
            <w:r>
              <w:rPr>
                <w:rFonts w:ascii="Arial" w:cs="Arial" w:eastAsia="Arial" w:hAnsi="Arial"/>
                <w:sz w:val="16"/>
                <w:szCs w:val="16"/>
                <w:color w:val="auto"/>
              </w:rPr>
              <w:t>Billings in excess of contract revenues</w:t>
            </w: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(1,347)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(2,002)</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FF0FC"/>
          </w:tcPr>
          <w:p>
            <w:pPr>
              <w:ind w:left="480"/>
              <w:spacing w:after="0"/>
              <w:rPr>
                <w:sz w:val="20"/>
                <w:szCs w:val="20"/>
                <w:color w:val="auto"/>
              </w:rPr>
            </w:pPr>
            <w:r>
              <w:rPr>
                <w:rFonts w:ascii="Arial" w:cs="Arial" w:eastAsia="Arial" w:hAnsi="Arial"/>
                <w:sz w:val="16"/>
                <w:szCs w:val="16"/>
                <w:color w:val="auto"/>
              </w:rPr>
              <w:t>Other noncurrent assets and liabilities</w:t>
            </w:r>
          </w:p>
        </w:tc>
        <w:tc>
          <w:tcPr>
            <w:tcW w:w="7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(1,667)</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(4,196)</w:t>
            </w: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(2,506)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60" w:type="dxa"/>
            <w:vAlign w:val="bottom"/>
          </w:tcPr>
          <w:p>
            <w:pPr>
              <w:ind w:left="240"/>
              <w:spacing w:after="0"/>
              <w:rPr>
                <w:sz w:val="20"/>
                <w:szCs w:val="20"/>
                <w:color w:val="auto"/>
              </w:rPr>
            </w:pPr>
            <w:r>
              <w:rPr>
                <w:rFonts w:ascii="Arial" w:cs="Arial" w:eastAsia="Arial" w:hAnsi="Arial"/>
                <w:sz w:val="16"/>
                <w:szCs w:val="16"/>
                <w:color w:val="auto"/>
              </w:rPr>
              <w:t>Net cash flows provided by operating activities of continuing operations</w:t>
            </w:r>
          </w:p>
        </w:tc>
        <w:tc>
          <w:tcPr>
            <w:tcW w:w="76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42,418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38,670</w:t>
            </w:r>
          </w:p>
        </w:tc>
        <w:tc>
          <w:tcPr>
            <w:tcW w:w="2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29,122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Net cash flows used in operating activities of discontinued operations</w:t>
            </w:r>
          </w:p>
        </w:tc>
        <w:tc>
          <w:tcPr>
            <w:tcW w:w="7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w w:val="90"/>
              </w:rPr>
              <w:t>(20,900)</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60" w:type="dxa"/>
            <w:vAlign w:val="bottom"/>
          </w:tcPr>
          <w:p>
            <w:pPr>
              <w:ind w:left="240"/>
              <w:spacing w:after="0"/>
              <w:rPr>
                <w:sz w:val="20"/>
                <w:szCs w:val="20"/>
                <w:color w:val="auto"/>
              </w:rPr>
            </w:pPr>
            <w:r>
              <w:rPr>
                <w:rFonts w:ascii="Arial" w:cs="Arial" w:eastAsia="Arial" w:hAnsi="Arial"/>
                <w:sz w:val="16"/>
                <w:szCs w:val="16"/>
                <w:color w:val="auto"/>
              </w:rPr>
              <w:t>Cash provided by operating activities</w:t>
            </w:r>
          </w:p>
        </w:tc>
        <w:tc>
          <w:tcPr>
            <w:tcW w:w="76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21,518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38,670</w:t>
            </w:r>
          </w:p>
        </w:tc>
        <w:tc>
          <w:tcPr>
            <w:tcW w:w="2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29,122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6"/>
                <w:szCs w:val="16"/>
                <w:color w:val="auto"/>
              </w:rPr>
              <w:t>Purchases of property and equipment</w:t>
            </w:r>
          </w:p>
        </w:tc>
        <w:tc>
          <w:tcPr>
            <w:tcW w:w="7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w w:val="90"/>
              </w:rPr>
              <w:t>(68,229)</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(83,798)</w:t>
            </w: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(74,455)</w:t>
            </w:r>
          </w:p>
        </w:tc>
        <w:tc>
          <w:tcPr>
            <w:tcW w:w="0" w:type="dxa"/>
            <w:vAlign w:val="bottom"/>
          </w:tcPr>
          <w:p>
            <w:pPr>
              <w:spacing w:after="0"/>
              <w:rPr>
                <w:sz w:val="1"/>
                <w:szCs w:val="1"/>
                <w:color w:val="auto"/>
              </w:rPr>
            </w:pPr>
          </w:p>
        </w:tc>
      </w:tr>
      <w:tr>
        <w:trPr>
          <w:trHeight w:val="211"/>
        </w:trPr>
        <w:tc>
          <w:tcPr>
            <w:tcW w:w="5680" w:type="dxa"/>
            <w:vAlign w:val="bottom"/>
            <w:gridSpan w:val="2"/>
          </w:tcPr>
          <w:p>
            <w:pPr>
              <w:spacing w:after="0"/>
              <w:rPr>
                <w:sz w:val="20"/>
                <w:szCs w:val="20"/>
                <w:color w:val="auto"/>
              </w:rPr>
            </w:pPr>
            <w:r>
              <w:rPr>
                <w:rFonts w:ascii="Arial" w:cs="Arial" w:eastAsia="Arial" w:hAnsi="Arial"/>
                <w:sz w:val="16"/>
                <w:szCs w:val="16"/>
                <w:color w:val="auto"/>
              </w:rPr>
              <w:t>Proceeds from dispositions of property and equipment</w:t>
            </w: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10,077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18,257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6"/>
                <w:szCs w:val="16"/>
                <w:color w:val="auto"/>
              </w:rPr>
              <w:t>Changes in restricted cash</w:t>
            </w:r>
          </w:p>
        </w:tc>
        <w:tc>
          <w:tcPr>
            <w:tcW w:w="7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7,035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(7,035)</w:t>
            </w: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vMerge w:val="restart"/>
          </w:tcPr>
          <w:p>
            <w:pPr>
              <w:ind w:left="240"/>
              <w:spacing w:after="0"/>
              <w:rPr>
                <w:sz w:val="20"/>
                <w:szCs w:val="20"/>
                <w:color w:val="auto"/>
              </w:rPr>
            </w:pPr>
            <w:r>
              <w:rPr>
                <w:rFonts w:ascii="Arial" w:cs="Arial" w:eastAsia="Arial" w:hAnsi="Arial"/>
                <w:sz w:val="16"/>
                <w:szCs w:val="16"/>
                <w:color w:val="auto"/>
              </w:rPr>
              <w:t>Cash used in investing activities</w:t>
            </w:r>
          </w:p>
        </w:tc>
        <w:tc>
          <w:tcPr>
            <w:tcW w:w="7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66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w w:val="90"/>
              </w:rPr>
              <w:t>(51,117)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(72,576)</w:t>
            </w:r>
          </w:p>
        </w:tc>
        <w:tc>
          <w:tcPr>
            <w:tcW w:w="34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(73,133)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540" w:type="dxa"/>
            <w:vAlign w:val="bottom"/>
            <w:tcBorders>
              <w:bottom w:val="single" w:sz="8" w:color="CFF0FC"/>
            </w:tcBorders>
          </w:tcPr>
          <w:p>
            <w:pPr>
              <w:spacing w:after="0"/>
              <w:rPr>
                <w:sz w:val="18"/>
                <w:szCs w:val="18"/>
                <w:color w:val="auto"/>
              </w:rPr>
            </w:pPr>
          </w:p>
        </w:tc>
        <w:tc>
          <w:tcPr>
            <w:tcW w:w="8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2017</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2016</w:t>
            </w:r>
          </w:p>
        </w:tc>
        <w:tc>
          <w:tcPr>
            <w:tcW w:w="26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FINANCING ACTIVITIES:</w:t>
            </w:r>
          </w:p>
        </w:tc>
        <w:tc>
          <w:tcPr>
            <w:tcW w:w="8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60" w:type="dxa"/>
            <w:vAlign w:val="bottom"/>
            <w:gridSpan w:val="2"/>
          </w:tcPr>
          <w:p>
            <w:pPr>
              <w:spacing w:after="0"/>
              <w:rPr>
                <w:sz w:val="20"/>
                <w:szCs w:val="20"/>
                <w:color w:val="auto"/>
              </w:rPr>
            </w:pPr>
            <w:r>
              <w:rPr>
                <w:rFonts w:ascii="Arial" w:cs="Arial" w:eastAsia="Arial" w:hAnsi="Arial"/>
                <w:sz w:val="16"/>
                <w:szCs w:val="16"/>
                <w:color w:val="auto"/>
              </w:rPr>
              <w:t>Proceeds from issuance of debt</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326,241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6"/>
                <w:szCs w:val="16"/>
                <w:color w:val="auto"/>
              </w:rPr>
              <w:t>Repayments of debt</w:t>
            </w:r>
          </w:p>
        </w:tc>
        <w:tc>
          <w:tcPr>
            <w:tcW w:w="8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(277,750)</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(47,085)</w:t>
            </w: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(6,644)</w:t>
            </w:r>
          </w:p>
        </w:tc>
        <w:tc>
          <w:tcPr>
            <w:tcW w:w="0" w:type="dxa"/>
            <w:vAlign w:val="bottom"/>
          </w:tcPr>
          <w:p>
            <w:pPr>
              <w:spacing w:after="0"/>
              <w:rPr>
                <w:sz w:val="1"/>
                <w:szCs w:val="1"/>
                <w:color w:val="auto"/>
              </w:rPr>
            </w:pPr>
          </w:p>
        </w:tc>
      </w:tr>
      <w:tr>
        <w:trPr>
          <w:trHeight w:val="211"/>
        </w:trPr>
        <w:tc>
          <w:tcPr>
            <w:tcW w:w="5560" w:type="dxa"/>
            <w:vAlign w:val="bottom"/>
            <w:gridSpan w:val="2"/>
          </w:tcPr>
          <w:p>
            <w:pPr>
              <w:spacing w:after="0"/>
              <w:rPr>
                <w:sz w:val="20"/>
                <w:szCs w:val="20"/>
                <w:color w:val="auto"/>
              </w:rPr>
            </w:pPr>
            <w:r>
              <w:rPr>
                <w:rFonts w:ascii="Arial" w:cs="Arial" w:eastAsia="Arial" w:hAnsi="Arial"/>
                <w:sz w:val="16"/>
                <w:szCs w:val="16"/>
                <w:color w:val="auto"/>
              </w:rPr>
              <w:t>7 3/8% senior notes tender premium</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(744)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6"/>
                <w:szCs w:val="16"/>
                <w:color w:val="auto"/>
              </w:rPr>
              <w:t>Deferred financing fees</w:t>
            </w:r>
          </w:p>
        </w:tc>
        <w:tc>
          <w:tcPr>
            <w:tcW w:w="8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(5,022)</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(6,817)</w:t>
            </w: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11"/>
        </w:trPr>
        <w:tc>
          <w:tcPr>
            <w:tcW w:w="5560" w:type="dxa"/>
            <w:vAlign w:val="bottom"/>
            <w:gridSpan w:val="2"/>
          </w:tcPr>
          <w:p>
            <w:pPr>
              <w:spacing w:after="0"/>
              <w:rPr>
                <w:sz w:val="20"/>
                <w:szCs w:val="20"/>
                <w:color w:val="auto"/>
              </w:rPr>
            </w:pPr>
            <w:r>
              <w:rPr>
                <w:rFonts w:ascii="Arial" w:cs="Arial" w:eastAsia="Arial" w:hAnsi="Arial"/>
                <w:sz w:val="16"/>
                <w:szCs w:val="16"/>
                <w:color w:val="auto"/>
              </w:rPr>
              <w:t>Taxes paid on settlement of vested share awards</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(328)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(171)</w:t>
            </w:r>
          </w:p>
        </w:tc>
        <w:tc>
          <w:tcPr>
            <w:tcW w:w="3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6"/>
                <w:szCs w:val="16"/>
                <w:color w:val="auto"/>
              </w:rPr>
              <w:t>Exercise of stock options and purchases from employee stock plans</w:t>
            </w:r>
          </w:p>
        </w:tc>
        <w:tc>
          <w:tcPr>
            <w:tcW w:w="8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905</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60" w:type="dxa"/>
            <w:vAlign w:val="bottom"/>
            <w:gridSpan w:val="2"/>
          </w:tcPr>
          <w:p>
            <w:pPr>
              <w:spacing w:after="0"/>
              <w:rPr>
                <w:sz w:val="20"/>
                <w:szCs w:val="20"/>
                <w:color w:val="auto"/>
              </w:rPr>
            </w:pPr>
            <w:r>
              <w:rPr>
                <w:rFonts w:ascii="Arial" w:cs="Arial" w:eastAsia="Arial" w:hAnsi="Arial"/>
                <w:sz w:val="16"/>
                <w:szCs w:val="16"/>
                <w:color w:val="auto"/>
              </w:rPr>
              <w:t>Excess income tax benefit from share-based compensation</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(133)</w:t>
            </w:r>
          </w:p>
        </w:tc>
        <w:tc>
          <w:tcPr>
            <w:tcW w:w="3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6"/>
                <w:szCs w:val="16"/>
                <w:color w:val="auto"/>
              </w:rPr>
              <w:t>Purchase of treasury stock</w:t>
            </w:r>
          </w:p>
        </w:tc>
        <w:tc>
          <w:tcPr>
            <w:tcW w:w="8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(1,433)</w:t>
            </w:r>
          </w:p>
        </w:tc>
        <w:tc>
          <w:tcPr>
            <w:tcW w:w="0" w:type="dxa"/>
            <w:vAlign w:val="bottom"/>
          </w:tcPr>
          <w:p>
            <w:pPr>
              <w:spacing w:after="0"/>
              <w:rPr>
                <w:sz w:val="1"/>
                <w:szCs w:val="1"/>
                <w:color w:val="auto"/>
              </w:rPr>
            </w:pPr>
          </w:p>
        </w:tc>
      </w:tr>
      <w:tr>
        <w:trPr>
          <w:trHeight w:val="211"/>
        </w:trPr>
        <w:tc>
          <w:tcPr>
            <w:tcW w:w="5560" w:type="dxa"/>
            <w:vAlign w:val="bottom"/>
            <w:gridSpan w:val="2"/>
          </w:tcPr>
          <w:p>
            <w:pPr>
              <w:spacing w:after="0"/>
              <w:rPr>
                <w:sz w:val="20"/>
                <w:szCs w:val="20"/>
                <w:color w:val="auto"/>
              </w:rPr>
            </w:pPr>
            <w:r>
              <w:rPr>
                <w:rFonts w:ascii="Arial" w:cs="Arial" w:eastAsia="Arial" w:hAnsi="Arial"/>
                <w:sz w:val="16"/>
                <w:szCs w:val="16"/>
                <w:color w:val="auto"/>
              </w:rPr>
              <w:t>Borrowings under revolving loans</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124,925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288,611</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179,500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6"/>
                <w:szCs w:val="16"/>
                <w:color w:val="auto"/>
              </w:rPr>
              <w:t>Repayments of revolving loans</w:t>
            </w:r>
          </w:p>
        </w:tc>
        <w:tc>
          <w:tcPr>
            <w:tcW w:w="8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(134,036)</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(204,500)</w:t>
            </w: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(159,500)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540" w:type="dxa"/>
            <w:vAlign w:val="bottom"/>
          </w:tcPr>
          <w:p>
            <w:pPr>
              <w:ind w:left="240"/>
              <w:spacing w:after="0"/>
              <w:rPr>
                <w:sz w:val="20"/>
                <w:szCs w:val="20"/>
                <w:color w:val="auto"/>
              </w:rPr>
            </w:pPr>
            <w:r>
              <w:rPr>
                <w:rFonts w:ascii="Arial" w:cs="Arial" w:eastAsia="Arial" w:hAnsi="Arial"/>
                <w:sz w:val="16"/>
                <w:szCs w:val="16"/>
                <w:color w:val="auto"/>
              </w:rPr>
              <w:t>Cash provided by financing activities</w:t>
            </w:r>
          </w:p>
        </w:tc>
        <w:tc>
          <w:tcPr>
            <w:tcW w:w="8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34,169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30,810</w:t>
            </w:r>
          </w:p>
        </w:tc>
        <w:tc>
          <w:tcPr>
            <w:tcW w:w="2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15,903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6"/>
                <w:szCs w:val="16"/>
                <w:color w:val="auto"/>
              </w:rPr>
              <w:t>Effect of foreign currency exchange rates on cash and cash equivalents</w:t>
            </w:r>
          </w:p>
        </w:tc>
        <w:tc>
          <w:tcPr>
            <w:tcW w:w="8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spacing w:after="0"/>
              <w:rPr>
                <w:sz w:val="20"/>
                <w:szCs w:val="20"/>
                <w:color w:val="auto"/>
              </w:rPr>
            </w:pPr>
            <w:r>
              <w:rPr>
                <w:rFonts w:ascii="Arial" w:cs="Arial" w:eastAsia="Arial" w:hAnsi="Arial"/>
                <w:sz w:val="16"/>
                <w:szCs w:val="16"/>
                <w:color w:val="auto"/>
              </w:rPr>
              <w:t>Net increase (decrease) in cash and cash equivalents</w:t>
            </w:r>
          </w:p>
        </w:tc>
        <w:tc>
          <w:tcPr>
            <w:tcW w:w="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560" w:type="dxa"/>
            <w:vAlign w:val="bottom"/>
            <w:gridSpan w:val="2"/>
            <w:vMerge w:val="continue"/>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4,685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(3,017)</w:t>
            </w:r>
          </w:p>
        </w:tc>
        <w:tc>
          <w:tcPr>
            <w:tcW w:w="34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(28,205)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at beginning of period</w:t>
            </w:r>
          </w:p>
        </w:tc>
        <w:tc>
          <w:tcPr>
            <w:tcW w:w="8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11,167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14,184</w:t>
            </w:r>
          </w:p>
        </w:tc>
        <w:tc>
          <w:tcPr>
            <w:tcW w:w="26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42,389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560" w:type="dxa"/>
            <w:vAlign w:val="bottom"/>
            <w:gridSpan w:val="2"/>
          </w:tcPr>
          <w:p>
            <w:pPr>
              <w:spacing w:after="0"/>
              <w:rPr>
                <w:sz w:val="20"/>
                <w:szCs w:val="20"/>
                <w:color w:val="auto"/>
              </w:rPr>
            </w:pPr>
            <w:r>
              <w:rPr>
                <w:rFonts w:ascii="Arial" w:cs="Arial" w:eastAsia="Arial" w:hAnsi="Arial"/>
                <w:sz w:val="16"/>
                <w:szCs w:val="16"/>
                <w:color w:val="auto"/>
              </w:rPr>
              <w:t>Cash and cash equivalents at end of period</w:t>
            </w:r>
          </w:p>
        </w:tc>
        <w:tc>
          <w:tcPr>
            <w:tcW w:w="1240" w:type="dxa"/>
            <w:vAlign w:val="bottom"/>
            <w:gridSpan w:val="2"/>
          </w:tcPr>
          <w:p>
            <w:pPr>
              <w:jc w:val="right"/>
              <w:ind w:right="205"/>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15,852</w:t>
            </w:r>
          </w:p>
        </w:tc>
        <w:tc>
          <w:tcPr>
            <w:tcW w:w="160" w:type="dxa"/>
            <w:vAlign w:val="bottom"/>
          </w:tcPr>
          <w:p>
            <w:pPr>
              <w:spacing w:after="0"/>
              <w:rPr>
                <w:sz w:val="21"/>
                <w:szCs w:val="21"/>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11,167</w:t>
            </w:r>
          </w:p>
        </w:tc>
        <w:tc>
          <w:tcPr>
            <w:tcW w:w="260" w:type="dxa"/>
            <w:vAlign w:val="bottom"/>
          </w:tcPr>
          <w:p>
            <w:pPr>
              <w:spacing w:after="0"/>
              <w:rPr>
                <w:sz w:val="21"/>
                <w:szCs w:val="21"/>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14,184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560" w:type="dxa"/>
            <w:vAlign w:val="bottom"/>
            <w:gridSpan w:val="2"/>
          </w:tcPr>
          <w:p>
            <w:pPr>
              <w:spacing w:after="0"/>
              <w:rPr>
                <w:sz w:val="20"/>
                <w:szCs w:val="20"/>
                <w:color w:val="auto"/>
              </w:rPr>
            </w:pPr>
            <w:r>
              <w:rPr>
                <w:rFonts w:ascii="Arial" w:cs="Arial" w:eastAsia="Arial" w:hAnsi="Arial"/>
                <w:sz w:val="16"/>
                <w:szCs w:val="16"/>
                <w:color w:val="auto"/>
              </w:rPr>
              <w:t>Supplemental Cash Flow Information</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6"/>
                <w:szCs w:val="16"/>
                <w:color w:val="auto"/>
              </w:rPr>
              <w:t>Cash paid for interest</w:t>
            </w:r>
          </w:p>
        </w:tc>
        <w:tc>
          <w:tcPr>
            <w:tcW w:w="8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34,789</w:t>
            </w:r>
          </w:p>
        </w:tc>
        <w:tc>
          <w:tcPr>
            <w:tcW w:w="1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26,563</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560" w:type="dxa"/>
            <w:vAlign w:val="bottom"/>
            <w:gridSpan w:val="2"/>
            <w:vMerge w:val="restart"/>
          </w:tcPr>
          <w:p>
            <w:pPr>
              <w:spacing w:after="0"/>
              <w:rPr>
                <w:sz w:val="20"/>
                <w:szCs w:val="20"/>
                <w:color w:val="auto"/>
              </w:rPr>
            </w:pPr>
            <w:r>
              <w:rPr>
                <w:rFonts w:ascii="Arial" w:cs="Arial" w:eastAsia="Arial" w:hAnsi="Arial"/>
                <w:sz w:val="16"/>
                <w:szCs w:val="16"/>
                <w:color w:val="auto"/>
              </w:rPr>
              <w:t>Cash paid for income taxes</w:t>
            </w:r>
          </w:p>
        </w:tc>
        <w:tc>
          <w:tcPr>
            <w:tcW w:w="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560" w:type="dxa"/>
            <w:vAlign w:val="bottom"/>
            <w:gridSpan w:val="2"/>
            <w:vMerge w:val="continue"/>
          </w:tcPr>
          <w:p>
            <w:pPr>
              <w:spacing w:after="0"/>
              <w:rPr>
                <w:sz w:val="20"/>
                <w:szCs w:val="20"/>
                <w:color w:val="auto"/>
              </w:rPr>
            </w:pPr>
          </w:p>
        </w:tc>
        <w:tc>
          <w:tcPr>
            <w:tcW w:w="1240" w:type="dxa"/>
            <w:vAlign w:val="bottom"/>
            <w:gridSpan w:val="2"/>
          </w:tcPr>
          <w:p>
            <w:pPr>
              <w:jc w:val="right"/>
              <w:ind w:right="205"/>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365</w:t>
            </w:r>
          </w:p>
        </w:tc>
        <w:tc>
          <w:tcPr>
            <w:tcW w:w="160" w:type="dxa"/>
            <w:vAlign w:val="bottom"/>
          </w:tcPr>
          <w:p>
            <w:pPr>
              <w:spacing w:after="0"/>
              <w:rPr>
                <w:sz w:val="20"/>
                <w:szCs w:val="20"/>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200</w:t>
            </w:r>
          </w:p>
        </w:tc>
        <w:tc>
          <w:tcPr>
            <w:tcW w:w="260" w:type="dxa"/>
            <w:vAlign w:val="bottom"/>
          </w:tcPr>
          <w:p>
            <w:pPr>
              <w:spacing w:after="0"/>
              <w:rPr>
                <w:sz w:val="20"/>
                <w:szCs w:val="20"/>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54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purchased but not yet paid</w:t>
            </w:r>
          </w:p>
        </w:tc>
        <w:tc>
          <w:tcPr>
            <w:tcW w:w="8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4,255</w:t>
            </w:r>
          </w:p>
        </w:tc>
        <w:tc>
          <w:tcPr>
            <w:tcW w:w="1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8,795</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560" w:type="dxa"/>
            <w:vAlign w:val="bottom"/>
            <w:gridSpan w:val="2"/>
            <w:vMerge w:val="restart"/>
          </w:tcPr>
          <w:p>
            <w:pPr>
              <w:spacing w:after="0"/>
              <w:rPr>
                <w:sz w:val="20"/>
                <w:szCs w:val="20"/>
                <w:color w:val="auto"/>
              </w:rPr>
            </w:pPr>
            <w:r>
              <w:rPr>
                <w:rFonts w:ascii="Arial" w:cs="Arial" w:eastAsia="Arial" w:hAnsi="Arial"/>
                <w:sz w:val="16"/>
                <w:szCs w:val="16"/>
                <w:color w:val="auto"/>
              </w:rPr>
              <w:t>Property and equipment purchased on capital leases and equipment notes</w:t>
            </w:r>
          </w:p>
        </w:tc>
        <w:tc>
          <w:tcPr>
            <w:tcW w:w="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56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Property &amp; equipment purchased on notes payable</w:t>
            </w: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5540" w:type="dxa"/>
            <w:vAlign w:val="bottom"/>
            <w:vMerge w:val="continue"/>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15,569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67" w:name="page68"/>
    <w:bookmarkEnd w:id="67"/>
    <w:p>
      <w:pPr>
        <w:jc w:val="center"/>
        <w:ind w:left="260" w:right="2720"/>
        <w:spacing w:after="0" w:line="377" w:lineRule="auto"/>
        <w:rPr>
          <w:sz w:val="20"/>
          <w:szCs w:val="20"/>
          <w:color w:val="auto"/>
        </w:rPr>
      </w:pPr>
      <w:r>
        <w:rPr>
          <w:rFonts w:ascii="Arial" w:cs="Arial" w:eastAsia="Arial" w:hAnsi="Arial"/>
          <w:sz w:val="18"/>
          <w:szCs w:val="18"/>
          <w:b w:val="1"/>
          <w:bCs w:val="1"/>
          <w:color w:val="auto"/>
        </w:rPr>
        <w:t>GREAT LAKES DREDGE &amp; DOCK CORPORATION AND SUBSIDIARIES NOTES TO CONSOLIDATED FINANCIAL STATEMENTS AS OF December 31, 2017 AND 2016 AND FOR THE YEARS ENDED December 31, 2017, 2016 AND 2015 (In thousands, except per share amounts or as otherwise noted)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SUMMARY OF SIGNIFICANT ACCOUNTING POLICIES</w:t>
      </w:r>
    </w:p>
    <w:p>
      <w:pPr>
        <w:spacing w:after="0" w:line="113" w:lineRule="exact"/>
        <w:rPr>
          <w:sz w:val="20"/>
          <w:szCs w:val="20"/>
          <w:color w:val="auto"/>
        </w:rPr>
      </w:pPr>
    </w:p>
    <w:p>
      <w:pPr>
        <w:ind w:right="220" w:firstLine="518"/>
        <w:spacing w:after="0" w:line="276" w:lineRule="auto"/>
        <w:rPr>
          <w:sz w:val="20"/>
          <w:szCs w:val="20"/>
          <w:color w:val="auto"/>
        </w:rPr>
      </w:pPr>
      <w:r>
        <w:rPr>
          <w:rFonts w:ascii="Arial" w:cs="Arial" w:eastAsia="Arial" w:hAnsi="Arial"/>
          <w:sz w:val="17"/>
          <w:szCs w:val="17"/>
          <w:b w:val="1"/>
          <w:bCs w:val="1"/>
          <w:color w:val="auto"/>
        </w:rPr>
        <w:t>Organization</w:t>
      </w:r>
      <w:r>
        <w:rPr>
          <w:rFonts w:ascii="Arial" w:cs="Arial" w:eastAsia="Arial" w:hAnsi="Arial"/>
          <w:sz w:val="17"/>
          <w:szCs w:val="17"/>
          <w:color w:val="auto"/>
        </w:rPr>
        <w:t>—Great Lakes Dredge &amp; Dock Corporation and its subsidiaries (the “Company” or “Great Lakes”) are in the business of marine</w:t>
      </w:r>
      <w:r>
        <w:rPr>
          <w:rFonts w:ascii="Arial" w:cs="Arial" w:eastAsia="Arial" w:hAnsi="Arial"/>
          <w:sz w:val="17"/>
          <w:szCs w:val="17"/>
          <w:b w:val="1"/>
          <w:bCs w:val="1"/>
          <w:color w:val="auto"/>
        </w:rPr>
        <w:t xml:space="preserve"> </w:t>
      </w:r>
      <w:r>
        <w:rPr>
          <w:rFonts w:ascii="Arial" w:cs="Arial" w:eastAsia="Arial" w:hAnsi="Arial"/>
          <w:sz w:val="17"/>
          <w:szCs w:val="17"/>
          <w:color w:val="auto"/>
        </w:rPr>
        <w:t>construction, primarily dredging, and soil, water and sediment environmental and remediation services. The Company’s primary dredging customers are domestic and foreign government agencies, as well as private entities, and its environmental and remediation customers are general contractors, corporations, environmental engineering and construction firms that commission projects and local government and municipal agencies.</w:t>
      </w:r>
    </w:p>
    <w:p>
      <w:pPr>
        <w:spacing w:after="0" w:line="168" w:lineRule="exact"/>
        <w:rPr>
          <w:sz w:val="20"/>
          <w:szCs w:val="20"/>
          <w:color w:val="auto"/>
        </w:rPr>
      </w:pPr>
    </w:p>
    <w:p>
      <w:pPr>
        <w:ind w:right="100" w:firstLine="518"/>
        <w:spacing w:after="0" w:line="256" w:lineRule="auto"/>
        <w:rPr>
          <w:sz w:val="20"/>
          <w:szCs w:val="20"/>
          <w:color w:val="auto"/>
        </w:rPr>
      </w:pPr>
      <w:r>
        <w:rPr>
          <w:rFonts w:ascii="Arial" w:cs="Arial" w:eastAsia="Arial" w:hAnsi="Arial"/>
          <w:sz w:val="18"/>
          <w:szCs w:val="18"/>
          <w:b w:val="1"/>
          <w:bCs w:val="1"/>
          <w:color w:val="auto"/>
        </w:rPr>
        <w:t>Principles of Consolidation and Basis of Presentation</w:t>
      </w:r>
      <w:r>
        <w:rPr>
          <w:rFonts w:ascii="Arial" w:cs="Arial" w:eastAsia="Arial" w:hAnsi="Arial"/>
          <w:sz w:val="18"/>
          <w:szCs w:val="18"/>
          <w:color w:val="auto"/>
        </w:rPr>
        <w:t>—The consolidated financial statements include the accounts of Great Lakes Dredge &amp; Dock</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and its majority-owned subsidiaries. All intercompany accounts and transactions are eliminated in consolidation. The equity method of accounting is used for investments in unconsolidated investees in which the Company has significant influence, but not control. Other investments, if any, are carried at cost.</w:t>
      </w:r>
    </w:p>
    <w:p>
      <w:pPr>
        <w:spacing w:after="0" w:line="184" w:lineRule="exact"/>
        <w:rPr>
          <w:sz w:val="20"/>
          <w:szCs w:val="20"/>
          <w:color w:val="auto"/>
        </w:rPr>
      </w:pPr>
    </w:p>
    <w:p>
      <w:pPr>
        <w:ind w:right="80" w:firstLine="518"/>
        <w:spacing w:after="0" w:line="260" w:lineRule="auto"/>
        <w:rPr>
          <w:sz w:val="20"/>
          <w:szCs w:val="20"/>
          <w:color w:val="auto"/>
        </w:rPr>
      </w:pPr>
      <w:r>
        <w:rPr>
          <w:rFonts w:ascii="Arial" w:cs="Arial" w:eastAsia="Arial" w:hAnsi="Arial"/>
          <w:sz w:val="18"/>
          <w:szCs w:val="18"/>
          <w:b w:val="1"/>
          <w:bCs w:val="1"/>
          <w:color w:val="auto"/>
        </w:rPr>
        <w:t>Use of Estimates</w:t>
      </w:r>
      <w:r>
        <w:rPr>
          <w:rFonts w:ascii="Arial" w:cs="Arial" w:eastAsia="Arial" w:hAnsi="Arial"/>
          <w:sz w:val="18"/>
          <w:szCs w:val="18"/>
          <w:color w:val="auto"/>
        </w:rPr>
        <w:t>—The preparation of financial statements in conformity with accounting principles generally accepted in the United States of America</w:t>
      </w:r>
      <w:r>
        <w:rPr>
          <w:rFonts w:ascii="Arial" w:cs="Arial" w:eastAsia="Arial" w:hAnsi="Arial"/>
          <w:sz w:val="18"/>
          <w:szCs w:val="18"/>
          <w:b w:val="1"/>
          <w:bCs w:val="1"/>
          <w:color w:val="auto"/>
        </w:rPr>
        <w:t xml:space="preserve"> </w:t>
      </w:r>
      <w:r>
        <w:rPr>
          <w:rFonts w:ascii="Arial" w:cs="Arial" w:eastAsia="Arial" w:hAnsi="Arial"/>
          <w:sz w:val="18"/>
          <w:szCs w:val="18"/>
          <w:color w:val="auto"/>
        </w:rPr>
        <w:t>(“GAAP”) requires management to make estimates and assumptions that affect certain reported amounts and disclosures. Accordingly, actual results could differ from those estimates.</w:t>
      </w:r>
    </w:p>
    <w:p>
      <w:pPr>
        <w:spacing w:after="0" w:line="181" w:lineRule="exact"/>
        <w:rPr>
          <w:sz w:val="20"/>
          <w:szCs w:val="20"/>
          <w:color w:val="auto"/>
        </w:rPr>
      </w:pPr>
    </w:p>
    <w:p>
      <w:pPr>
        <w:ind w:firstLine="518"/>
        <w:spacing w:after="0" w:line="282" w:lineRule="auto"/>
        <w:rPr>
          <w:sz w:val="20"/>
          <w:szCs w:val="20"/>
          <w:color w:val="auto"/>
        </w:rPr>
      </w:pPr>
      <w:r>
        <w:rPr>
          <w:rFonts w:ascii="Arial" w:cs="Arial" w:eastAsia="Arial" w:hAnsi="Arial"/>
          <w:sz w:val="16"/>
          <w:szCs w:val="16"/>
          <w:b w:val="1"/>
          <w:bCs w:val="1"/>
          <w:color w:val="auto"/>
        </w:rPr>
        <w:t>Revenue and Cost Recognition on Contracts</w:t>
      </w:r>
      <w:r>
        <w:rPr>
          <w:rFonts w:ascii="Arial" w:cs="Arial" w:eastAsia="Arial" w:hAnsi="Arial"/>
          <w:sz w:val="16"/>
          <w:szCs w:val="16"/>
          <w:color w:val="auto"/>
        </w:rPr>
        <w:t>—Substantially all of the Company’s contracts for dredging services are fixed-price contracts, which</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for remeasurement based on actual quantities dredged. The majority of the Company’s environmental &amp; infrastructure contracts, previously referred to as environmental &amp; remediation, are also fixed-price contracts, with others performed on a time-and-materials basis. Contract revenues are recognized under the percentage-of-completion method based on the Company’s engineering estimates of the physical percentage completed for dredging projects and based on costs incurred to date compared to total estimated costs for fixed-price environmental &amp; infrastructure projects. For dredging projects, costs of contract revenues are adjusted to reflect the gross profit percentage expected to be achieved upon ultimate completion. For environmental &amp; infrastructure contracts, contract revenues are adjusted to reflect the estimated gross profit percentage. Revisions in estimated gross profit percentages are recorded in the period during which the change in circumstances is experienced or becomes known. As the duration of most of the Company’s contracts is one year or less, the cumulative net impact of these revisions in estimates, individually and in the aggregate across our projects, does not significantly affect our results across annual reporting periods. Provisions for estimated losses on contracts in progress are made in the period in which such losses are determined. Change orders are not recognized in revenue until the recovery is probable and collectability is reasonably assured. Claims for additional compensation due to the Company are not recognized in contract revenues until such claims are settled. Billings on contracts are generally submitted after verification with the customers of physical progress and may not match the timing of revenue recognition. The difference between amounts billed and recognized as revenue is reflected in the balance sheet as either contract revenues in excess of billings or billings in excess of contract revenues. Modifications may be negotiated when a change from the original contract specification is encountered, and a change in project scope, performance methodology and/or material disposal is necessary. Thus, the resulting modification is considered a change in the scope of the original project to which it relates. Significant expenditures incurred incidental to major contracts are deferred and recognized as contract costs based on contract performance over the duration of the related project. These expenditures are reported as prepaid expenses.</w:t>
      </w:r>
    </w:p>
    <w:p>
      <w:pPr>
        <w:spacing w:after="0" w:line="171"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The components of costs of contract revenues include labor, equipment (including depreciation, maintenance, insurance and long-term rentals), subcontracts, fuel, supplies, short-term rentals and project overhead. Project costs, excluding labor, have averaged approximately 23% of total costs of contract revenues over the prior three years. Hourly labor generally is hired on a project-by-project basis. Much of our domestic dredging hourly labor force is represented by labor unions with collective bargaining agreements that expire at various dates during 2018 through 2023, which historically have been extended without disruption. The environmental &amp; infrastructure segment’s hourly labor force is made up of union and non-union employees.</w:t>
      </w:r>
    </w:p>
    <w:p>
      <w:pPr>
        <w:spacing w:after="0" w:line="181" w:lineRule="exact"/>
        <w:rPr>
          <w:sz w:val="20"/>
          <w:szCs w:val="20"/>
          <w:color w:val="auto"/>
        </w:rPr>
      </w:pPr>
    </w:p>
    <w:p>
      <w:pPr>
        <w:ind w:right="240" w:firstLine="518"/>
        <w:spacing w:after="0" w:line="252" w:lineRule="auto"/>
        <w:rPr>
          <w:sz w:val="20"/>
          <w:szCs w:val="20"/>
          <w:color w:val="auto"/>
        </w:rPr>
      </w:pPr>
      <w:r>
        <w:rPr>
          <w:rFonts w:ascii="Arial" w:cs="Arial" w:eastAsia="Arial" w:hAnsi="Arial"/>
          <w:sz w:val="18"/>
          <w:szCs w:val="18"/>
          <w:color w:val="auto"/>
        </w:rPr>
        <w:t>During the year, both dredging equipment utilization and the timing of fixed cost expenditures fluctuate significantly. Accordingly, the Company allocates these fixed equipment costs to interim periods in proportion to dredging revenues recognized over the year, to better match revenues and expenses. Specifically, at each interim reporting date the Company compares actual dredging revenues earned to date on the Company’s dredging contracts to expected annual revenues and recognizes dredging equipment costs on the same proportionate basis. In the fourth quarter, any over or under allocated equipment costs are recognized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8" w:name="page69"/>
    <w:bookmarkEnd w:id="68"/>
    <w:p>
      <w:pPr>
        <w:ind w:right="180"/>
        <w:spacing w:after="0" w:line="267" w:lineRule="auto"/>
        <w:rPr>
          <w:sz w:val="20"/>
          <w:szCs w:val="20"/>
          <w:color w:val="auto"/>
        </w:rPr>
      </w:pPr>
      <w:r>
        <w:rPr>
          <w:rFonts w:ascii="Arial" w:cs="Arial" w:eastAsia="Arial" w:hAnsi="Arial"/>
          <w:sz w:val="18"/>
          <w:szCs w:val="18"/>
          <w:color w:val="auto"/>
        </w:rPr>
        <w:t>such that the expense for the year equals actual equipment costs incurred during the year. As a result of this methodology, the recorded expense in any interim period may be higher or lower than the actual equipment costs incurred in that interim period.</w:t>
      </w:r>
    </w:p>
    <w:p>
      <w:pPr>
        <w:spacing w:after="0" w:line="180" w:lineRule="exact"/>
        <w:rPr>
          <w:sz w:val="20"/>
          <w:szCs w:val="20"/>
          <w:color w:val="auto"/>
        </w:rPr>
      </w:pPr>
    </w:p>
    <w:p>
      <w:pPr>
        <w:ind w:right="120" w:firstLine="518"/>
        <w:spacing w:after="0" w:line="270" w:lineRule="auto"/>
        <w:rPr>
          <w:sz w:val="20"/>
          <w:szCs w:val="20"/>
          <w:color w:val="auto"/>
        </w:rPr>
      </w:pPr>
      <w:r>
        <w:rPr>
          <w:rFonts w:ascii="Arial" w:cs="Arial" w:eastAsia="Arial" w:hAnsi="Arial"/>
          <w:sz w:val="17"/>
          <w:szCs w:val="17"/>
          <w:color w:val="auto"/>
        </w:rPr>
        <w:t>For some environmental &amp; infrastructure contracts, the Company has entered into unincorporated construction joint ventures under which certain portions of a larger project are performed. These investments are accounted for under the proportionate consolidation method for income statement reporting and under the equity method for balance sheet reporting. The Company’s interests in any profits and assets and proportionate share in any losses and liabilities are recognized based on the Company’s stated percentage partnership interest in the project. For projects related to proportionately consolidated joint ventures, we include only the Company’s percentage ownership of each joint venture's backlog.</w:t>
      </w:r>
    </w:p>
    <w:p>
      <w:pPr>
        <w:spacing w:after="0" w:line="175" w:lineRule="exact"/>
        <w:rPr>
          <w:sz w:val="20"/>
          <w:szCs w:val="20"/>
          <w:color w:val="auto"/>
        </w:rPr>
      </w:pPr>
    </w:p>
    <w:p>
      <w:pPr>
        <w:ind w:right="60" w:firstLine="518"/>
        <w:spacing w:after="0" w:line="274" w:lineRule="auto"/>
        <w:rPr>
          <w:sz w:val="20"/>
          <w:szCs w:val="20"/>
          <w:color w:val="auto"/>
        </w:rPr>
      </w:pPr>
      <w:r>
        <w:rPr>
          <w:rFonts w:ascii="Arial" w:cs="Arial" w:eastAsia="Arial" w:hAnsi="Arial"/>
          <w:sz w:val="18"/>
          <w:szCs w:val="18"/>
          <w:b w:val="1"/>
          <w:bCs w:val="1"/>
          <w:color w:val="auto"/>
        </w:rPr>
        <w:t>Classification of Current Assets and Liabilities</w:t>
      </w:r>
      <w:r>
        <w:rPr>
          <w:rFonts w:ascii="Arial" w:cs="Arial" w:eastAsia="Arial" w:hAnsi="Arial"/>
          <w:sz w:val="18"/>
          <w:szCs w:val="18"/>
          <w:color w:val="auto"/>
        </w:rPr>
        <w:t>—The Company includes in current assets and liabilities amounts realizable and payable in the normal</w:t>
      </w:r>
      <w:r>
        <w:rPr>
          <w:rFonts w:ascii="Arial" w:cs="Arial" w:eastAsia="Arial" w:hAnsi="Arial"/>
          <w:sz w:val="18"/>
          <w:szCs w:val="18"/>
          <w:b w:val="1"/>
          <w:bCs w:val="1"/>
          <w:color w:val="auto"/>
        </w:rPr>
        <w:t xml:space="preserve"> </w:t>
      </w:r>
      <w:r>
        <w:rPr>
          <w:rFonts w:ascii="Arial" w:cs="Arial" w:eastAsia="Arial" w:hAnsi="Arial"/>
          <w:sz w:val="18"/>
          <w:szCs w:val="18"/>
          <w:color w:val="auto"/>
        </w:rPr>
        <w:t>course of contract completion, unless completion of such contracts extends significantly beyond one year.</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Cash Equivalents</w:t>
      </w:r>
      <w:r>
        <w:rPr>
          <w:rFonts w:ascii="Arial" w:cs="Arial" w:eastAsia="Arial" w:hAnsi="Arial"/>
          <w:sz w:val="16"/>
          <w:szCs w:val="16"/>
          <w:color w:val="auto"/>
        </w:rPr>
        <w:t>—The Company considers all highly liquid investments with a maturity at purchase of three months or less to be cash equivalents.</w:t>
      </w:r>
    </w:p>
    <w:p>
      <w:pPr>
        <w:spacing w:after="0" w:line="243" w:lineRule="exact"/>
        <w:rPr>
          <w:sz w:val="20"/>
          <w:szCs w:val="20"/>
          <w:color w:val="auto"/>
        </w:rPr>
      </w:pPr>
    </w:p>
    <w:p>
      <w:pPr>
        <w:ind w:right="20" w:firstLine="518"/>
        <w:spacing w:after="0" w:line="308" w:lineRule="auto"/>
        <w:rPr>
          <w:sz w:val="20"/>
          <w:szCs w:val="20"/>
          <w:color w:val="auto"/>
        </w:rPr>
      </w:pPr>
      <w:r>
        <w:rPr>
          <w:rFonts w:ascii="Arial" w:cs="Arial" w:eastAsia="Arial" w:hAnsi="Arial"/>
          <w:sz w:val="16"/>
          <w:szCs w:val="16"/>
          <w:b w:val="1"/>
          <w:bCs w:val="1"/>
          <w:color w:val="auto"/>
        </w:rPr>
        <w:t>Accounts Receivable</w:t>
      </w:r>
      <w:r>
        <w:rPr>
          <w:rFonts w:ascii="Arial" w:cs="Arial" w:eastAsia="Arial" w:hAnsi="Arial"/>
          <w:sz w:val="16"/>
          <w:szCs w:val="16"/>
          <w:color w:val="auto"/>
        </w:rPr>
        <w:t>—Accounts receivable represent amounts due or billable under the terms of contracts with customers, including amounts related to</w:t>
      </w:r>
      <w:r>
        <w:rPr>
          <w:rFonts w:ascii="Arial" w:cs="Arial" w:eastAsia="Arial" w:hAnsi="Arial"/>
          <w:sz w:val="16"/>
          <w:szCs w:val="16"/>
          <w:b w:val="1"/>
          <w:bCs w:val="1"/>
          <w:color w:val="auto"/>
        </w:rPr>
        <w:t xml:space="preserve"> </w:t>
      </w:r>
      <w:r>
        <w:rPr>
          <w:rFonts w:ascii="Arial" w:cs="Arial" w:eastAsia="Arial" w:hAnsi="Arial"/>
          <w:sz w:val="16"/>
          <w:szCs w:val="16"/>
          <w:color w:val="auto"/>
        </w:rPr>
        <w:t>retainage. The Company anticipates collection of retainage generally within one year, and accordingly presents retainage as a current asset. The Company provides an allowance for estimated uncollectible accounts receivable when events or conditions indicate that amounts outstanding are not recoverable.</w:t>
      </w:r>
    </w:p>
    <w:p>
      <w:pPr>
        <w:spacing w:after="0" w:line="145" w:lineRule="exact"/>
        <w:rPr>
          <w:sz w:val="20"/>
          <w:szCs w:val="20"/>
          <w:color w:val="auto"/>
        </w:rPr>
      </w:pPr>
    </w:p>
    <w:p>
      <w:pPr>
        <w:ind w:firstLine="518"/>
        <w:spacing w:after="0" w:line="256" w:lineRule="auto"/>
        <w:rPr>
          <w:sz w:val="20"/>
          <w:szCs w:val="20"/>
          <w:color w:val="auto"/>
        </w:rPr>
      </w:pPr>
      <w:r>
        <w:rPr>
          <w:rFonts w:ascii="Arial" w:cs="Arial" w:eastAsia="Arial" w:hAnsi="Arial"/>
          <w:sz w:val="18"/>
          <w:szCs w:val="18"/>
          <w:b w:val="1"/>
          <w:bCs w:val="1"/>
          <w:color w:val="auto"/>
        </w:rPr>
        <w:t>Inventories</w:t>
      </w:r>
      <w:r>
        <w:rPr>
          <w:rFonts w:ascii="Arial" w:cs="Arial" w:eastAsia="Arial" w:hAnsi="Arial"/>
          <w:sz w:val="18"/>
          <w:szCs w:val="18"/>
          <w:color w:val="auto"/>
        </w:rPr>
        <w:t>—Inventories consist of pipe and spare parts used in the Company’s dredging operations. Pipe and spare parts are purchased in large</w:t>
      </w:r>
      <w:r>
        <w:rPr>
          <w:rFonts w:ascii="Arial" w:cs="Arial" w:eastAsia="Arial" w:hAnsi="Arial"/>
          <w:sz w:val="18"/>
          <w:szCs w:val="18"/>
          <w:b w:val="1"/>
          <w:bCs w:val="1"/>
          <w:color w:val="auto"/>
        </w:rPr>
        <w:t xml:space="preserve"> </w:t>
      </w:r>
      <w:r>
        <w:rPr>
          <w:rFonts w:ascii="Arial" w:cs="Arial" w:eastAsia="Arial" w:hAnsi="Arial"/>
          <w:sz w:val="18"/>
          <w:szCs w:val="18"/>
          <w:color w:val="auto"/>
        </w:rPr>
        <w:t>quantities; therefore, a certain amount of pipe and spare part inventories is not anticipated to be used within the current year and is classified as long-term. Spare part inventories are stated at weighted average historical cost, and are charged to expense when used in operations. Pipe inventory is recorded at cost and amortized to expense over the period of its use.</w:t>
      </w:r>
    </w:p>
    <w:p>
      <w:pPr>
        <w:spacing w:after="0" w:line="184" w:lineRule="exact"/>
        <w:rPr>
          <w:sz w:val="20"/>
          <w:szCs w:val="20"/>
          <w:color w:val="auto"/>
        </w:rPr>
      </w:pPr>
    </w:p>
    <w:p>
      <w:pPr>
        <w:ind w:right="140" w:firstLine="518"/>
        <w:spacing w:after="0" w:line="256" w:lineRule="auto"/>
        <w:rPr>
          <w:sz w:val="20"/>
          <w:szCs w:val="20"/>
          <w:color w:val="auto"/>
        </w:rPr>
      </w:pPr>
      <w:r>
        <w:rPr>
          <w:rFonts w:ascii="Arial" w:cs="Arial" w:eastAsia="Arial" w:hAnsi="Arial"/>
          <w:sz w:val="18"/>
          <w:szCs w:val="18"/>
          <w:b w:val="1"/>
          <w:bCs w:val="1"/>
          <w:color w:val="auto"/>
        </w:rPr>
        <w:t>Property and Equipment</w:t>
      </w:r>
      <w:r>
        <w:rPr>
          <w:rFonts w:ascii="Arial" w:cs="Arial" w:eastAsia="Arial" w:hAnsi="Arial"/>
          <w:sz w:val="18"/>
          <w:szCs w:val="18"/>
          <w:color w:val="auto"/>
        </w:rPr>
        <w:t>—Capital additions, improvements, and major renewals are classified as property and equipment and are carried at</w:t>
      </w:r>
      <w:r>
        <w:rPr>
          <w:rFonts w:ascii="Arial" w:cs="Arial" w:eastAsia="Arial" w:hAnsi="Arial"/>
          <w:sz w:val="18"/>
          <w:szCs w:val="18"/>
          <w:b w:val="1"/>
          <w:bCs w:val="1"/>
          <w:color w:val="auto"/>
        </w:rPr>
        <w:t xml:space="preserve"> </w:t>
      </w:r>
      <w:r>
        <w:rPr>
          <w:rFonts w:ascii="Arial" w:cs="Arial" w:eastAsia="Arial" w:hAnsi="Arial"/>
          <w:sz w:val="18"/>
          <w:szCs w:val="18"/>
          <w:color w:val="auto"/>
        </w:rPr>
        <w:t>depreciated cost. Maintenance and repairs that do not significantly extend the useful lives of the assets or enhance the capabilities of such assets are charged to expenses as incurred. Depreciation is recorded over the estimated useful lives of property and equipment using the straight-line method and the mid-year depreciation convention. The estimated useful lives by class of assets are:</w:t>
      </w:r>
    </w:p>
    <w:p>
      <w:pPr>
        <w:spacing w:after="0" w:line="188" w:lineRule="exact"/>
        <w:rPr>
          <w:sz w:val="20"/>
          <w:szCs w:val="20"/>
          <w:color w:val="auto"/>
        </w:rPr>
      </w:pPr>
    </w:p>
    <w:tbl>
      <w:tblPr>
        <w:tblLayout w:type="fixed"/>
        <w:tblInd w:w="2300" w:type="dxa"/>
        <w:tblCellMar>
          <w:top w:w="0" w:type="dxa"/>
          <w:left w:w="0" w:type="dxa"/>
          <w:bottom w:w="0" w:type="dxa"/>
          <w:right w:w="0" w:type="dxa"/>
        </w:tblCellMar>
      </w:tblPr>
      <w:tr>
        <w:trPr>
          <w:trHeight w:val="181"/>
        </w:trPr>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0"/>
              </w:rPr>
              <w:t>Class</w:t>
            </w:r>
          </w:p>
        </w:tc>
        <w:tc>
          <w:tcPr>
            <w:tcW w:w="5300" w:type="dxa"/>
            <w:vAlign w:val="bottom"/>
          </w:tcPr>
          <w:p>
            <w:pPr>
              <w:spacing w:after="0"/>
              <w:rPr>
                <w:sz w:val="15"/>
                <w:szCs w:val="15"/>
                <w:color w:val="auto"/>
              </w:rPr>
            </w:pPr>
          </w:p>
        </w:tc>
        <w:tc>
          <w:tcPr>
            <w:tcW w:w="1220" w:type="dxa"/>
            <w:vAlign w:val="bottom"/>
          </w:tcPr>
          <w:p>
            <w:pPr>
              <w:ind w:left="40"/>
              <w:spacing w:after="0"/>
              <w:rPr>
                <w:sz w:val="20"/>
                <w:szCs w:val="20"/>
                <w:color w:val="auto"/>
              </w:rPr>
            </w:pPr>
            <w:r>
              <w:rPr>
                <w:rFonts w:ascii="Arial" w:cs="Arial" w:eastAsia="Arial" w:hAnsi="Arial"/>
                <w:sz w:val="14"/>
                <w:szCs w:val="14"/>
                <w:b w:val="1"/>
                <w:bCs w:val="1"/>
                <w:color w:val="auto"/>
                <w:w w:val="95"/>
              </w:rPr>
              <w:t>Useful Life (years)</w:t>
            </w:r>
          </w:p>
        </w:tc>
      </w:tr>
      <w:tr>
        <w:trPr>
          <w:trHeight w:val="213"/>
        </w:trPr>
        <w:tc>
          <w:tcPr>
            <w:tcW w:w="56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Buildings and improvements</w:t>
            </w:r>
          </w:p>
        </w:tc>
        <w:tc>
          <w:tcPr>
            <w:tcW w:w="12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10</w:t>
            </w:r>
          </w:p>
        </w:tc>
      </w:tr>
      <w:tr>
        <w:trPr>
          <w:trHeight w:val="226"/>
        </w:trPr>
        <w:tc>
          <w:tcPr>
            <w:tcW w:w="562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5-10</w:t>
            </w:r>
          </w:p>
        </w:tc>
      </w:tr>
      <w:tr>
        <w:trPr>
          <w:trHeight w:val="227"/>
        </w:trPr>
        <w:tc>
          <w:tcPr>
            <w:tcW w:w="5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Vehicles, dozers, and other light operating equipment and systems</w:t>
            </w: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3-5</w:t>
            </w:r>
          </w:p>
        </w:tc>
      </w:tr>
      <w:tr>
        <w:trPr>
          <w:trHeight w:val="225"/>
        </w:trPr>
        <w:tc>
          <w:tcPr>
            <w:tcW w:w="5620" w:type="dxa"/>
            <w:vAlign w:val="bottom"/>
            <w:gridSpan w:val="2"/>
          </w:tcPr>
          <w:p>
            <w:pPr>
              <w:spacing w:after="0"/>
              <w:rPr>
                <w:sz w:val="20"/>
                <w:szCs w:val="20"/>
                <w:color w:val="auto"/>
              </w:rPr>
            </w:pPr>
            <w:r>
              <w:rPr>
                <w:rFonts w:ascii="Arial" w:cs="Arial" w:eastAsia="Arial" w:hAnsi="Arial"/>
                <w:sz w:val="18"/>
                <w:szCs w:val="18"/>
                <w:color w:val="auto"/>
              </w:rPr>
              <w:t>Heavy operating equipment (dredges and barges)</w:t>
            </w:r>
          </w:p>
        </w:tc>
        <w:tc>
          <w:tcPr>
            <w:tcW w:w="1220" w:type="dxa"/>
            <w:vAlign w:val="bottom"/>
          </w:tcPr>
          <w:p>
            <w:pPr>
              <w:jc w:val="center"/>
              <w:spacing w:after="0"/>
              <w:rPr>
                <w:sz w:val="20"/>
                <w:szCs w:val="20"/>
                <w:color w:val="auto"/>
              </w:rPr>
            </w:pPr>
            <w:r>
              <w:rPr>
                <w:rFonts w:ascii="Arial" w:cs="Arial" w:eastAsia="Arial" w:hAnsi="Arial"/>
                <w:sz w:val="18"/>
                <w:szCs w:val="18"/>
                <w:color w:val="auto"/>
                <w:w w:val="86"/>
              </w:rPr>
              <w:t>10-30</w:t>
            </w: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Leasehold improvements are amortized over the shorter of their remaining useful lives or the remaining terms of the leases.</w:t>
      </w:r>
    </w:p>
    <w:p>
      <w:pPr>
        <w:spacing w:after="0" w:line="214"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b w:val="1"/>
          <w:bCs w:val="1"/>
          <w:color w:val="auto"/>
        </w:rPr>
        <w:t>Goodwill and Other Intangible Assets</w:t>
      </w:r>
      <w:r>
        <w:rPr>
          <w:rFonts w:ascii="Arial" w:cs="Arial" w:eastAsia="Arial" w:hAnsi="Arial"/>
          <w:sz w:val="17"/>
          <w:szCs w:val="17"/>
          <w:color w:val="auto"/>
        </w:rPr>
        <w:t>—Goodwill represents the excess of acquisition cost over fair value of the net assets acquired. Other identifiable</w:t>
      </w:r>
      <w:r>
        <w:rPr>
          <w:rFonts w:ascii="Arial" w:cs="Arial" w:eastAsia="Arial" w:hAnsi="Arial"/>
          <w:sz w:val="17"/>
          <w:szCs w:val="17"/>
          <w:b w:val="1"/>
          <w:bCs w:val="1"/>
          <w:color w:val="auto"/>
        </w:rPr>
        <w:t xml:space="preserve"> </w:t>
      </w:r>
      <w:r>
        <w:rPr>
          <w:rFonts w:ascii="Arial" w:cs="Arial" w:eastAsia="Arial" w:hAnsi="Arial"/>
          <w:sz w:val="17"/>
          <w:szCs w:val="17"/>
          <w:color w:val="auto"/>
        </w:rPr>
        <w:t>intangible assets mainly represent developed technology and databases, customer relationships, and customer contracts acquired in business combinations and are being amortized over a one to five-year period. Goodwill is tested annually for impairment in the third quarter of each year, or more frequently should circumstances dictate. GAAP requires that goodwill of a reporting unit be tested for impairment between annual tests if an event occurs or circumstances change that would more likely than not reduce the fair value of a reporting unit below its carrying amount.</w:t>
      </w:r>
    </w:p>
    <w:p>
      <w:pPr>
        <w:spacing w:after="0" w:line="178" w:lineRule="exact"/>
        <w:rPr>
          <w:sz w:val="20"/>
          <w:szCs w:val="20"/>
          <w:color w:val="auto"/>
        </w:rPr>
      </w:pPr>
    </w:p>
    <w:p>
      <w:pPr>
        <w:ind w:right="100" w:firstLine="518"/>
        <w:spacing w:after="0" w:line="251" w:lineRule="auto"/>
        <w:rPr>
          <w:sz w:val="20"/>
          <w:szCs w:val="20"/>
          <w:color w:val="auto"/>
        </w:rPr>
      </w:pPr>
      <w:r>
        <w:rPr>
          <w:rFonts w:ascii="Arial" w:cs="Arial" w:eastAsia="Arial" w:hAnsi="Arial"/>
          <w:sz w:val="18"/>
          <w:szCs w:val="18"/>
          <w:color w:val="auto"/>
        </w:rPr>
        <w:t>The Company assesses the fair values of its reporting units using both a market-based approach and an income-based approach. Under the income approach, the fair value of the reporting unit is based on the present value of estimated future cash flows. The income approach is dependent on a number of factors, including estimates of future market growth trends, forecasted revenues and expenses, appropriate discount rates and other variables. The estimates are based on assumptions that the Company believes to be reasonable, but such assumptions are subject to unpredictability and uncertainty. Changes in these estimates and assumptions could materially affect the determination of fair value, and may result in the impairment of goodwill in the event that actual results differ from those estimates.</w:t>
      </w:r>
    </w:p>
    <w:p>
      <w:pPr>
        <w:spacing w:after="0" w:line="195" w:lineRule="exact"/>
        <w:rPr>
          <w:sz w:val="20"/>
          <w:szCs w:val="20"/>
          <w:color w:val="auto"/>
        </w:rPr>
      </w:pPr>
    </w:p>
    <w:p>
      <w:pPr>
        <w:ind w:right="260" w:firstLine="518"/>
        <w:spacing w:after="0" w:line="257" w:lineRule="auto"/>
        <w:rPr>
          <w:sz w:val="20"/>
          <w:szCs w:val="20"/>
          <w:color w:val="auto"/>
        </w:rPr>
      </w:pPr>
      <w:r>
        <w:rPr>
          <w:rFonts w:ascii="Arial" w:cs="Arial" w:eastAsia="Arial" w:hAnsi="Arial"/>
          <w:sz w:val="18"/>
          <w:szCs w:val="18"/>
          <w:color w:val="auto"/>
        </w:rPr>
        <w:t>The market approach measures the value of a reporting unit through comparison to comparable companies. Under the market approach, the Company uses the guideline public company method by applying estimated market-based enterprise value multiples to the reporting unit’s estimated revenue and Adjusted EBITDA. The Company analyzes companies that performed similar services 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9" w:name="page70"/>
    <w:bookmarkEnd w:id="69"/>
    <w:p>
      <w:pPr>
        <w:ind w:right="180"/>
        <w:spacing w:after="0" w:line="267" w:lineRule="auto"/>
        <w:rPr>
          <w:sz w:val="20"/>
          <w:szCs w:val="20"/>
          <w:color w:val="auto"/>
        </w:rPr>
      </w:pPr>
      <w:r>
        <w:rPr>
          <w:rFonts w:ascii="Arial" w:cs="Arial" w:eastAsia="Arial" w:hAnsi="Arial"/>
          <w:sz w:val="18"/>
          <w:szCs w:val="18"/>
          <w:color w:val="auto"/>
        </w:rPr>
        <w:t>are considered peers. Due to the fact that there are no public companies that are direct competitors, the Company weighs the results of this approach less than the income approach.</w:t>
      </w:r>
    </w:p>
    <w:p>
      <w:pPr>
        <w:spacing w:after="0" w:line="180" w:lineRule="exact"/>
        <w:rPr>
          <w:sz w:val="20"/>
          <w:szCs w:val="20"/>
          <w:color w:val="auto"/>
        </w:rPr>
      </w:pPr>
    </w:p>
    <w:p>
      <w:pPr>
        <w:ind w:right="240" w:firstLine="518"/>
        <w:spacing w:after="0" w:line="267" w:lineRule="auto"/>
        <w:rPr>
          <w:sz w:val="20"/>
          <w:szCs w:val="20"/>
          <w:color w:val="auto"/>
        </w:rPr>
      </w:pPr>
      <w:r>
        <w:rPr>
          <w:rFonts w:ascii="Arial" w:cs="Arial" w:eastAsia="Arial" w:hAnsi="Arial"/>
          <w:sz w:val="18"/>
          <w:szCs w:val="18"/>
          <w:color w:val="auto"/>
        </w:rPr>
        <w:t>The Company has two operating segments: dredging and environmental &amp; infrastructure, which are also the Company’s two reportable segments and reporting units.</w:t>
      </w:r>
    </w:p>
    <w:p>
      <w:pPr>
        <w:spacing w:after="0" w:line="174"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b w:val="1"/>
          <w:bCs w:val="1"/>
          <w:color w:val="auto"/>
        </w:rPr>
        <w:t>Long-Lived Assets</w:t>
      </w:r>
      <w:r>
        <w:rPr>
          <w:rFonts w:ascii="Arial" w:cs="Arial" w:eastAsia="Arial" w:hAnsi="Arial"/>
          <w:sz w:val="16"/>
          <w:szCs w:val="16"/>
          <w:color w:val="auto"/>
        </w:rPr>
        <w:t>—Long-lived assets are comprised of property and equipment and intangible assets subject to amortization. Long-lived assets to be</w:t>
      </w:r>
      <w:r>
        <w:rPr>
          <w:rFonts w:ascii="Arial" w:cs="Arial" w:eastAsia="Arial" w:hAnsi="Arial"/>
          <w:sz w:val="16"/>
          <w:szCs w:val="16"/>
          <w:b w:val="1"/>
          <w:bCs w:val="1"/>
          <w:color w:val="auto"/>
        </w:rPr>
        <w:t xml:space="preserve"> </w:t>
      </w:r>
      <w:r>
        <w:rPr>
          <w:rFonts w:ascii="Arial" w:cs="Arial" w:eastAsia="Arial" w:hAnsi="Arial"/>
          <w:sz w:val="16"/>
          <w:szCs w:val="16"/>
          <w:color w:val="auto"/>
        </w:rPr>
        <w:t>held and used are reviewed for possible impairment whenever events indicate that the carrying amount of such assets may not be recoverable by comparing the undiscounted cash flows associated with the assets to their carrying amounts. If such a review indicates an impairment, the carrying amount would be reduced to fair value. No triggering events were identified in 2017 or 2016. If long-lived assets are to be disposed, depreciation is discontinued, if applicable, and the assets are reclassified as held for sale at the lower of their carrying amounts or fair values less estimated costs to sell.</w:t>
      </w:r>
    </w:p>
    <w:p>
      <w:pPr>
        <w:spacing w:after="0" w:line="157"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b w:val="1"/>
          <w:bCs w:val="1"/>
          <w:color w:val="auto"/>
        </w:rPr>
        <w:t>Self-insurance Reserves</w:t>
      </w:r>
      <w:r>
        <w:rPr>
          <w:rFonts w:ascii="Arial" w:cs="Arial" w:eastAsia="Arial" w:hAnsi="Arial"/>
          <w:sz w:val="18"/>
          <w:szCs w:val="18"/>
          <w:color w:val="auto"/>
        </w:rPr>
        <w:t>—The Company self-insures costs associated with its seagoing employees covered by the provisions of Jones Act, workers’</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claims, hull and equipment liability, and general business liabilities up to certain limits. Insurance reserves are established for estimates of the loss that the Company may ultimately incur on reported claims, as well as estimates of claims that have been incurred but not yet reported. In determining its estimates, the Company considers historical loss experience and judgments about the present and expected levels of cost per claim. Trends in actual experience are a significant factor in the determination of such reserves.</w:t>
      </w:r>
    </w:p>
    <w:p>
      <w:pPr>
        <w:spacing w:after="0" w:line="185" w:lineRule="exact"/>
        <w:rPr>
          <w:sz w:val="20"/>
          <w:szCs w:val="20"/>
          <w:color w:val="auto"/>
        </w:rPr>
      </w:pPr>
    </w:p>
    <w:p>
      <w:pPr>
        <w:ind w:firstLine="518"/>
        <w:spacing w:after="0" w:line="252"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color w:val="auto"/>
        </w:rPr>
        <w:t>—The provision for income taxes includes federal, foreign, and state income taxes currently payable and those deferred because of</w:t>
      </w:r>
      <w:r>
        <w:rPr>
          <w:rFonts w:ascii="Arial" w:cs="Arial" w:eastAsia="Arial" w:hAnsi="Arial"/>
          <w:sz w:val="18"/>
          <w:szCs w:val="18"/>
          <w:b w:val="1"/>
          <w:bCs w:val="1"/>
          <w:color w:val="auto"/>
        </w:rPr>
        <w:t xml:space="preserve"> </w:t>
      </w:r>
      <w:r>
        <w:rPr>
          <w:rFonts w:ascii="Arial" w:cs="Arial" w:eastAsia="Arial" w:hAnsi="Arial"/>
          <w:sz w:val="18"/>
          <w:szCs w:val="18"/>
          <w:color w:val="auto"/>
        </w:rPr>
        <w:t>temporary differences between the financial statement and tax basis of assets and liabilities. Recorded deferred income tax assets and liabilities are based on the estimated future tax effects of differences between the financial and tax basis of assets and liabilities, given the effect of currently enacted tax laws. The Company’s current policy is to repatriate all earnings from foreign subsidiaries’ operations as generated and at this time no amounts are considered to be permanently reinvested in those operations. On December 22, 2017, the U.S. government enacted comprehensive tax legislation referred to as the Tax Cuts and Jobs Act. See Note 10.</w:t>
      </w:r>
    </w:p>
    <w:p>
      <w:pPr>
        <w:spacing w:after="0" w:line="190" w:lineRule="exact"/>
        <w:rPr>
          <w:sz w:val="20"/>
          <w:szCs w:val="20"/>
          <w:color w:val="auto"/>
        </w:rPr>
      </w:pPr>
    </w:p>
    <w:p>
      <w:pPr>
        <w:ind w:right="20" w:firstLine="518"/>
        <w:spacing w:after="0" w:line="308" w:lineRule="auto"/>
        <w:rPr>
          <w:sz w:val="20"/>
          <w:szCs w:val="20"/>
          <w:color w:val="auto"/>
        </w:rPr>
      </w:pPr>
      <w:r>
        <w:rPr>
          <w:rFonts w:ascii="Arial" w:cs="Arial" w:eastAsia="Arial" w:hAnsi="Arial"/>
          <w:sz w:val="16"/>
          <w:szCs w:val="16"/>
          <w:b w:val="1"/>
          <w:bCs w:val="1"/>
          <w:color w:val="auto"/>
        </w:rPr>
        <w:t>Hedging Instruments</w:t>
      </w:r>
      <w:r>
        <w:rPr>
          <w:rFonts w:ascii="Arial" w:cs="Arial" w:eastAsia="Arial" w:hAnsi="Arial"/>
          <w:sz w:val="16"/>
          <w:szCs w:val="16"/>
          <w:color w:val="auto"/>
        </w:rPr>
        <w:t>—At times, the Company designates certain derivative contracts as a cash flow hedge as defined by GAAP. Accordingly,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formally documents, at the inception of each hedge, all relationships between hedging instruments and hedged items, as well as our risk-management objective and strategy for undertaking hedge transactions. This process includes linking all derivatives to highly-probable forecasted transactions.</w:t>
      </w:r>
    </w:p>
    <w:p>
      <w:pPr>
        <w:spacing w:after="0" w:line="151"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The Company formally assesses, at inception and on an ongoing basis, the effectiveness of hedges in offsetting changes in the cash flows of hedged items. Hedge accounting treatment may be discontinued when (1) it is determined that the derivative is no longer highly effective in offsetting changes in the cash flows of a hedged item (including hedged items for forecasted future transactions), (2) the derivative expires or is sold, terminated or exercised, (3) it is no longer probable that the forecasted transaction will occur or (4) management determines that designating the derivative as a hedging instrument is no longer appropriate. If management elects to stop hedge accounting, it would be on a prospective basis and any hedges in place would be recognized in accumulated other comprehensive income (loss) until all the related forecasted transactions are completed or are probable of not occurring.</w:t>
      </w:r>
    </w:p>
    <w:p>
      <w:pPr>
        <w:spacing w:after="0" w:line="163"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b w:val="1"/>
          <w:bCs w:val="1"/>
          <w:color w:val="auto"/>
        </w:rPr>
        <w:t>Foreign Currency Translation</w:t>
      </w:r>
      <w:r>
        <w:rPr>
          <w:rFonts w:ascii="Arial" w:cs="Arial" w:eastAsia="Arial" w:hAnsi="Arial"/>
          <w:sz w:val="18"/>
          <w:szCs w:val="18"/>
          <w:color w:val="auto"/>
        </w:rPr>
        <w:t>—The financial statements of the Company’s foreign subsidiaries where the operations are primarily denominated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foreign currency are translated into U.S. dollars for reporting. Balance sheet accounts are translated at the current foreign exchange rate at the end of each period and income statement accounts are translated at the average foreign exchange rate for each period. Gains and losses on foreign currency translations are reflected as a currency translation adjustment, net of tax, in accumulated other comprehensive income (loss). Foreign currency transaction gains and losses are included in other income (expense).</w:t>
      </w:r>
    </w:p>
    <w:p>
      <w:pPr>
        <w:spacing w:after="0" w:line="185"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b w:val="1"/>
          <w:bCs w:val="1"/>
          <w:color w:val="auto"/>
        </w:rPr>
        <w:t>Recent Accounting Pronouncements</w:t>
      </w:r>
      <w:r>
        <w:rPr>
          <w:rFonts w:ascii="Arial" w:cs="Arial" w:eastAsia="Arial" w:hAnsi="Arial"/>
          <w:sz w:val="18"/>
          <w:szCs w:val="18"/>
          <w:color w:val="auto"/>
        </w:rPr>
        <w:t>—In January 2017, the Financial Accounting Standards Board (“FASB”) issued Accounting Standard Update No.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2017-04 (“ASU 2017-04”), </w:t>
      </w:r>
      <w:r>
        <w:rPr>
          <w:rFonts w:ascii="Arial" w:cs="Arial" w:eastAsia="Arial" w:hAnsi="Arial"/>
          <w:sz w:val="18"/>
          <w:szCs w:val="18"/>
          <w:i w:val="1"/>
          <w:iCs w:val="1"/>
          <w:color w:val="auto"/>
        </w:rPr>
        <w:t>Intangibles—Goodwill and Other (Topic 350): Simplifying the Test for Goodwill Impairment</w:t>
      </w:r>
      <w:r>
        <w:rPr>
          <w:rFonts w:ascii="Arial" w:cs="Arial" w:eastAsia="Arial" w:hAnsi="Arial"/>
          <w:sz w:val="18"/>
          <w:szCs w:val="18"/>
          <w:color w:val="auto"/>
        </w:rPr>
        <w:t>. The amendment removes the requirement to compare the implied fair value of goodwill with its carrying amount as part of step 2 of the goodwill impairment test. The guidance is effective for fiscal years beginning after December 15, 2019. The Company does not anticipate that the adoption of ASU 2017-04 will have a material effect on the Company’s consolidated financial statements.</w:t>
      </w:r>
    </w:p>
    <w:p>
      <w:pPr>
        <w:spacing w:after="0" w:line="191" w:lineRule="exact"/>
        <w:rPr>
          <w:sz w:val="20"/>
          <w:szCs w:val="20"/>
          <w:color w:val="auto"/>
        </w:rPr>
      </w:pPr>
    </w:p>
    <w:p>
      <w:pPr>
        <w:ind w:firstLine="518"/>
        <w:spacing w:after="0" w:line="252" w:lineRule="auto"/>
        <w:rPr>
          <w:sz w:val="20"/>
          <w:szCs w:val="20"/>
          <w:color w:val="auto"/>
        </w:rPr>
      </w:pPr>
      <w:r>
        <w:rPr>
          <w:rFonts w:ascii="Arial" w:cs="Arial" w:eastAsia="Arial" w:hAnsi="Arial"/>
          <w:sz w:val="18"/>
          <w:szCs w:val="18"/>
          <w:color w:val="auto"/>
        </w:rPr>
        <w:t xml:space="preserve">In November 2016, the Financial Accounting Standards Board (“FASB”) issued Accounting Standard Update No. 2016-18 (“ASU 2016-18”), </w:t>
      </w:r>
      <w:r>
        <w:rPr>
          <w:rFonts w:ascii="Arial" w:cs="Arial" w:eastAsia="Arial" w:hAnsi="Arial"/>
          <w:sz w:val="18"/>
          <w:szCs w:val="18"/>
          <w:i w:val="1"/>
          <w:iCs w:val="1"/>
          <w:color w:val="auto"/>
        </w:rPr>
        <w:t>Statement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Cashflows (Topic 230): Restricted Cash. </w:t>
      </w:r>
      <w:r>
        <w:rPr>
          <w:rFonts w:ascii="Arial" w:cs="Arial" w:eastAsia="Arial" w:hAnsi="Arial"/>
          <w:sz w:val="18"/>
          <w:szCs w:val="18"/>
          <w:color w:val="auto"/>
        </w:rPr>
        <w:t>The amendments require that the statement of cash flows explain the changes during the period in the total of cash,</w:t>
      </w:r>
      <w:r>
        <w:rPr>
          <w:rFonts w:ascii="Arial" w:cs="Arial" w:eastAsia="Arial" w:hAnsi="Arial"/>
          <w:sz w:val="18"/>
          <w:szCs w:val="18"/>
          <w:i w:val="1"/>
          <w:iCs w:val="1"/>
          <w:color w:val="auto"/>
        </w:rPr>
        <w:t xml:space="preserve"> </w:t>
      </w:r>
      <w:r>
        <w:rPr>
          <w:rFonts w:ascii="Arial" w:cs="Arial" w:eastAsia="Arial" w:hAnsi="Arial"/>
          <w:sz w:val="18"/>
          <w:szCs w:val="18"/>
          <w:color w:val="auto"/>
        </w:rPr>
        <w:t>cash equivalents, and amounts generally described as restricted cash or restricted cash equivalents. Therefore amounts generally described as restricted cash or restricted cash equivalents should be included with the cash and cash equivalents when reconciling the beginning-of-period and end-of-period total amounts shown on the statement</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340" w:right="279" w:bottom="1440" w:gutter="0" w:footer="0" w:header="0"/>
        </w:sectPr>
      </w:pPr>
    </w:p>
    <w:bookmarkStart w:id="70" w:name="page71"/>
    <w:bookmarkEnd w:id="70"/>
    <w:p>
      <w:pPr>
        <w:ind w:right="40"/>
        <w:spacing w:after="0" w:line="267" w:lineRule="auto"/>
        <w:rPr>
          <w:sz w:val="20"/>
          <w:szCs w:val="20"/>
          <w:color w:val="auto"/>
        </w:rPr>
      </w:pPr>
      <w:r>
        <w:rPr>
          <w:rFonts w:ascii="Arial" w:cs="Arial" w:eastAsia="Arial" w:hAnsi="Arial"/>
          <w:sz w:val="18"/>
          <w:szCs w:val="18"/>
          <w:color w:val="auto"/>
        </w:rPr>
        <w:t>of cash flows. The guidance is effective for fiscal years beginning after December 15, 2017. The Company does not anticipate that the adoption of ASU 2016-18 will have a material effect on the Company’s consolidated financial statements.</w:t>
      </w:r>
    </w:p>
    <w:p>
      <w:pPr>
        <w:spacing w:after="0" w:line="180" w:lineRule="exact"/>
        <w:rPr>
          <w:sz w:val="20"/>
          <w:szCs w:val="20"/>
          <w:color w:val="auto"/>
        </w:rPr>
      </w:pPr>
    </w:p>
    <w:p>
      <w:pPr>
        <w:ind w:right="40" w:firstLine="518"/>
        <w:spacing w:after="0" w:line="281" w:lineRule="auto"/>
        <w:rPr>
          <w:sz w:val="20"/>
          <w:szCs w:val="20"/>
          <w:color w:val="auto"/>
        </w:rPr>
      </w:pPr>
      <w:r>
        <w:rPr>
          <w:rFonts w:ascii="Arial" w:cs="Arial" w:eastAsia="Arial" w:hAnsi="Arial"/>
          <w:sz w:val="16"/>
          <w:szCs w:val="16"/>
          <w:color w:val="auto"/>
        </w:rPr>
        <w:t xml:space="preserve">In August 2016, the FASB issued Accounting Standard Update No. 2016-15 (“ASU 2016-15”), </w:t>
      </w:r>
      <w:r>
        <w:rPr>
          <w:rFonts w:ascii="Arial" w:cs="Arial" w:eastAsia="Arial" w:hAnsi="Arial"/>
          <w:sz w:val="16"/>
          <w:szCs w:val="16"/>
          <w:i w:val="1"/>
          <w:iCs w:val="1"/>
          <w:color w:val="auto"/>
        </w:rPr>
        <w:t>Classification of Certain Cash Receipts and Cash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Payments </w:t>
      </w:r>
      <w:r>
        <w:rPr>
          <w:rFonts w:ascii="Arial" w:cs="Arial" w:eastAsia="Arial" w:hAnsi="Arial"/>
          <w:sz w:val="16"/>
          <w:szCs w:val="16"/>
          <w:color w:val="auto"/>
        </w:rPr>
        <w:t>which amends FASB’s standards for reporting cash flows in general-purpose financial statements. The amendments address the diversity in practice</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the classification of certain cash receipts and payments. The guidance is effective for fiscal years beginning after December 15, 2017. The Company does not anticipate that the adoption of ASU 2016-15 will have a material effect on the Company’s consolidated financial statements.</w:t>
      </w:r>
    </w:p>
    <w:p>
      <w:pPr>
        <w:spacing w:after="0" w:line="3" w:lineRule="exact"/>
        <w:rPr>
          <w:sz w:val="20"/>
          <w:szCs w:val="20"/>
          <w:color w:val="auto"/>
        </w:rPr>
      </w:pPr>
    </w:p>
    <w:p>
      <w:pPr>
        <w:ind w:firstLine="761"/>
        <w:spacing w:after="0" w:line="269" w:lineRule="auto"/>
        <w:rPr>
          <w:sz w:val="20"/>
          <w:szCs w:val="20"/>
          <w:color w:val="auto"/>
        </w:rPr>
      </w:pPr>
      <w:r>
        <w:rPr>
          <w:rFonts w:ascii="Arial" w:cs="Arial" w:eastAsia="Arial" w:hAnsi="Arial"/>
          <w:sz w:val="17"/>
          <w:szCs w:val="17"/>
          <w:color w:val="auto"/>
        </w:rPr>
        <w:t xml:space="preserve">In February 2016, the FASB issued Accounting Standard Update No. 2016-02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The Board issued this update to increase the transparency and comparability among organizations by recognizing lease assets and lease liabilities on the balance sheet and disclosing key information about leasing arrangements. The guidance is effective for fiscal years beginning after December 15, 2018, including interim periods within those annual periods. The Company is currently evaluating the impact of ASU 2016-02 on its consolidated financial statements.</w:t>
      </w:r>
    </w:p>
    <w:p>
      <w:pPr>
        <w:spacing w:after="0" w:line="179" w:lineRule="exact"/>
        <w:rPr>
          <w:sz w:val="20"/>
          <w:szCs w:val="20"/>
          <w:color w:val="auto"/>
        </w:rPr>
      </w:pPr>
    </w:p>
    <w:p>
      <w:pPr>
        <w:ind w:firstLine="518"/>
        <w:spacing w:after="0" w:line="282" w:lineRule="auto"/>
        <w:rPr>
          <w:sz w:val="20"/>
          <w:szCs w:val="20"/>
          <w:color w:val="auto"/>
        </w:rPr>
      </w:pPr>
      <w:r>
        <w:rPr>
          <w:rFonts w:ascii="Arial" w:cs="Arial" w:eastAsia="Arial" w:hAnsi="Arial"/>
          <w:sz w:val="16"/>
          <w:szCs w:val="16"/>
          <w:color w:val="auto"/>
        </w:rPr>
        <w:t xml:space="preserve">In May 2014, the FASB issued Accounting Standard Update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and subsequently issued other Accounting Standard Updates related to Accounting Standards Codification Topic 606 (collectively, “ASC 606”) which supersedes the existing revenue recognition requirements. ASC 606 is based on the principle that revenue is recognized to depict the transfer of goods or services to customers in an amount that reflects the consideration to which the entity expects to be entitled in exchange for those goods or services. The Company adopted ASC 606 as of January 1, 2018, under the modified retrospective method where the cumulative effect is recognized at the date of initial application. The cumulative net adjustment to the beginning retained earnings balance is expected to be less than $5,000. The Company has evaluated the impact of ASC 606 and has determined that fixed-price contracts, which comprise substantially all of the Company’s revenue, will most often represent a single performance obligation. The Company will measure progress toward completion utilizing the cost-to-cost method, which represents a change from our prior practice of measuring completion based on engineering estimates of the physical percentage completed for dredging projects. Also, the Company will be required to capitalize certain pre-contract and pre-construction costs, and defer recognition over the life of the contract. In contrast, contract fulfillment costs will be required to be recognized in the income statement when incurred. Accordingly, the adoption of ASC 606 may result in a change in the timing of recognition of both contract revenue and cost from our prior practices. In addition, the Company expects to add qualitative and quantitative disclosures around disaggregation of revenue, remaining performance obligation, and other impacts to the Company’s contract revenue balances. The Company does not anticipate that the adoption of ASU 2014-09 will have a material effect on the Company’s consolidated financial statements.</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EARNINGS PER SHARE</w:t>
      </w:r>
    </w:p>
    <w:p>
      <w:pPr>
        <w:spacing w:after="0" w:line="119" w:lineRule="exact"/>
        <w:rPr>
          <w:sz w:val="20"/>
          <w:szCs w:val="20"/>
          <w:color w:val="auto"/>
        </w:rPr>
      </w:pPr>
    </w:p>
    <w:p>
      <w:pPr>
        <w:ind w:right="100" w:firstLine="518"/>
        <w:spacing w:after="0" w:line="250" w:lineRule="auto"/>
        <w:rPr>
          <w:sz w:val="20"/>
          <w:szCs w:val="20"/>
          <w:color w:val="auto"/>
        </w:rPr>
      </w:pPr>
      <w:r>
        <w:rPr>
          <w:rFonts w:ascii="Arial" w:cs="Arial" w:eastAsia="Arial" w:hAnsi="Arial"/>
          <w:sz w:val="18"/>
          <w:szCs w:val="18"/>
          <w:color w:val="auto"/>
        </w:rPr>
        <w:t>Basic earnings per share is computed by dividing net income attributable to common stockholders by the weighted-average number of common shares outstanding during the reporting period. Diluted earnings per share is computed similar to basic earnings per share except that it reflects the potential dilution that could occur if dilutive securities or other obligations to issue common stock were exercised or converted into common stock. For the years ended December 31, 2017, 2016 and 2015 the dilutive effect of 716 thousand, 623 thousand and 431 thousand stock options (“NQSO”) and restricted stock units (“RSU”), respectively, were excluded from the diluted weighted-average common shares outstanding as the Company incurred a loss during these periods. For the years ended December 31, 2017, 2016 and 2015 2,476 thousand, 1,594 thousand and 1,179 thousand NQSOs and RSUs, respectively, were excluded from the calculation of diluted earnings per share based on the application of the treasury stock method, as such NQSOs and RSUs were determined to be anti-dilutive.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1" w:name="page72"/>
    <w:bookmarkEnd w:id="71"/>
    <w:p>
      <w:pPr>
        <w:ind w:left="520"/>
        <w:spacing w:after="0"/>
        <w:rPr>
          <w:sz w:val="20"/>
          <w:szCs w:val="20"/>
          <w:color w:val="auto"/>
        </w:rPr>
      </w:pPr>
      <w:r>
        <w:rPr>
          <w:rFonts w:ascii="Arial" w:cs="Arial" w:eastAsia="Arial" w:hAnsi="Arial"/>
          <w:sz w:val="18"/>
          <w:szCs w:val="18"/>
          <w:color w:val="auto"/>
        </w:rPr>
        <w:t>The computations for basic and diluted loss per share for the years ended December 31, 2017, 2016 and 2015 are as follows:</w:t>
      </w:r>
    </w:p>
    <w:p>
      <w:pPr>
        <w:spacing w:after="0" w:line="223" w:lineRule="exact"/>
        <w:rPr>
          <w:sz w:val="20"/>
          <w:szCs w:val="20"/>
          <w:color w:val="auto"/>
        </w:rPr>
      </w:pPr>
    </w:p>
    <w:tbl>
      <w:tblPr>
        <w:tblLayout w:type="fixed"/>
        <w:tblInd w:w="1160" w:type="dxa"/>
        <w:tblCellMar>
          <w:top w:w="0" w:type="dxa"/>
          <w:left w:w="0" w:type="dxa"/>
          <w:bottom w:w="0" w:type="dxa"/>
          <w:right w:w="0" w:type="dxa"/>
        </w:tblCellMar>
      </w:tblPr>
      <w:tr>
        <w:trPr>
          <w:trHeight w:val="185"/>
        </w:trPr>
        <w:tc>
          <w:tcPr>
            <w:tcW w:w="4320" w:type="dxa"/>
            <w:vAlign w:val="bottom"/>
          </w:tcPr>
          <w:p>
            <w:pPr>
              <w:spacing w:after="0"/>
              <w:rPr>
                <w:sz w:val="20"/>
                <w:szCs w:val="20"/>
                <w:color w:val="auto"/>
              </w:rPr>
            </w:pPr>
            <w:r>
              <w:rPr>
                <w:rFonts w:ascii="Arial" w:cs="Arial" w:eastAsia="Arial" w:hAnsi="Arial"/>
                <w:sz w:val="14"/>
                <w:szCs w:val="14"/>
                <w:b w:val="1"/>
                <w:bCs w:val="1"/>
                <w:color w:val="auto"/>
              </w:rPr>
              <w:t>(shares in thousands)</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3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4320" w:type="dxa"/>
            <w:vAlign w:val="bottom"/>
            <w:shd w:val="clear" w:color="auto" w:fill="CFF0FC"/>
          </w:tcPr>
          <w:p>
            <w:pPr>
              <w:spacing w:after="0" w:line="206" w:lineRule="exact"/>
              <w:rPr>
                <w:sz w:val="20"/>
                <w:szCs w:val="20"/>
                <w:color w:val="auto"/>
              </w:rPr>
            </w:pPr>
            <w:r>
              <w:rPr>
                <w:rFonts w:ascii="Arial" w:cs="Arial" w:eastAsia="Arial" w:hAnsi="Arial"/>
                <w:sz w:val="18"/>
                <w:szCs w:val="18"/>
                <w:color w:val="auto"/>
              </w:rPr>
              <w:t>Loss from continuing operations</w:t>
            </w: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(18,563</w:t>
            </w:r>
          </w:p>
        </w:tc>
        <w:tc>
          <w:tcPr>
            <w:tcW w:w="280" w:type="dxa"/>
            <w:vAlign w:val="bottom"/>
            <w:shd w:val="clear" w:color="auto" w:fill="CFF0FC"/>
          </w:tcPr>
          <w:p>
            <w:pPr>
              <w:jc w:val="right"/>
              <w:ind w:right="142"/>
              <w:spacing w:after="0"/>
              <w:rPr>
                <w:sz w:val="20"/>
                <w:szCs w:val="20"/>
                <w:color w:val="auto"/>
              </w:rPr>
            </w:pPr>
            <w:r>
              <w:rPr>
                <w:rFonts w:ascii="Arial" w:cs="Arial" w:eastAsia="Arial" w:hAnsi="Arial"/>
                <w:sz w:val="16"/>
                <w:szCs w:val="16"/>
                <w:color w:val="auto"/>
                <w:w w:val="74"/>
              </w:rPr>
              <w:t>)</w:t>
            </w: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(8,177</w:t>
            </w:r>
          </w:p>
        </w:tc>
        <w:tc>
          <w:tcPr>
            <w:tcW w:w="280" w:type="dxa"/>
            <w:vAlign w:val="bottom"/>
            <w:shd w:val="clear" w:color="auto" w:fill="CFF0FC"/>
          </w:tcPr>
          <w:p>
            <w:pPr>
              <w:jc w:val="right"/>
              <w:ind w:right="142"/>
              <w:spacing w:after="0"/>
              <w:rPr>
                <w:sz w:val="20"/>
                <w:szCs w:val="20"/>
                <w:color w:val="auto"/>
              </w:rPr>
            </w:pPr>
            <w:r>
              <w:rPr>
                <w:rFonts w:ascii="Arial" w:cs="Arial" w:eastAsia="Arial" w:hAnsi="Arial"/>
                <w:sz w:val="16"/>
                <w:szCs w:val="16"/>
                <w:color w:val="auto"/>
                <w:w w:val="74"/>
              </w:rPr>
              <w:t>)</w:t>
            </w:r>
          </w:p>
        </w:tc>
        <w:tc>
          <w:tcPr>
            <w:tcW w:w="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(6,189</w:t>
            </w:r>
          </w:p>
        </w:tc>
        <w:tc>
          <w:tcPr>
            <w:tcW w:w="24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4"/>
        </w:trPr>
        <w:tc>
          <w:tcPr>
            <w:tcW w:w="4320" w:type="dxa"/>
            <w:vAlign w:val="bottom"/>
          </w:tcPr>
          <w:p>
            <w:pPr>
              <w:spacing w:after="0"/>
              <w:rPr>
                <w:sz w:val="20"/>
                <w:szCs w:val="20"/>
                <w:color w:val="auto"/>
              </w:rPr>
            </w:pPr>
            <w:r>
              <w:rPr>
                <w:rFonts w:ascii="Arial" w:cs="Arial" w:eastAsia="Arial" w:hAnsi="Arial"/>
                <w:sz w:val="18"/>
                <w:szCs w:val="18"/>
                <w:color w:val="auto"/>
              </w:rPr>
              <w:t>Loss on discontinued operations, net of income taxes,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320" w:type="dxa"/>
            <w:vAlign w:val="bottom"/>
          </w:tcPr>
          <w:p>
            <w:pPr>
              <w:ind w:left="220"/>
              <w:spacing w:after="0"/>
              <w:rPr>
                <w:sz w:val="20"/>
                <w:szCs w:val="20"/>
                <w:color w:val="auto"/>
              </w:rPr>
            </w:pPr>
            <w:r>
              <w:rPr>
                <w:rFonts w:ascii="Arial" w:cs="Arial" w:eastAsia="Arial" w:hAnsi="Arial"/>
                <w:sz w:val="18"/>
                <w:szCs w:val="18"/>
                <w:color w:val="auto"/>
                <w:w w:val="93"/>
              </w:rPr>
              <w:t>attributable to Great Lakes Dredge &amp; Dock Corporation</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42"/>
              <w:spacing w:after="0"/>
              <w:rPr>
                <w:sz w:val="20"/>
                <w:szCs w:val="20"/>
                <w:color w:val="auto"/>
              </w:rPr>
            </w:pPr>
            <w:r>
              <w:rPr>
                <w:rFonts w:ascii="Arial" w:cs="Arial" w:eastAsia="Arial" w:hAnsi="Arial"/>
                <w:sz w:val="18"/>
                <w:szCs w:val="18"/>
                <w:color w:val="auto"/>
              </w:rPr>
              <w:t>(12,697)</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20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18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 of Great</w:t>
            </w:r>
          </w:p>
        </w:tc>
        <w:tc>
          <w:tcPr>
            <w:tcW w:w="1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3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Lakes Dredge &amp; Dock Corporation</w:t>
            </w: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rPr>
              <w:t>(31,260)</w:t>
            </w: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rPr>
              <w:t>(8,177)</w:t>
            </w:r>
          </w:p>
        </w:tc>
        <w:tc>
          <w:tcPr>
            <w:tcW w:w="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02"/>
              <w:spacing w:after="0"/>
              <w:rPr>
                <w:sz w:val="20"/>
                <w:szCs w:val="20"/>
                <w:color w:val="auto"/>
              </w:rPr>
            </w:pPr>
            <w:r>
              <w:rPr>
                <w:rFonts w:ascii="Arial" w:cs="Arial" w:eastAsia="Arial" w:hAnsi="Arial"/>
                <w:sz w:val="18"/>
                <w:szCs w:val="18"/>
                <w:color w:val="auto"/>
              </w:rPr>
              <w:t>(6,189)</w:t>
            </w:r>
          </w:p>
        </w:tc>
        <w:tc>
          <w:tcPr>
            <w:tcW w:w="0" w:type="dxa"/>
            <w:vAlign w:val="bottom"/>
          </w:tcPr>
          <w:p>
            <w:pPr>
              <w:spacing w:after="0"/>
              <w:rPr>
                <w:sz w:val="1"/>
                <w:szCs w:val="1"/>
                <w:color w:val="auto"/>
              </w:rPr>
            </w:pPr>
          </w:p>
        </w:tc>
      </w:tr>
      <w:tr>
        <w:trPr>
          <w:trHeight w:val="227"/>
        </w:trPr>
        <w:tc>
          <w:tcPr>
            <w:tcW w:w="4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w w:val="95"/>
              </w:rPr>
              <w:t>Weighted-average common shares outstanding — basic</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61,365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60,744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60,410</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20" w:type="dxa"/>
            <w:vAlign w:val="bottom"/>
          </w:tcPr>
          <w:p>
            <w:pPr>
              <w:spacing w:after="0"/>
              <w:rPr>
                <w:sz w:val="20"/>
                <w:szCs w:val="20"/>
                <w:color w:val="auto"/>
              </w:rPr>
            </w:pPr>
            <w:r>
              <w:rPr>
                <w:rFonts w:ascii="Arial" w:cs="Arial" w:eastAsia="Arial" w:hAnsi="Arial"/>
                <w:sz w:val="18"/>
                <w:szCs w:val="18"/>
                <w:color w:val="auto"/>
              </w:rPr>
              <w:t>Effect of stock options and restricted stock units</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22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20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18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43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4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3"/>
              </w:rPr>
              <w:t>Weighted-average common shares outstanding — diluted</w:t>
            </w:r>
          </w:p>
        </w:tc>
        <w:tc>
          <w:tcPr>
            <w:tcW w:w="14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61,365</w:t>
            </w:r>
          </w:p>
        </w:tc>
        <w:tc>
          <w:tcPr>
            <w:tcW w:w="280" w:type="dxa"/>
            <w:vAlign w:val="bottom"/>
            <w:tcBorders>
              <w:bottom w:val="single" w:sz="8" w:color="CFF0FC"/>
            </w:tcBorders>
          </w:tcPr>
          <w:p>
            <w:pPr>
              <w:spacing w:after="0"/>
              <w:rPr>
                <w:sz w:val="23"/>
                <w:szCs w:val="23"/>
                <w:color w:val="auto"/>
              </w:rPr>
            </w:pPr>
          </w:p>
        </w:tc>
        <w:tc>
          <w:tcPr>
            <w:tcW w:w="20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60,744</w:t>
            </w:r>
          </w:p>
        </w:tc>
        <w:tc>
          <w:tcPr>
            <w:tcW w:w="280" w:type="dxa"/>
            <w:vAlign w:val="bottom"/>
            <w:tcBorders>
              <w:bottom w:val="single" w:sz="8" w:color="CFF0FC"/>
            </w:tcBorders>
          </w:tcPr>
          <w:p>
            <w:pPr>
              <w:spacing w:after="0"/>
              <w:rPr>
                <w:sz w:val="23"/>
                <w:szCs w:val="23"/>
                <w:color w:val="auto"/>
              </w:rPr>
            </w:pPr>
          </w:p>
        </w:tc>
        <w:tc>
          <w:tcPr>
            <w:tcW w:w="20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60,410</w:t>
            </w:r>
          </w:p>
        </w:tc>
        <w:tc>
          <w:tcPr>
            <w:tcW w:w="24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4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320" w:type="dxa"/>
            <w:vAlign w:val="bottom"/>
          </w:tcPr>
          <w:p>
            <w:pPr>
              <w:spacing w:after="0"/>
              <w:rPr>
                <w:sz w:val="20"/>
                <w:szCs w:val="20"/>
                <w:color w:val="auto"/>
              </w:rPr>
            </w:pPr>
            <w:r>
              <w:rPr>
                <w:rFonts w:ascii="Arial" w:cs="Arial" w:eastAsia="Arial" w:hAnsi="Arial"/>
                <w:sz w:val="18"/>
                <w:szCs w:val="18"/>
                <w:color w:val="auto"/>
              </w:rPr>
              <w:t>Loss per share from continuing operations — basic</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2"/>
              <w:spacing w:after="0"/>
              <w:rPr>
                <w:sz w:val="20"/>
                <w:szCs w:val="20"/>
                <w:color w:val="auto"/>
              </w:rPr>
            </w:pPr>
            <w:r>
              <w:rPr>
                <w:rFonts w:ascii="Arial" w:cs="Arial" w:eastAsia="Arial" w:hAnsi="Arial"/>
                <w:sz w:val="18"/>
                <w:szCs w:val="18"/>
                <w:color w:val="auto"/>
              </w:rPr>
              <w:t>(0.30)</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2"/>
              <w:spacing w:after="0"/>
              <w:rPr>
                <w:sz w:val="20"/>
                <w:szCs w:val="20"/>
                <w:color w:val="auto"/>
              </w:rPr>
            </w:pPr>
            <w:r>
              <w:rPr>
                <w:rFonts w:ascii="Arial" w:cs="Arial" w:eastAsia="Arial" w:hAnsi="Arial"/>
                <w:sz w:val="18"/>
                <w:szCs w:val="18"/>
                <w:color w:val="auto"/>
              </w:rPr>
              <w:t>(0.13)</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2"/>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7"/>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Loss per share from continuing operations — diluted</w:t>
            </w: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rPr>
              <w:t>(0.30)</w:t>
            </w: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rPr>
              <w:t>(0.13)</w:t>
            </w:r>
          </w:p>
        </w:tc>
        <w:tc>
          <w:tcPr>
            <w:tcW w:w="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02"/>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RESTRICTED AND ESCROWED CASH</w:t>
      </w:r>
    </w:p>
    <w:p>
      <w:pPr>
        <w:spacing w:after="0" w:line="119"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At December 31, 2017, the Company had restricted cash of $3,742, of which $1,500 was included in other noncurrent assets and $2,242 was included in other current assets. Restricted cash included in other noncurrent assets relates to cash held in escrow as security for the Company’s lease rental obligation under a long-term equipment operating lease. Restricted cash included in other current assets relates to cash held in escrow related to an outstanding lawsuit at our historical demolition business.</w:t>
      </w:r>
    </w:p>
    <w:p>
      <w:pPr>
        <w:spacing w:after="0" w:line="84" w:lineRule="exact"/>
        <w:rPr>
          <w:sz w:val="20"/>
          <w:szCs w:val="20"/>
          <w:color w:val="auto"/>
        </w:rPr>
      </w:pPr>
    </w:p>
    <w:p>
      <w:pPr>
        <w:ind w:right="40" w:firstLine="518"/>
        <w:spacing w:after="0" w:line="252" w:lineRule="auto"/>
        <w:rPr>
          <w:sz w:val="20"/>
          <w:szCs w:val="20"/>
          <w:color w:val="auto"/>
        </w:rPr>
      </w:pPr>
      <w:r>
        <w:rPr>
          <w:rFonts w:ascii="Arial" w:cs="Arial" w:eastAsia="Arial" w:hAnsi="Arial"/>
          <w:sz w:val="18"/>
          <w:szCs w:val="18"/>
          <w:color w:val="auto"/>
        </w:rPr>
        <w:t>At December 31, 2016, the Company had restricted cash of $10,777 of which $8,535 was included in other noncurrent assets and $2,242 was included in other current assets. Restricted cash included in other noncurrent assets relates to $7,035 of cash collateral issued for two letters of credit in connection with the termination of the Company’s former revolving credit agreement and $1,500 relates to cash held in escrow as security for the Company’s lease rental obligation under a long-term equipment operating lease. Restricted cash included in other current assets relates to cash held in escrow related to an outstanding lawsuit at our historical demolition business.</w:t>
      </w:r>
    </w:p>
    <w:p>
      <w:pPr>
        <w:spacing w:after="0" w:line="388" w:lineRule="exact"/>
        <w:rPr>
          <w:sz w:val="20"/>
          <w:szCs w:val="20"/>
          <w:color w:val="auto"/>
        </w:rPr>
      </w:pPr>
    </w:p>
    <w:p>
      <w:pPr>
        <w:ind w:left="520" w:right="6080" w:hanging="513"/>
        <w:spacing w:after="0" w:line="477" w:lineRule="auto"/>
        <w:tabs>
          <w:tab w:leader="none" w:pos="180"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ACCOUNTS RECEIVABLE AND CONTRACTS IN PROGRESS </w:t>
      </w:r>
      <w:r>
        <w:rPr>
          <w:rFonts w:ascii="Arial" w:cs="Arial" w:eastAsia="Arial" w:hAnsi="Arial"/>
          <w:sz w:val="16"/>
          <w:szCs w:val="16"/>
          <w:color w:val="auto"/>
        </w:rPr>
        <w:t>Accounts receivable at December 31, 2017 and 2016 are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20" w:type="dxa"/>
            <w:vAlign w:val="bottom"/>
          </w:tcPr>
          <w:p>
            <w:pPr>
              <w:spacing w:after="0"/>
              <w:rPr>
                <w:sz w:val="14"/>
                <w:szCs w:val="14"/>
                <w:color w:val="auto"/>
              </w:rPr>
            </w:pPr>
          </w:p>
        </w:tc>
        <w:tc>
          <w:tcPr>
            <w:tcW w:w="3560" w:type="dxa"/>
            <w:vAlign w:val="bottom"/>
            <w:tcBorders>
              <w:bottom w:val="single" w:sz="8" w:color="CFF0FC"/>
            </w:tcBorders>
          </w:tcPr>
          <w:p>
            <w:pPr>
              <w:spacing w:after="0"/>
              <w:rPr>
                <w:sz w:val="14"/>
                <w:szCs w:val="14"/>
                <w:color w:val="auto"/>
              </w:rPr>
            </w:pPr>
          </w:p>
        </w:tc>
        <w:tc>
          <w:tcPr>
            <w:tcW w:w="18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17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Completed contracts</w:t>
            </w:r>
          </w:p>
        </w:tc>
        <w:tc>
          <w:tcPr>
            <w:tcW w:w="216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15,974</w:t>
            </w:r>
          </w:p>
        </w:tc>
        <w:tc>
          <w:tcPr>
            <w:tcW w:w="1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18,727</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80" w:type="dxa"/>
            <w:vAlign w:val="bottom"/>
            <w:gridSpan w:val="2"/>
          </w:tcPr>
          <w:p>
            <w:pPr>
              <w:ind w:left="1720"/>
              <w:spacing w:after="0"/>
              <w:rPr>
                <w:sz w:val="20"/>
                <w:szCs w:val="20"/>
                <w:color w:val="auto"/>
              </w:rPr>
            </w:pPr>
            <w:r>
              <w:rPr>
                <w:rFonts w:ascii="Arial" w:cs="Arial" w:eastAsia="Arial" w:hAnsi="Arial"/>
                <w:sz w:val="18"/>
                <w:szCs w:val="18"/>
                <w:color w:val="auto"/>
              </w:rPr>
              <w:t>Contracts in progress</w:t>
            </w: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42,759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53,137</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Retainage</w:t>
            </w:r>
          </w:p>
        </w:tc>
        <w:tc>
          <w:tcPr>
            <w:tcW w:w="18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21,866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21,399</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7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80,599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93,263</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Allowance for doubtful accounts</w:t>
            </w:r>
          </w:p>
        </w:tc>
        <w:tc>
          <w:tcPr>
            <w:tcW w:w="1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(591)</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(747)</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Total accounts receivable—net</w:t>
            </w:r>
          </w:p>
        </w:tc>
        <w:tc>
          <w:tcPr>
            <w:tcW w:w="18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80,008</w:t>
            </w:r>
          </w:p>
        </w:tc>
        <w:tc>
          <w:tcPr>
            <w:tcW w:w="1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92,516</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560" w:type="dxa"/>
            <w:vAlign w:val="bottom"/>
            <w:tcBorders>
              <w:top w:val="single" w:sz="8" w:color="CFF0FC"/>
            </w:tcBorders>
          </w:tcPr>
          <w:p>
            <w:pPr>
              <w:spacing w:after="0" w:line="20" w:lineRule="exact"/>
              <w:rPr>
                <w:sz w:val="1"/>
                <w:szCs w:val="1"/>
                <w:color w:val="auto"/>
              </w:rPr>
            </w:pPr>
          </w:p>
        </w:tc>
        <w:tc>
          <w:tcPr>
            <w:tcW w:w="18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7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accounts receivable—net</w:t>
            </w:r>
          </w:p>
        </w:tc>
        <w:tc>
          <w:tcPr>
            <w:tcW w:w="216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75,533</w:t>
            </w:r>
          </w:p>
        </w:tc>
        <w:tc>
          <w:tcPr>
            <w:tcW w:w="1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88,091</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20" w:type="dxa"/>
            <w:vAlign w:val="bottom"/>
          </w:tcPr>
          <w:p>
            <w:pPr>
              <w:spacing w:after="0"/>
              <w:rPr>
                <w:sz w:val="19"/>
                <w:szCs w:val="19"/>
                <w:color w:val="auto"/>
              </w:rPr>
            </w:pPr>
          </w:p>
        </w:tc>
        <w:tc>
          <w:tcPr>
            <w:tcW w:w="3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8"/>
              </w:rPr>
              <w:t>Long-term accounts receivable and retainage</w:t>
            </w:r>
          </w:p>
        </w:tc>
        <w:tc>
          <w:tcPr>
            <w:tcW w:w="18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4,475</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4,425</w:t>
            </w:r>
          </w:p>
        </w:tc>
        <w:tc>
          <w:tcPr>
            <w:tcW w:w="80" w:type="dxa"/>
            <w:vAlign w:val="bottom"/>
            <w:tcBorders>
              <w:bottom w:val="single" w:sz="8" w:color="CFF0FC"/>
            </w:tcBorders>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7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Total accounts receivable—net</w:t>
            </w:r>
          </w:p>
        </w:tc>
        <w:tc>
          <w:tcPr>
            <w:tcW w:w="216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80,008</w:t>
            </w:r>
          </w:p>
        </w:tc>
        <w:tc>
          <w:tcPr>
            <w:tcW w:w="1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92,516</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560" w:type="dxa"/>
            <w:vAlign w:val="bottom"/>
            <w:tcBorders>
              <w:top w:val="single" w:sz="8" w:color="CFF0FC"/>
            </w:tcBorders>
          </w:tcPr>
          <w:p>
            <w:pPr>
              <w:spacing w:after="0" w:line="20" w:lineRule="exact"/>
              <w:rPr>
                <w:sz w:val="1"/>
                <w:szCs w:val="1"/>
                <w:color w:val="auto"/>
              </w:rPr>
            </w:pPr>
          </w:p>
        </w:tc>
        <w:tc>
          <w:tcPr>
            <w:tcW w:w="1880" w:type="dxa"/>
            <w:vAlign w:val="bottom"/>
            <w:tcBorders>
              <w:top w:val="single" w:sz="8" w:color="CFF0FC"/>
              <w:bottom w:val="single" w:sz="8" w:color="CFF0FC"/>
            </w:tcBorders>
            <w:vMerge w:val="restart"/>
          </w:tcPr>
          <w:p>
            <w:pPr>
              <w:jc w:val="right"/>
              <w:ind w:right="1271"/>
              <w:spacing w:after="0"/>
              <w:rPr>
                <w:sz w:val="20"/>
                <w:szCs w:val="20"/>
                <w:color w:val="auto"/>
              </w:rPr>
            </w:pPr>
            <w:r>
              <w:rPr>
                <w:rFonts w:ascii="Arial" w:cs="Arial" w:eastAsia="Arial" w:hAnsi="Arial"/>
                <w:sz w:val="18"/>
                <w:szCs w:val="18"/>
                <w:color w:val="auto"/>
              </w:rPr>
              <w:t>70</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17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9"/>
                <w:szCs w:val="9"/>
                <w:color w:val="auto"/>
              </w:rPr>
            </w:pPr>
          </w:p>
        </w:tc>
        <w:tc>
          <w:tcPr>
            <w:tcW w:w="356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40" w:right="219" w:bottom="1440" w:gutter="0" w:footer="0" w:header="0"/>
        </w:sectPr>
      </w:pPr>
    </w:p>
    <w:bookmarkStart w:id="72" w:name="page73"/>
    <w:bookmarkEnd w:id="72"/>
    <w:p>
      <w:pPr>
        <w:ind w:left="520"/>
        <w:spacing w:after="0"/>
        <w:rPr>
          <w:sz w:val="20"/>
          <w:szCs w:val="20"/>
          <w:color w:val="auto"/>
        </w:rPr>
      </w:pPr>
      <w:r>
        <w:rPr>
          <w:rFonts w:ascii="Arial" w:cs="Arial" w:eastAsia="Arial" w:hAnsi="Arial"/>
          <w:sz w:val="18"/>
          <w:szCs w:val="18"/>
          <w:color w:val="auto"/>
        </w:rPr>
        <w:t>The components of contracts in progress at December 31, 2017 and 2016 are as follows:</w:t>
      </w:r>
    </w:p>
    <w:p>
      <w:pPr>
        <w:spacing w:after="0" w:line="223" w:lineRule="exact"/>
        <w:rPr>
          <w:sz w:val="20"/>
          <w:szCs w:val="20"/>
          <w:color w:val="auto"/>
        </w:rPr>
      </w:pPr>
    </w:p>
    <w:tbl>
      <w:tblPr>
        <w:tblLayout w:type="fixed"/>
        <w:tblInd w:w="1720" w:type="dxa"/>
        <w:tblCellMar>
          <w:top w:w="0" w:type="dxa"/>
          <w:left w:w="0" w:type="dxa"/>
          <w:bottom w:w="0" w:type="dxa"/>
          <w:right w:w="0" w:type="dxa"/>
        </w:tblCellMar>
      </w:tblPr>
      <w:tr>
        <w:trPr>
          <w:trHeight w:val="169"/>
        </w:trPr>
        <w:tc>
          <w:tcPr>
            <w:tcW w:w="5000" w:type="dxa"/>
            <w:vAlign w:val="bottom"/>
            <w:tcBorders>
              <w:bottom w:val="single" w:sz="8" w:color="CFF0FC"/>
            </w:tcBorders>
          </w:tcPr>
          <w:p>
            <w:pPr>
              <w:spacing w:after="0"/>
              <w:rPr>
                <w:sz w:val="14"/>
                <w:szCs w:val="14"/>
                <w:color w:val="auto"/>
              </w:rPr>
            </w:pPr>
          </w:p>
        </w:tc>
        <w:tc>
          <w:tcPr>
            <w:tcW w:w="4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r>
      <w:tr>
        <w:trPr>
          <w:trHeight w:val="22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Costs and earnings in excess of billings:</w:t>
            </w: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6"/>
        </w:trPr>
        <w:tc>
          <w:tcPr>
            <w:tcW w:w="5000" w:type="dxa"/>
            <w:vAlign w:val="bottom"/>
          </w:tcPr>
          <w:p>
            <w:pPr>
              <w:ind w:left="240"/>
              <w:spacing w:after="0"/>
              <w:rPr>
                <w:sz w:val="20"/>
                <w:szCs w:val="20"/>
                <w:color w:val="auto"/>
              </w:rPr>
            </w:pPr>
            <w:r>
              <w:rPr>
                <w:rFonts w:ascii="Arial" w:cs="Arial" w:eastAsia="Arial" w:hAnsi="Arial"/>
                <w:sz w:val="18"/>
                <w:szCs w:val="18"/>
                <w:color w:val="auto"/>
              </w:rPr>
              <w:t>Costs and earnings for contracts in progress</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558,557</w:t>
            </w:r>
          </w:p>
        </w:tc>
        <w:tc>
          <w:tcPr>
            <w:tcW w:w="200" w:type="dxa"/>
            <w:vAlign w:val="bottom"/>
          </w:tcPr>
          <w:p>
            <w:pPr>
              <w:spacing w:after="0"/>
              <w:rPr>
                <w:sz w:val="19"/>
                <w:szCs w:val="19"/>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587,371</w:t>
            </w:r>
          </w:p>
        </w:tc>
        <w:tc>
          <w:tcPr>
            <w:tcW w:w="80" w:type="dxa"/>
            <w:vAlign w:val="bottom"/>
          </w:tcPr>
          <w:p>
            <w:pPr>
              <w:spacing w:after="0"/>
              <w:rPr>
                <w:sz w:val="19"/>
                <w:szCs w:val="19"/>
                <w:color w:val="auto"/>
              </w:rPr>
            </w:pPr>
          </w:p>
        </w:tc>
      </w:tr>
      <w:tr>
        <w:trPr>
          <w:trHeight w:val="227"/>
        </w:trPr>
        <w:tc>
          <w:tcPr>
            <w:tcW w:w="5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Amounts billed</w:t>
            </w: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(490,732)</w:t>
            </w: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(511,548)</w:t>
            </w:r>
          </w:p>
        </w:tc>
      </w:tr>
      <w:tr>
        <w:trPr>
          <w:trHeight w:val="219"/>
        </w:trPr>
        <w:tc>
          <w:tcPr>
            <w:tcW w:w="5000" w:type="dxa"/>
            <w:vAlign w:val="bottom"/>
          </w:tcPr>
          <w:p>
            <w:pPr>
              <w:spacing w:after="0"/>
              <w:rPr>
                <w:sz w:val="20"/>
                <w:szCs w:val="20"/>
                <w:color w:val="auto"/>
              </w:rPr>
            </w:pPr>
            <w:r>
              <w:rPr>
                <w:rFonts w:ascii="Arial" w:cs="Arial" w:eastAsia="Arial" w:hAnsi="Arial"/>
                <w:sz w:val="18"/>
                <w:szCs w:val="18"/>
                <w:color w:val="auto"/>
                <w:w w:val="97"/>
              </w:rPr>
              <w:t>Costs and earnings in excess of billings for contracts in progress</w:t>
            </w:r>
          </w:p>
        </w:tc>
        <w:tc>
          <w:tcPr>
            <w:tcW w:w="4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67,825</w:t>
            </w:r>
          </w:p>
        </w:tc>
        <w:tc>
          <w:tcPr>
            <w:tcW w:w="2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75,823</w:t>
            </w:r>
          </w:p>
        </w:tc>
        <w:tc>
          <w:tcPr>
            <w:tcW w:w="80" w:type="dxa"/>
            <w:vAlign w:val="bottom"/>
          </w:tcPr>
          <w:p>
            <w:pPr>
              <w:spacing w:after="0"/>
              <w:rPr>
                <w:sz w:val="19"/>
                <w:szCs w:val="19"/>
                <w:color w:val="auto"/>
              </w:rPr>
            </w:pPr>
          </w:p>
        </w:tc>
      </w:tr>
      <w:tr>
        <w:trPr>
          <w:trHeight w:val="227"/>
        </w:trPr>
        <w:tc>
          <w:tcPr>
            <w:tcW w:w="50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6"/>
        </w:trPr>
        <w:tc>
          <w:tcPr>
            <w:tcW w:w="5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8"/>
              </w:rPr>
              <w:t>Costs and earnings in excess of billings for completed contracts</w:t>
            </w:r>
          </w:p>
        </w:tc>
        <w:tc>
          <w:tcPr>
            <w:tcW w:w="4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22,963</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19,189</w:t>
            </w:r>
          </w:p>
        </w:tc>
        <w:tc>
          <w:tcPr>
            <w:tcW w:w="80" w:type="dxa"/>
            <w:vAlign w:val="bottom"/>
            <w:tcBorders>
              <w:bottom w:val="single" w:sz="8" w:color="CFF0FC"/>
            </w:tcBorders>
          </w:tcPr>
          <w:p>
            <w:pPr>
              <w:spacing w:after="0"/>
              <w:rPr>
                <w:sz w:val="19"/>
                <w:szCs w:val="19"/>
                <w:color w:val="auto"/>
              </w:rPr>
            </w:pPr>
          </w:p>
        </w:tc>
      </w:tr>
      <w:tr>
        <w:trPr>
          <w:trHeight w:val="221"/>
        </w:trPr>
        <w:tc>
          <w:tcPr>
            <w:tcW w:w="50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66"/>
        </w:trPr>
        <w:tc>
          <w:tcPr>
            <w:tcW w:w="5000" w:type="dxa"/>
            <w:vAlign w:val="bottom"/>
          </w:tcPr>
          <w:p>
            <w:pPr>
              <w:spacing w:after="0"/>
              <w:rPr>
                <w:sz w:val="20"/>
                <w:szCs w:val="20"/>
                <w:color w:val="auto"/>
              </w:rPr>
            </w:pPr>
            <w:r>
              <w:rPr>
                <w:rFonts w:ascii="Arial" w:cs="Arial" w:eastAsia="Arial" w:hAnsi="Arial"/>
                <w:sz w:val="18"/>
                <w:szCs w:val="18"/>
                <w:color w:val="auto"/>
              </w:rPr>
              <w:t>Total contract revenues in excess of billings</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90,788</w:t>
            </w:r>
          </w:p>
        </w:tc>
        <w:tc>
          <w:tcPr>
            <w:tcW w:w="200" w:type="dxa"/>
            <w:vAlign w:val="bottom"/>
          </w:tcPr>
          <w:p>
            <w:pPr>
              <w:spacing w:after="0"/>
              <w:rPr>
                <w:sz w:val="23"/>
                <w:szCs w:val="23"/>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95,012</w:t>
            </w:r>
          </w:p>
        </w:tc>
        <w:tc>
          <w:tcPr>
            <w:tcW w:w="80" w:type="dxa"/>
            <w:vAlign w:val="bottom"/>
          </w:tcPr>
          <w:p>
            <w:pPr>
              <w:spacing w:after="0"/>
              <w:rPr>
                <w:sz w:val="23"/>
                <w:szCs w:val="23"/>
                <w:color w:val="auto"/>
              </w:rPr>
            </w:pPr>
          </w:p>
        </w:tc>
      </w:tr>
      <w:tr>
        <w:trPr>
          <w:trHeight w:val="207"/>
        </w:trPr>
        <w:tc>
          <w:tcPr>
            <w:tcW w:w="500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26"/>
        </w:trPr>
        <w:tc>
          <w:tcPr>
            <w:tcW w:w="5000" w:type="dxa"/>
            <w:vAlign w:val="bottom"/>
          </w:tcPr>
          <w:p>
            <w:pPr>
              <w:spacing w:after="0"/>
              <w:rPr>
                <w:sz w:val="20"/>
                <w:szCs w:val="20"/>
                <w:color w:val="auto"/>
              </w:rPr>
            </w:pPr>
            <w:r>
              <w:rPr>
                <w:rFonts w:ascii="Arial" w:cs="Arial" w:eastAsia="Arial" w:hAnsi="Arial"/>
                <w:sz w:val="18"/>
                <w:szCs w:val="18"/>
                <w:color w:val="auto"/>
              </w:rPr>
              <w:t>Billings in excess of costs and earnings:</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7"/>
        </w:trPr>
        <w:tc>
          <w:tcPr>
            <w:tcW w:w="5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Amounts billed</w:t>
            </w: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(325,350)</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(268,754)</w:t>
            </w:r>
          </w:p>
        </w:tc>
      </w:tr>
      <w:tr>
        <w:trPr>
          <w:trHeight w:val="226"/>
        </w:trPr>
        <w:tc>
          <w:tcPr>
            <w:tcW w:w="50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Costs and earnings for contracts in progress</w:t>
            </w:r>
          </w:p>
        </w:tc>
        <w:tc>
          <w:tcPr>
            <w:tcW w:w="4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321,735</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263,613</w:t>
            </w:r>
          </w:p>
        </w:tc>
        <w:tc>
          <w:tcPr>
            <w:tcW w:w="80" w:type="dxa"/>
            <w:vAlign w:val="bottom"/>
            <w:tcBorders>
              <w:bottom w:val="single" w:sz="8" w:color="CFF0FC"/>
            </w:tcBorders>
          </w:tcPr>
          <w:p>
            <w:pPr>
              <w:spacing w:after="0"/>
              <w:rPr>
                <w:sz w:val="19"/>
                <w:szCs w:val="19"/>
                <w:color w:val="auto"/>
              </w:rPr>
            </w:pPr>
          </w:p>
        </w:tc>
      </w:tr>
      <w:tr>
        <w:trPr>
          <w:trHeight w:val="221"/>
        </w:trPr>
        <w:tc>
          <w:tcPr>
            <w:tcW w:w="50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6"/>
        </w:trPr>
        <w:tc>
          <w:tcPr>
            <w:tcW w:w="5000" w:type="dxa"/>
            <w:vAlign w:val="bottom"/>
          </w:tcPr>
          <w:p>
            <w:pPr>
              <w:spacing w:after="0"/>
              <w:rPr>
                <w:sz w:val="20"/>
                <w:szCs w:val="20"/>
                <w:color w:val="auto"/>
              </w:rPr>
            </w:pPr>
            <w:r>
              <w:rPr>
                <w:rFonts w:ascii="Arial" w:cs="Arial" w:eastAsia="Arial" w:hAnsi="Arial"/>
                <w:sz w:val="18"/>
                <w:szCs w:val="18"/>
                <w:color w:val="auto"/>
              </w:rPr>
              <w:t>Total billings in excess of contract revenues</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(3,615)</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(5,141)</w:t>
            </w:r>
          </w:p>
        </w:tc>
      </w:tr>
      <w:tr>
        <w:trPr>
          <w:trHeight w:val="20"/>
        </w:trPr>
        <w:tc>
          <w:tcPr>
            <w:tcW w:w="5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00" w:firstLine="761"/>
        <w:spacing w:after="0" w:line="252" w:lineRule="auto"/>
        <w:rPr>
          <w:sz w:val="20"/>
          <w:szCs w:val="20"/>
          <w:color w:val="auto"/>
        </w:rPr>
      </w:pPr>
      <w:r>
        <w:rPr>
          <w:rFonts w:ascii="Arial" w:cs="Arial" w:eastAsia="Arial" w:hAnsi="Arial"/>
          <w:sz w:val="18"/>
          <w:szCs w:val="18"/>
          <w:color w:val="auto"/>
        </w:rPr>
        <w:t>The Company has $17,860 included in costs in excess of billings that are dependent upon the sale of environmental credits earned for a wetland mitigation project. The sale of these credits is subject to market factors that could cause the amount of expected revenue to be higher or lower than currently estimated. If the amount of proceeds received from the sale of the environmental credits is lower than our expectations, we could sustain a loss of part or all of costs incurred related to this project. Additionally, the timing of realization may be impacted by the timing of a delay in the sale of these environmental credits, requiring a longer period required to recover our investment.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at December 31, 2017 and 2016 are as follows:</w:t>
      </w:r>
    </w:p>
    <w:p>
      <w:pPr>
        <w:spacing w:after="0" w:line="289" w:lineRule="exact"/>
        <w:rPr>
          <w:sz w:val="20"/>
          <w:szCs w:val="20"/>
          <w:color w:val="auto"/>
        </w:rPr>
      </w:pPr>
    </w:p>
    <w:tbl>
      <w:tblPr>
        <w:tblLayout w:type="fixed"/>
        <w:tblInd w:w="1720" w:type="dxa"/>
        <w:tblCellMar>
          <w:top w:w="0" w:type="dxa"/>
          <w:left w:w="0" w:type="dxa"/>
          <w:bottom w:w="0" w:type="dxa"/>
          <w:right w:w="0" w:type="dxa"/>
        </w:tblCellMar>
      </w:tblPr>
      <w:tr>
        <w:trPr>
          <w:trHeight w:val="169"/>
        </w:trPr>
        <w:tc>
          <w:tcPr>
            <w:tcW w:w="3900" w:type="dxa"/>
            <w:vAlign w:val="bottom"/>
            <w:vMerge w:val="restart"/>
          </w:tcPr>
          <w:p>
            <w:pPr>
              <w:spacing w:after="0"/>
              <w:rPr>
                <w:sz w:val="20"/>
                <w:szCs w:val="20"/>
                <w:color w:val="auto"/>
              </w:rPr>
            </w:pPr>
            <w:r>
              <w:rPr>
                <w:rFonts w:ascii="Arial" w:cs="Arial" w:eastAsia="Arial" w:hAnsi="Arial"/>
                <w:sz w:val="18"/>
                <w:szCs w:val="18"/>
                <w:color w:val="auto"/>
              </w:rPr>
              <w:t>Land</w:t>
            </w:r>
          </w:p>
        </w:tc>
        <w:tc>
          <w:tcPr>
            <w:tcW w:w="15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900" w:type="dxa"/>
            <w:vAlign w:val="bottom"/>
            <w:vMerge w:val="continue"/>
          </w:tcPr>
          <w:p>
            <w:pPr>
              <w:spacing w:after="0"/>
              <w:rPr>
                <w:sz w:val="19"/>
                <w:szCs w:val="19"/>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9,992</w:t>
            </w:r>
          </w:p>
        </w:tc>
        <w:tc>
          <w:tcPr>
            <w:tcW w:w="120" w:type="dxa"/>
            <w:vAlign w:val="bottom"/>
          </w:tcPr>
          <w:p>
            <w:pPr>
              <w:spacing w:after="0"/>
              <w:rPr>
                <w:sz w:val="19"/>
                <w:szCs w:val="19"/>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9,992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Buildings and improvements</w:t>
            </w:r>
          </w:p>
        </w:tc>
        <w:tc>
          <w:tcPr>
            <w:tcW w:w="1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12,990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Operating equipment</w:t>
            </w:r>
          </w:p>
        </w:tc>
        <w:tc>
          <w:tcPr>
            <w:tcW w:w="15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805,748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788,989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property and equipment</w:t>
            </w:r>
          </w:p>
        </w:tc>
        <w:tc>
          <w:tcPr>
            <w:tcW w:w="15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833,822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816,112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1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(426,528)</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(403,104)</w:t>
            </w:r>
          </w:p>
        </w:tc>
        <w:tc>
          <w:tcPr>
            <w:tcW w:w="0" w:type="dxa"/>
            <w:vAlign w:val="bottom"/>
          </w:tcPr>
          <w:p>
            <w:pPr>
              <w:spacing w:after="0"/>
              <w:rPr>
                <w:sz w:val="1"/>
                <w:szCs w:val="1"/>
                <w:color w:val="auto"/>
              </w:rPr>
            </w:pPr>
          </w:p>
        </w:tc>
      </w:tr>
      <w:tr>
        <w:trPr>
          <w:trHeight w:val="221"/>
        </w:trPr>
        <w:tc>
          <w:tcPr>
            <w:tcW w:w="39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 net</w:t>
            </w: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407,294</w:t>
            </w:r>
          </w:p>
        </w:tc>
        <w:tc>
          <w:tcPr>
            <w:tcW w:w="1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413,008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00" w:firstLine="518"/>
        <w:spacing w:after="0" w:line="279" w:lineRule="auto"/>
        <w:rPr>
          <w:sz w:val="20"/>
          <w:szCs w:val="20"/>
          <w:color w:val="auto"/>
        </w:rPr>
      </w:pPr>
      <w:r>
        <w:rPr>
          <w:rFonts w:ascii="Arial" w:cs="Arial" w:eastAsia="Arial" w:hAnsi="Arial"/>
          <w:sz w:val="17"/>
          <w:szCs w:val="17"/>
          <w:color w:val="auto"/>
        </w:rPr>
        <w:t>Operating equipment of $8,530 and $9,299 was classified as held for sale, excluded from property and equipment, as of December 31, 2017 and 2016, respectively. A $2,330 and $2,744 loss was recorded to (gain) loss on sale of assets—net for held for sale assets reclassified from property and equipment representing the fair value less cost to sell for the years ended December 31, 2017 and 2016, respectively.</w:t>
      </w:r>
    </w:p>
    <w:p>
      <w:pPr>
        <w:spacing w:after="0" w:line="2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expense was $59,927, $61,694 and $58,050, for the years ended December 31, 2017, 2016 and 2015, respectively.</w:t>
      </w:r>
    </w:p>
    <w:p>
      <w:pPr>
        <w:spacing w:after="0" w:line="286" w:lineRule="exact"/>
        <w:rPr>
          <w:sz w:val="20"/>
          <w:szCs w:val="20"/>
          <w:color w:val="auto"/>
        </w:rPr>
      </w:pPr>
    </w:p>
    <w:p>
      <w:pPr>
        <w:ind w:right="900" w:firstLine="518"/>
        <w:spacing w:after="0" w:line="267" w:lineRule="auto"/>
        <w:rPr>
          <w:sz w:val="20"/>
          <w:szCs w:val="20"/>
          <w:color w:val="auto"/>
        </w:rPr>
      </w:pPr>
      <w:r>
        <w:rPr>
          <w:rFonts w:ascii="Arial" w:cs="Arial" w:eastAsia="Arial" w:hAnsi="Arial"/>
          <w:sz w:val="18"/>
          <w:szCs w:val="18"/>
          <w:color w:val="auto"/>
        </w:rPr>
        <w:t>For more information about changes in assets held for sale and depreciation expense related to the Company’s restructuring refer to Note 13, Restructuring Charges.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OTHER INTANGIBLE ASSETS</w:t>
      </w:r>
    </w:p>
    <w:p>
      <w:pPr>
        <w:spacing w:after="0" w:line="23" w:lineRule="exact"/>
        <w:rPr>
          <w:sz w:val="20"/>
          <w:szCs w:val="20"/>
          <w:color w:val="auto"/>
        </w:rPr>
      </w:pPr>
    </w:p>
    <w:p>
      <w:pPr>
        <w:ind w:firstLine="518"/>
        <w:spacing w:after="0" w:line="251" w:lineRule="auto"/>
        <w:rPr>
          <w:sz w:val="20"/>
          <w:szCs w:val="20"/>
          <w:color w:val="auto"/>
        </w:rPr>
      </w:pPr>
      <w:r>
        <w:rPr>
          <w:rFonts w:ascii="Arial" w:cs="Arial" w:eastAsia="Arial" w:hAnsi="Arial"/>
          <w:sz w:val="18"/>
          <w:szCs w:val="18"/>
          <w:color w:val="auto"/>
        </w:rPr>
        <w:t>The Company’s annual goodwill impairment test is conducted in the third quarter of each year and interim evaluations are performed when the Company determines that a triggering event has occurred that would more likely than not reduce the fair value of goodwill below its carrying value. The Company performed its annual goodwill impairment test as of July 1, 2017 with no indication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67" w:right="239" w:bottom="1440" w:gutter="0" w:footer="0" w:header="0"/>
        </w:sectPr>
      </w:pPr>
    </w:p>
    <w:bookmarkStart w:id="73" w:name="page74"/>
    <w:bookmarkEnd w:id="73"/>
    <w:p>
      <w:pPr>
        <w:ind w:right="320"/>
        <w:spacing w:after="0" w:line="331" w:lineRule="auto"/>
        <w:rPr>
          <w:sz w:val="20"/>
          <w:szCs w:val="20"/>
          <w:color w:val="auto"/>
        </w:rPr>
      </w:pPr>
      <w:r>
        <w:rPr>
          <w:rFonts w:ascii="Arial" w:cs="Arial" w:eastAsia="Arial" w:hAnsi="Arial"/>
          <w:sz w:val="16"/>
          <w:szCs w:val="16"/>
          <w:color w:val="auto"/>
        </w:rPr>
        <w:t>of impairment. As of the test date, the fair value of the remaining reporting units was in excess of their carrying values. The Company will perform its next scheduled annual test of goodwill in the third quarter of 2018 should no triggering events occur which would require a test prior to the next annual test.</w:t>
      </w:r>
    </w:p>
    <w:p>
      <w:pPr>
        <w:spacing w:after="0" w:line="133" w:lineRule="exact"/>
        <w:rPr>
          <w:sz w:val="20"/>
          <w:szCs w:val="20"/>
          <w:color w:val="auto"/>
        </w:rPr>
      </w:pPr>
    </w:p>
    <w:p>
      <w:pPr>
        <w:ind w:right="20" w:firstLine="518"/>
        <w:spacing w:after="0" w:line="267" w:lineRule="auto"/>
        <w:rPr>
          <w:sz w:val="20"/>
          <w:szCs w:val="20"/>
          <w:color w:val="auto"/>
        </w:rPr>
      </w:pPr>
      <w:r>
        <w:rPr>
          <w:rFonts w:ascii="Arial" w:cs="Arial" w:eastAsia="Arial" w:hAnsi="Arial"/>
          <w:sz w:val="17"/>
          <w:szCs w:val="17"/>
          <w:color w:val="auto"/>
        </w:rPr>
        <w:t>During 2015, due to a decline in the overall financial performance and declining cash flows in the Terra reporting unit, the Company concluded there was a triggering event that required an interim goodwill impairment test for the reporting unit. The Company performed step one of the goodwill impairment test as of June 30, 2015, which compared the fair value of the Terra reporting unit against its carrying amount, including goodwill. In deriving the fair value of the Terra reporting unit, the Company used both a market-based approach and an income-based approach. Under the income approach, the fair value of the reporting unit is based on the present value of estimated future cash flows. Under the market approach, the Company uses the guideline public company method by applying estimated market-based enterprise value multiples to the reporting unit’s estimated revenue and Adjusted EBITDA from continuing operations. Based on the first step analysis, management concluded that the fair value of the Terra reporting unit was less than its carrying value; therefore, the Company performed step two of the goodwill impairment analysis.</w:t>
      </w:r>
    </w:p>
    <w:p>
      <w:pPr>
        <w:spacing w:after="0" w:line="181"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Step two of the goodwill impairment analysis measures the impairment charge by allocating the reporting unit’s fair value to all of the assets and liabilities of the reporting unit in a hypothetical analysis that calculates implied fair value of goodwill in the same manner as if the reporting unit was being acquired in a business combination. Any excess of the carrying value of the reporting unit’s goodwill over the implied fair value of the reporting unit’s goodwill is recorded as a loss on impairment of goodwill.</w:t>
      </w:r>
    </w:p>
    <w:p>
      <w:pPr>
        <w:spacing w:after="0" w:line="191" w:lineRule="exact"/>
        <w:rPr>
          <w:sz w:val="20"/>
          <w:szCs w:val="20"/>
          <w:color w:val="auto"/>
        </w:rPr>
      </w:pPr>
    </w:p>
    <w:p>
      <w:pPr>
        <w:ind w:right="120" w:firstLine="518"/>
        <w:spacing w:after="0" w:line="267" w:lineRule="auto"/>
        <w:rPr>
          <w:sz w:val="20"/>
          <w:szCs w:val="20"/>
          <w:color w:val="auto"/>
        </w:rPr>
      </w:pPr>
      <w:r>
        <w:rPr>
          <w:rFonts w:ascii="Arial" w:cs="Arial" w:eastAsia="Arial" w:hAnsi="Arial"/>
          <w:sz w:val="18"/>
          <w:szCs w:val="18"/>
          <w:color w:val="auto"/>
        </w:rPr>
        <w:t>Management determined that the Terra reporting unit’s implied fair value of goodwill was below the carrying value as of June 30, 2015. As a result, the Company recorded an impairment charge of $2,750 in the second quarter of 2015.</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change in the carrying amount of goodwill during the years ended December 31, 2017 and 2016 is as follows:</w:t>
      </w:r>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Dredging Segment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Environmental &amp;</w:t>
            </w:r>
          </w:p>
        </w:tc>
        <w:tc>
          <w:tcPr>
            <w:tcW w:w="280" w:type="dxa"/>
            <w:vAlign w:val="bottom"/>
          </w:tcPr>
          <w:p>
            <w:pPr>
              <w:spacing w:after="0"/>
              <w:rPr>
                <w:sz w:val="14"/>
                <w:szCs w:val="14"/>
                <w:color w:val="auto"/>
              </w:rPr>
            </w:pPr>
          </w:p>
        </w:tc>
        <w:tc>
          <w:tcPr>
            <w:tcW w:w="98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Total</w:t>
            </w:r>
          </w:p>
        </w:tc>
        <w:tc>
          <w:tcPr>
            <w:tcW w:w="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80" w:type="dxa"/>
            <w:vAlign w:val="bottom"/>
            <w:tcBorders>
              <w:bottom w:val="single" w:sz="8" w:color="CFF0FC"/>
            </w:tcBorders>
          </w:tcPr>
          <w:p>
            <w:pPr>
              <w:spacing w:after="0"/>
              <w:rPr>
                <w:sz w:val="14"/>
                <w:szCs w:val="14"/>
                <w:color w:val="auto"/>
              </w:rPr>
            </w:pPr>
          </w:p>
        </w:tc>
        <w:tc>
          <w:tcPr>
            <w:tcW w:w="128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Infrastructure Segment</w:t>
            </w:r>
          </w:p>
        </w:tc>
        <w:tc>
          <w:tcPr>
            <w:tcW w:w="1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Balance - January 1, 2015</w:t>
            </w:r>
          </w:p>
        </w:tc>
        <w:tc>
          <w:tcPr>
            <w:tcW w:w="440" w:type="dxa"/>
            <w:vAlign w:val="bottom"/>
            <w:shd w:val="clear" w:color="auto" w:fill="CFF0FC"/>
          </w:tcPr>
          <w:p>
            <w:pPr>
              <w:jc w:val="right"/>
              <w:ind w:right="257"/>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76,576</w:t>
            </w:r>
          </w:p>
        </w:tc>
        <w:tc>
          <w:tcPr>
            <w:tcW w:w="3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9,750</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80" w:type="dxa"/>
            <w:vAlign w:val="bottom"/>
          </w:tcPr>
          <w:p>
            <w:pPr>
              <w:ind w:left="120"/>
              <w:spacing w:after="0"/>
              <w:rPr>
                <w:sz w:val="20"/>
                <w:szCs w:val="20"/>
                <w:color w:val="auto"/>
              </w:rPr>
            </w:pPr>
            <w:r>
              <w:rPr>
                <w:rFonts w:ascii="Arial" w:cs="Arial" w:eastAsia="Arial" w:hAnsi="Arial"/>
                <w:sz w:val="18"/>
                <w:szCs w:val="18"/>
                <w:color w:val="auto"/>
              </w:rPr>
              <w:t>Impairment of goodwill</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(2,750)</w:t>
            </w:r>
          </w:p>
        </w:tc>
        <w:tc>
          <w:tcPr>
            <w:tcW w:w="2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21"/>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December 31, 2016</w:t>
            </w: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76,576</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7,000</w:t>
            </w:r>
          </w:p>
        </w:tc>
        <w:tc>
          <w:tcPr>
            <w:tcW w:w="1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83,576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80" w:type="dxa"/>
            <w:vAlign w:val="bottom"/>
          </w:tcPr>
          <w:p>
            <w:pPr>
              <w:spacing w:after="0"/>
              <w:rPr>
                <w:sz w:val="20"/>
                <w:szCs w:val="20"/>
                <w:color w:val="auto"/>
              </w:rPr>
            </w:pPr>
            <w:r>
              <w:rPr>
                <w:rFonts w:ascii="Arial" w:cs="Arial" w:eastAsia="Arial" w:hAnsi="Arial"/>
                <w:sz w:val="18"/>
                <w:szCs w:val="18"/>
                <w:color w:val="auto"/>
              </w:rPr>
              <w:t>Balance - December 31, 2017</w:t>
            </w:r>
          </w:p>
        </w:tc>
        <w:tc>
          <w:tcPr>
            <w:tcW w:w="440" w:type="dxa"/>
            <w:vAlign w:val="bottom"/>
          </w:tcPr>
          <w:p>
            <w:pPr>
              <w:jc w:val="right"/>
              <w:ind w:right="257"/>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76,576</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7,000</w:t>
            </w:r>
          </w:p>
        </w:tc>
        <w:tc>
          <w:tcPr>
            <w:tcW w:w="18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83,576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December 31, 2017 and 2016, the net book value of identifiable intangible assets was as follows:</w:t>
      </w:r>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As of December 31, 2017</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Cost</w:t>
            </w:r>
          </w:p>
        </w:tc>
        <w:tc>
          <w:tcPr>
            <w:tcW w:w="2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4"/>
                <w:szCs w:val="14"/>
                <w:color w:val="auto"/>
              </w:rPr>
            </w:pPr>
          </w:p>
        </w:tc>
        <w:tc>
          <w:tcPr>
            <w:tcW w:w="96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Net</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7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Non-compete agreements</w:t>
            </w: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1,753</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b w:val="1"/>
                <w:bCs w:val="1"/>
                <w:color w:val="auto"/>
              </w:rPr>
              <w:t>As of December 31, 2016</w:t>
            </w: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47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Non-compete agreements</w:t>
            </w: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1,317</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1,659</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ind w:firstLine="761"/>
        <w:spacing w:after="0" w:line="257" w:lineRule="auto"/>
        <w:rPr>
          <w:sz w:val="20"/>
          <w:szCs w:val="20"/>
          <w:color w:val="auto"/>
        </w:rPr>
      </w:pPr>
      <w:r>
        <w:rPr>
          <w:rFonts w:ascii="Arial" w:cs="Arial" w:eastAsia="Arial" w:hAnsi="Arial"/>
          <w:sz w:val="18"/>
          <w:szCs w:val="18"/>
          <w:color w:val="auto"/>
        </w:rPr>
        <w:t>Amortization expense was $591, $1,329 and $6,535, for the years ended December 31, 2017, 2016 and 2015, respectively, and is included as a component of general and administrative expenses. Amortization expense related to intangible assets is estimated to be $534 in 2018, $214 in 2019, $80 in 2020 and $80 in 2021.</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7. ACCRUED EXPENSES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at December 31, 2017 and 2016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20" w:type="dxa"/>
            <w:vAlign w:val="bottom"/>
          </w:tcPr>
          <w:p>
            <w:pPr>
              <w:spacing w:after="0"/>
              <w:rPr>
                <w:sz w:val="14"/>
                <w:szCs w:val="14"/>
                <w:color w:val="auto"/>
              </w:rPr>
            </w:pPr>
          </w:p>
        </w:tc>
        <w:tc>
          <w:tcPr>
            <w:tcW w:w="4620" w:type="dxa"/>
            <w:vAlign w:val="bottom"/>
            <w:tcBorders>
              <w:bottom w:val="single" w:sz="8" w:color="CFF0FC"/>
            </w:tcBorders>
          </w:tcPr>
          <w:p>
            <w:pPr>
              <w:spacing w:after="0"/>
              <w:rPr>
                <w:sz w:val="14"/>
                <w:szCs w:val="14"/>
                <w:color w:val="auto"/>
              </w:rPr>
            </w:pPr>
          </w:p>
        </w:tc>
        <w:tc>
          <w:tcPr>
            <w:tcW w:w="8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17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Insurance</w:t>
            </w:r>
          </w:p>
        </w:tc>
        <w:tc>
          <w:tcPr>
            <w:tcW w:w="1080" w:type="dxa"/>
            <w:vAlign w:val="bottom"/>
            <w:gridSpan w:val="2"/>
            <w:shd w:val="clear" w:color="auto" w:fill="CFF0FC"/>
          </w:tcPr>
          <w:p>
            <w:pPr>
              <w:jc w:val="right"/>
              <w:ind w:right="118"/>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22,941</w:t>
            </w:r>
          </w:p>
        </w:tc>
        <w:tc>
          <w:tcPr>
            <w:tcW w:w="20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jc w:val="right"/>
              <w:ind w:right="9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18,114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340" w:type="dxa"/>
            <w:vAlign w:val="bottom"/>
            <w:gridSpan w:val="2"/>
          </w:tcPr>
          <w:p>
            <w:pPr>
              <w:ind w:left="1720"/>
              <w:spacing w:after="0"/>
              <w:rPr>
                <w:sz w:val="20"/>
                <w:szCs w:val="20"/>
                <w:color w:val="auto"/>
              </w:rPr>
            </w:pPr>
            <w:r>
              <w:rPr>
                <w:rFonts w:ascii="Arial" w:cs="Arial" w:eastAsia="Arial" w:hAnsi="Arial"/>
                <w:sz w:val="18"/>
                <w:szCs w:val="18"/>
                <w:color w:val="auto"/>
              </w:rPr>
              <w:t>Payroll and employee benefits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8,747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1720" w:type="dxa"/>
            <w:vAlign w:val="bottom"/>
          </w:tcPr>
          <w:p>
            <w:pPr>
              <w:spacing w:after="0"/>
              <w:rPr>
                <w:sz w:val="24"/>
                <w:szCs w:val="24"/>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Accrued rent</w:t>
            </w:r>
          </w:p>
        </w:tc>
        <w:tc>
          <w:tcPr>
            <w:tcW w:w="860" w:type="dxa"/>
            <w:vAlign w:val="bottom"/>
            <w:tcBorders>
              <w:right w:val="single" w:sz="8" w:color="CFF0FC"/>
            </w:tcBorders>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6,519</w:t>
            </w:r>
          </w:p>
        </w:tc>
        <w:tc>
          <w:tcPr>
            <w:tcW w:w="200" w:type="dxa"/>
            <w:vAlign w:val="bottom"/>
            <w:tcBorders>
              <w:right w:val="single" w:sz="8" w:color="CFF0FC"/>
            </w:tcBorders>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w:t>
            </w:r>
          </w:p>
        </w:tc>
        <w:tc>
          <w:tcPr>
            <w:tcW w:w="8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340" w:type="dxa"/>
            <w:vAlign w:val="bottom"/>
            <w:gridSpan w:val="2"/>
          </w:tcPr>
          <w:p>
            <w:pPr>
              <w:ind w:left="1720"/>
              <w:spacing w:after="0"/>
              <w:rPr>
                <w:sz w:val="20"/>
                <w:szCs w:val="20"/>
                <w:color w:val="auto"/>
              </w:rPr>
            </w:pPr>
            <w:r>
              <w:rPr>
                <w:rFonts w:ascii="Arial" w:cs="Arial" w:eastAsia="Arial" w:hAnsi="Arial"/>
                <w:sz w:val="18"/>
                <w:szCs w:val="18"/>
                <w:color w:val="auto"/>
              </w:rPr>
              <w:t>Interest</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4,210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Percentage of completion adjustment</w:t>
            </w:r>
          </w:p>
        </w:tc>
        <w:tc>
          <w:tcPr>
            <w:tcW w:w="86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3,591</w:t>
            </w:r>
          </w:p>
        </w:tc>
        <w:tc>
          <w:tcPr>
            <w:tcW w:w="20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340" w:type="dxa"/>
            <w:vAlign w:val="bottom"/>
            <w:gridSpan w:val="2"/>
          </w:tcPr>
          <w:p>
            <w:pPr>
              <w:ind w:left="1720"/>
              <w:spacing w:after="0"/>
              <w:rPr>
                <w:sz w:val="20"/>
                <w:szCs w:val="20"/>
                <w:color w:val="auto"/>
              </w:rPr>
            </w:pPr>
            <w:r>
              <w:rPr>
                <w:rFonts w:ascii="Arial" w:cs="Arial" w:eastAsia="Arial" w:hAnsi="Arial"/>
                <w:sz w:val="18"/>
                <w:szCs w:val="18"/>
                <w:color w:val="auto"/>
              </w:rPr>
              <w:t>Income and other taxes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2,794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 in joint venture</w:t>
            </w:r>
          </w:p>
        </w:tc>
        <w:tc>
          <w:tcPr>
            <w:tcW w:w="86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17,016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20" w:type="dxa"/>
            <w:vAlign w:val="bottom"/>
          </w:tcPr>
          <w:p>
            <w:pPr>
              <w:spacing w:after="0"/>
              <w:rPr>
                <w:sz w:val="19"/>
                <w:szCs w:val="19"/>
                <w:color w:val="auto"/>
              </w:rPr>
            </w:pPr>
          </w:p>
        </w:tc>
        <w:tc>
          <w:tcPr>
            <w:tcW w:w="4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7,416</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7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Total accrued expenses</w:t>
            </w:r>
          </w:p>
        </w:tc>
        <w:tc>
          <w:tcPr>
            <w:tcW w:w="1080" w:type="dxa"/>
            <w:vAlign w:val="bottom"/>
            <w:gridSpan w:val="2"/>
            <w:shd w:val="clear" w:color="auto" w:fill="CFF0FC"/>
          </w:tcPr>
          <w:p>
            <w:pPr>
              <w:jc w:val="right"/>
              <w:ind w:right="118"/>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56,218</w:t>
            </w:r>
          </w:p>
        </w:tc>
        <w:tc>
          <w:tcPr>
            <w:tcW w:w="20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jc w:val="right"/>
              <w:ind w:right="9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620" w:type="dxa"/>
            <w:vAlign w:val="bottom"/>
            <w:shd w:val="clear" w:color="auto" w:fill="CFF0FC"/>
          </w:tcPr>
          <w:p>
            <w:pPr>
              <w:spacing w:after="0" w:line="20" w:lineRule="exact"/>
              <w:rPr>
                <w:sz w:val="1"/>
                <w:szCs w:val="1"/>
                <w:color w:val="auto"/>
              </w:rPr>
            </w:pPr>
          </w:p>
        </w:tc>
        <w:tc>
          <w:tcPr>
            <w:tcW w:w="86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LONG-TERM DEBT</w:t>
            </w:r>
          </w:p>
        </w:tc>
        <w:tc>
          <w:tcPr>
            <w:tcW w:w="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3"/>
        </w:trPr>
        <w:tc>
          <w:tcPr>
            <w:tcW w:w="634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6340" w:type="dxa"/>
            <w:vAlign w:val="bottom"/>
            <w:gridSpan w:val="2"/>
          </w:tcPr>
          <w:p>
            <w:pPr>
              <w:ind w:left="520"/>
              <w:spacing w:after="0"/>
              <w:rPr>
                <w:sz w:val="20"/>
                <w:szCs w:val="20"/>
                <w:color w:val="auto"/>
              </w:rPr>
            </w:pPr>
            <w:r>
              <w:rPr>
                <w:rFonts w:ascii="Arial" w:cs="Arial" w:eastAsia="Arial" w:hAnsi="Arial"/>
                <w:sz w:val="18"/>
                <w:szCs w:val="18"/>
                <w:color w:val="auto"/>
              </w:rPr>
              <w:t>Long-term debt at December 31, 2017 and 2016 is as follows:</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6340" w:type="dxa"/>
            <w:vAlign w:val="bottom"/>
            <w:gridSpan w:val="2"/>
            <w:vMerge w:val="restart"/>
          </w:tcPr>
          <w:p>
            <w:pPr>
              <w:ind w:left="1720"/>
              <w:spacing w:after="0"/>
              <w:rPr>
                <w:sz w:val="20"/>
                <w:szCs w:val="20"/>
                <w:color w:val="auto"/>
              </w:rPr>
            </w:pPr>
            <w:r>
              <w:rPr>
                <w:rFonts w:ascii="Arial" w:cs="Arial" w:eastAsia="Arial" w:hAnsi="Arial"/>
                <w:sz w:val="18"/>
                <w:szCs w:val="18"/>
                <w:color w:val="auto"/>
              </w:rPr>
              <w:t>Revolving credit facility</w:t>
            </w:r>
          </w:p>
        </w:tc>
        <w:tc>
          <w:tcPr>
            <w:tcW w:w="8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340" w:type="dxa"/>
            <w:vAlign w:val="bottom"/>
            <w:gridSpan w:val="2"/>
            <w:vMerge w:val="continue"/>
          </w:tcPr>
          <w:p>
            <w:pPr>
              <w:spacing w:after="0"/>
              <w:rPr>
                <w:sz w:val="19"/>
                <w:szCs w:val="19"/>
                <w:color w:val="auto"/>
              </w:rPr>
            </w:pPr>
          </w:p>
        </w:tc>
        <w:tc>
          <w:tcPr>
            <w:tcW w:w="1080" w:type="dxa"/>
            <w:vAlign w:val="bottom"/>
            <w:gridSpan w:val="2"/>
          </w:tcPr>
          <w:p>
            <w:pPr>
              <w:jc w:val="right"/>
              <w:ind w:right="158"/>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95,000</w:t>
            </w:r>
          </w:p>
        </w:tc>
        <w:tc>
          <w:tcPr>
            <w:tcW w:w="200" w:type="dxa"/>
            <w:vAlign w:val="bottom"/>
          </w:tcPr>
          <w:p>
            <w:pPr>
              <w:spacing w:after="0"/>
              <w:rPr>
                <w:sz w:val="19"/>
                <w:szCs w:val="19"/>
                <w:color w:val="auto"/>
              </w:rPr>
            </w:pPr>
          </w:p>
        </w:tc>
        <w:tc>
          <w:tcPr>
            <w:tcW w:w="240" w:type="dxa"/>
            <w:vAlign w:val="bottom"/>
          </w:tcPr>
          <w:p>
            <w:pPr>
              <w:jc w:val="right"/>
              <w:ind w:right="11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104,111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Equipment notes payable</w:t>
            </w:r>
          </w:p>
        </w:tc>
        <w:tc>
          <w:tcPr>
            <w:tcW w:w="86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2,318</w:t>
            </w:r>
          </w:p>
        </w:tc>
        <w:tc>
          <w:tcPr>
            <w:tcW w:w="20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340" w:type="dxa"/>
            <w:vAlign w:val="bottom"/>
            <w:gridSpan w:val="2"/>
          </w:tcPr>
          <w:p>
            <w:pPr>
              <w:ind w:left="1720"/>
              <w:spacing w:after="0"/>
              <w:rPr>
                <w:sz w:val="20"/>
                <w:szCs w:val="20"/>
                <w:color w:val="auto"/>
              </w:rPr>
            </w:pPr>
            <w:r>
              <w:rPr>
                <w:rFonts w:ascii="Arial" w:cs="Arial" w:eastAsia="Arial" w:hAnsi="Arial"/>
                <w:sz w:val="18"/>
                <w:szCs w:val="18"/>
                <w:color w:val="auto"/>
              </w:rPr>
              <w:t>Notes payable</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13,296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8% senior notes</w:t>
            </w:r>
          </w:p>
        </w:tc>
        <w:tc>
          <w:tcPr>
            <w:tcW w:w="86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321,057</w:t>
            </w:r>
          </w:p>
        </w:tc>
        <w:tc>
          <w:tcPr>
            <w:tcW w:w="20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340" w:type="dxa"/>
            <w:vAlign w:val="bottom"/>
            <w:gridSpan w:val="2"/>
          </w:tcPr>
          <w:p>
            <w:pPr>
              <w:ind w:left="1720"/>
              <w:spacing w:after="0"/>
              <w:rPr>
                <w:sz w:val="20"/>
                <w:szCs w:val="20"/>
                <w:color w:val="auto"/>
              </w:rPr>
            </w:pPr>
            <w:r>
              <w:rPr>
                <w:rFonts w:ascii="Arial" w:cs="Arial" w:eastAsia="Arial" w:hAnsi="Arial"/>
                <w:sz w:val="18"/>
                <w:szCs w:val="18"/>
                <w:color w:val="auto"/>
              </w:rPr>
              <w:t>7.375% senior notes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272,998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20" w:type="dxa"/>
            <w:vAlign w:val="bottom"/>
          </w:tcPr>
          <w:p>
            <w:pPr>
              <w:spacing w:after="0"/>
              <w:rPr>
                <w:sz w:val="19"/>
                <w:szCs w:val="19"/>
                <w:color w:val="auto"/>
              </w:rPr>
            </w:pPr>
          </w:p>
        </w:tc>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Subtotal</w:t>
            </w:r>
          </w:p>
        </w:tc>
        <w:tc>
          <w:tcPr>
            <w:tcW w:w="860" w:type="dxa"/>
            <w:vAlign w:val="bottom"/>
            <w:tcBorders>
              <w:top w:val="single" w:sz="8" w:color="CFF0FC"/>
              <w:right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431,671</w:t>
            </w:r>
          </w:p>
        </w:tc>
        <w:tc>
          <w:tcPr>
            <w:tcW w:w="200" w:type="dxa"/>
            <w:vAlign w:val="bottom"/>
            <w:tcBorders>
              <w:top w:val="single" w:sz="8" w:color="CFF0FC"/>
              <w:right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394,227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40" w:type="dxa"/>
            <w:vAlign w:val="bottom"/>
            <w:gridSpan w:val="2"/>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equipment note payable</w:t>
            </w:r>
          </w:p>
        </w:tc>
        <w:tc>
          <w:tcPr>
            <w:tcW w:w="86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(1,546)</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26"/>
        </w:trPr>
        <w:tc>
          <w:tcPr>
            <w:tcW w:w="6340" w:type="dxa"/>
            <w:vAlign w:val="bottom"/>
            <w:gridSpan w:val="2"/>
          </w:tcPr>
          <w:p>
            <w:pPr>
              <w:ind w:left="1720"/>
              <w:spacing w:after="0"/>
              <w:rPr>
                <w:sz w:val="20"/>
                <w:szCs w:val="20"/>
                <w:color w:val="auto"/>
              </w:rPr>
            </w:pPr>
            <w:r>
              <w:rPr>
                <w:rFonts w:ascii="Arial" w:cs="Arial" w:eastAsia="Arial" w:hAnsi="Arial"/>
                <w:sz w:val="18"/>
                <w:szCs w:val="18"/>
                <w:color w:val="auto"/>
              </w:rPr>
              <w:t>Current portion of note payable</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(1,212)</w:t>
            </w:r>
          </w:p>
        </w:tc>
        <w:tc>
          <w:tcPr>
            <w:tcW w:w="2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Capital leases (included in other long term liabilities)</w:t>
            </w:r>
          </w:p>
        </w:tc>
        <w:tc>
          <w:tcPr>
            <w:tcW w:w="86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(772)</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19"/>
        </w:trPr>
        <w:tc>
          <w:tcPr>
            <w:tcW w:w="6340" w:type="dxa"/>
            <w:vAlign w:val="bottom"/>
            <w:gridSpan w:val="2"/>
          </w:tcPr>
          <w:p>
            <w:pPr>
              <w:ind w:left="1720"/>
              <w:spacing w:after="0"/>
              <w:rPr>
                <w:sz w:val="20"/>
                <w:szCs w:val="20"/>
                <w:color w:val="auto"/>
              </w:rPr>
            </w:pPr>
            <w:r>
              <w:rPr>
                <w:rFonts w:ascii="Arial" w:cs="Arial" w:eastAsia="Arial" w:hAnsi="Arial"/>
                <w:sz w:val="18"/>
                <w:szCs w:val="18"/>
                <w:color w:val="auto"/>
              </w:rPr>
              <w:t>Total</w:t>
            </w:r>
          </w:p>
        </w:tc>
        <w:tc>
          <w:tcPr>
            <w:tcW w:w="8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4"/>
                <w:szCs w:val="4"/>
                <w:color w:val="auto"/>
                <w:w w:val="87"/>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428,141</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390,402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Credit agreement</w:t>
      </w:r>
    </w:p>
    <w:p>
      <w:pPr>
        <w:spacing w:after="0" w:line="17" w:lineRule="exact"/>
        <w:rPr>
          <w:sz w:val="20"/>
          <w:szCs w:val="20"/>
          <w:color w:val="auto"/>
        </w:rPr>
      </w:pPr>
    </w:p>
    <w:p>
      <w:pPr>
        <w:ind w:firstLine="518"/>
        <w:spacing w:after="0" w:line="281" w:lineRule="auto"/>
        <w:rPr>
          <w:sz w:val="20"/>
          <w:szCs w:val="20"/>
          <w:color w:val="auto"/>
        </w:rPr>
      </w:pPr>
      <w:r>
        <w:rPr>
          <w:rFonts w:ascii="Arial" w:cs="Arial" w:eastAsia="Arial" w:hAnsi="Arial"/>
          <w:sz w:val="16"/>
          <w:szCs w:val="16"/>
          <w:color w:val="auto"/>
        </w:rPr>
        <w:t>On December 30, 2016, the Company, Great Lakes Dredge &amp; Dock Company, LLC, NASDI Holdings, LLC, Great Lakes Dredge &amp; Dock Environmental, Inc., Great Lakes Environmental &amp; Infrastructure Solutions, LLC and Great Lakes Environmental &amp; Infrastructure, LLC (collectively, the “Credit Parties”) entered into a revolving credit and security agreement, as subsequently amended, (the “Credit Agreement”) with certain financial institutions from time to time party thereto as lenders, PNC Bank, National Association, as Agent, PNC Capital Markets, The PrivateBank and Trust Company, Suntrust Robinson Humphrey, Inc., Capital One, National Association and Bank of America, N.A., as Joint Lead Arrangers and Joint Bookrunners, Texas Capital Bank, National Association, as Syndication Agent and Woodforest National Bank, as Documentation Agent. The Credit Agreement, which replaced the Company’s former revolving credit agreement, provides for a senior secured revolving credit facility in an aggregate principal amount of up to $250,000, subfacilities for the issuance of standby letters of credit up to a $250,000 sublimit and swingline loans up to a $25,000 sublimit. The maximum borrowing capacity under the Credit Agreement is determined by a formula and may fluctuate depending on the value of the collateral included in such formula at the time of determination. The Credit Agreement also includes an increase option that will allow the Company to increase the senior secured revolving credit facility by an aggregate principal amount of up to $100,000. This increase is subject to lenders providing incremental commitments for such increase, the Credit Parties having adequate borrowing capacity and provided that no default or event of default exists both before and after giving effect to such incremental commitment increase.</w:t>
      </w:r>
    </w:p>
    <w:p>
      <w:pPr>
        <w:spacing w:after="0" w:line="178" w:lineRule="exact"/>
        <w:rPr>
          <w:sz w:val="20"/>
          <w:szCs w:val="20"/>
          <w:color w:val="auto"/>
        </w:rPr>
      </w:pPr>
    </w:p>
    <w:p>
      <w:pPr>
        <w:ind w:right="100" w:firstLine="518"/>
        <w:spacing w:after="0" w:line="251" w:lineRule="auto"/>
        <w:rPr>
          <w:sz w:val="20"/>
          <w:szCs w:val="20"/>
          <w:color w:val="auto"/>
        </w:rPr>
      </w:pPr>
      <w:r>
        <w:rPr>
          <w:rFonts w:ascii="Arial" w:cs="Arial" w:eastAsia="Arial" w:hAnsi="Arial"/>
          <w:sz w:val="18"/>
          <w:szCs w:val="18"/>
          <w:color w:val="auto"/>
        </w:rPr>
        <w:t>On December 6, 2017, the Company and the Credit Parties entered into a Consent and Amendment No. 3 (the “Credit Amendment”) to the Credit Agreement with the Agent, and the other required lenders thereunder. The Credit Amendment was entered into to, among other things, obtain consent from the required lenders under the Credit Agreement to permit the Company to consummate certain asset sales, retirements and other restructuring activities described therein, as part of the Company’s plan to reduce overhead, retire certain underperforming and underutilized assets and close out the Company’s Brazilian operations (see Note 13, Restructuring Charges). This consent is subject to a number of important conditions, qualifications, limitations and exceptions that are described in the Credit Amendment.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5" w:name="page76"/>
    <w:bookmarkEnd w:id="75"/>
    <w:p>
      <w:pPr>
        <w:ind w:right="240" w:firstLine="518"/>
        <w:spacing w:after="0" w:line="267" w:lineRule="auto"/>
        <w:rPr>
          <w:sz w:val="20"/>
          <w:szCs w:val="20"/>
          <w:color w:val="auto"/>
        </w:rPr>
      </w:pPr>
      <w:r>
        <w:rPr>
          <w:rFonts w:ascii="Arial" w:cs="Arial" w:eastAsia="Arial" w:hAnsi="Arial"/>
          <w:sz w:val="17"/>
          <w:szCs w:val="17"/>
          <w:color w:val="auto"/>
        </w:rPr>
        <w:t>The Credit Amendment also amends the Credit Agreement to provide that (i) with respect to the Company’s 2017 and 2018 fiscal years, upon written election from the Company to Agent, including supporting documentation in form and substance satisfactory to Agent, up to an aggregate of $20,000 of expenses related to the buy-out of operating leases shall not constitute capital expenditures under the Credit Agreement; and (ii) if the amount of capital expenditures incurred by all Credit Parties in fiscal year 2017 does not exceed $75,000 then any amount remaining may be carried forward to be incurred in fiscal year 2018; provided further that, the aggregate amount of all capital expenditures incurred by all Credit Parties in fiscal years 2017 and 2018 does not exceed $135,000. Additionally, the Credit Amendment contains acknowledgments and agreements from the Agent and the required lenders with respect to certain EBITDA add-backs for fiscal years 2017 and 2018 described therein.</w:t>
      </w:r>
    </w:p>
    <w:p>
      <w:pPr>
        <w:spacing w:after="0" w:line="185" w:lineRule="exact"/>
        <w:rPr>
          <w:sz w:val="20"/>
          <w:szCs w:val="20"/>
          <w:color w:val="auto"/>
        </w:rPr>
      </w:pPr>
    </w:p>
    <w:p>
      <w:pPr>
        <w:ind w:firstLine="518"/>
        <w:spacing w:after="0" w:line="283" w:lineRule="auto"/>
        <w:rPr>
          <w:sz w:val="20"/>
          <w:szCs w:val="20"/>
          <w:color w:val="auto"/>
        </w:rPr>
      </w:pPr>
      <w:r>
        <w:rPr>
          <w:rFonts w:ascii="Arial" w:cs="Arial" w:eastAsia="Arial" w:hAnsi="Arial"/>
          <w:sz w:val="16"/>
          <w:szCs w:val="16"/>
          <w:color w:val="auto"/>
        </w:rPr>
        <w:t>The Credit Agreement contains customary representations and affirmative and negative covenants, including a springing financial covenant that requires the Credit Parties to maintain a fixed charge coverage ratio (ratio of earnings before income taxes, depreciation and amortization, net interest expenses, non-cash charges and losses and certain other non-recurring charges, minus capital expenditures, income and franchise taxes, to net cash interest expense plus scheduled cash principal payments with respect to debt plus restricted payments paid in cash) of not more than 1.10 to 1.00. The Company is required to maintain this ratio if its availability under the Credit Agreement falls below $31,250 for five consecutive days or $25,000 for one day. The Credit Parties are also restricted in the amount of capital expenditures they may make in each of the next three fiscal years. The Credit Agreement also contains customary events of default (including non-payment of principal or interest on any material debt and breaches of covenants) as well as events of default relating to certain actions by the Company’s surety bonding providers. The obligations of the Credit Parties under the Credit Agreement will be unconditionally guaranteed, on a joint and several basis, by each existing and subsequently acquired or formed material direct and indirect domestic subsidiary of the Company. Borrowings under the Credit Agreement have been or will be used to refinance existing indebtedness under the Company’s former revolving credit agreement, refinance existing indebtedness under the Company’s former term loan agreement, pay fees and expenses related to the Credit Agreement, finance acquisitions permitted under the Credit Agreement, finance ongoing working capital and for other general corporate purposes. The Credit Agreement matures on December 30, 2019.</w:t>
      </w:r>
    </w:p>
    <w:p>
      <w:pPr>
        <w:spacing w:after="0" w:line="170" w:lineRule="exact"/>
        <w:rPr>
          <w:sz w:val="20"/>
          <w:szCs w:val="20"/>
          <w:color w:val="auto"/>
        </w:rPr>
      </w:pPr>
    </w:p>
    <w:p>
      <w:pPr>
        <w:ind w:right="100" w:firstLine="518"/>
        <w:spacing w:after="0" w:line="254" w:lineRule="auto"/>
        <w:rPr>
          <w:sz w:val="20"/>
          <w:szCs w:val="20"/>
          <w:color w:val="auto"/>
        </w:rPr>
      </w:pPr>
      <w:r>
        <w:rPr>
          <w:rFonts w:ascii="Arial" w:cs="Arial" w:eastAsia="Arial" w:hAnsi="Arial"/>
          <w:sz w:val="18"/>
          <w:szCs w:val="18"/>
          <w:color w:val="auto"/>
        </w:rPr>
        <w:t>The obligations under the Credit Agreement are secured by substantially all of the assets of the Credit Parties. The outstanding obligations thereunder shall be secured by a valid first priority perfected lien on substantially all of the vessels of the Credit Parties and a valid perfected lien on all domestic accounts receivable and substantially all other assets of the Credit Parties, subject to the permitted liens and interests of other parties (including the Company’s surety bonding provider).</w:t>
      </w:r>
    </w:p>
    <w:p>
      <w:pPr>
        <w:spacing w:after="0" w:line="191" w:lineRule="exact"/>
        <w:rPr>
          <w:sz w:val="20"/>
          <w:szCs w:val="20"/>
          <w:color w:val="auto"/>
        </w:rPr>
      </w:pPr>
    </w:p>
    <w:p>
      <w:pPr>
        <w:ind w:right="80" w:firstLine="518"/>
        <w:spacing w:after="0" w:line="267" w:lineRule="auto"/>
        <w:rPr>
          <w:sz w:val="20"/>
          <w:szCs w:val="20"/>
          <w:color w:val="auto"/>
        </w:rPr>
      </w:pPr>
      <w:r>
        <w:rPr>
          <w:rFonts w:ascii="Arial" w:cs="Arial" w:eastAsia="Arial" w:hAnsi="Arial"/>
          <w:sz w:val="17"/>
          <w:szCs w:val="17"/>
          <w:color w:val="auto"/>
        </w:rPr>
        <w:t>Interest on the senior secured revolving credit facility of the Credit Agreement is equal to either a Base Rate option or LIBOR option, at the Company’s election. The Base Rate option is (1) the base commercial lending rate of PNC Bank, National Association, as publically announced plus (2)(a) an interest margin of 2.0% or (b) after the date on which a borrowing base certificate is required to be delivered under Section 9.2 of the Credit Agreement (commencing with the fiscal quarter ending December 31, 2017, the “Adjustment Date”), an interest margin ranging between 1.5% and 2.0% depending on the quarterly average undrawn availability on the senior secured revolving credit facility. The LIBOR option is the sum of (1) LIBOR and (2) (a) an interest margin of 3.0% or (b) after the Adjustment Date, an interest rate margin ranging between 2.5% to 3.0% per annum depending on the quarterly average undrawn availability on the senior secured revolving credit facility. The Credit Agreement is subject to an unused fee ranging from 0.25% to 0.375% per annum depending on the amount of average daily outstandings under the senior secured revolving credit facility.</w:t>
      </w:r>
    </w:p>
    <w:p>
      <w:pPr>
        <w:spacing w:after="0" w:line="181" w:lineRule="exact"/>
        <w:rPr>
          <w:sz w:val="20"/>
          <w:szCs w:val="20"/>
          <w:color w:val="auto"/>
        </w:rPr>
      </w:pPr>
    </w:p>
    <w:p>
      <w:pPr>
        <w:ind w:right="100" w:firstLine="518"/>
        <w:spacing w:after="0" w:line="267" w:lineRule="auto"/>
        <w:rPr>
          <w:sz w:val="20"/>
          <w:szCs w:val="20"/>
          <w:color w:val="auto"/>
        </w:rPr>
      </w:pPr>
      <w:r>
        <w:rPr>
          <w:rFonts w:ascii="Arial" w:cs="Arial" w:eastAsia="Arial" w:hAnsi="Arial"/>
          <w:sz w:val="18"/>
          <w:szCs w:val="18"/>
          <w:color w:val="auto"/>
        </w:rPr>
        <w:t>As of December 31, 2017, the Company had $95,000 of borrowings on the revolver and $34,290 of letters of credit outstanding, resulting in $76,819 of availability under the Credit Agreement.</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Prior revolving credit agreement and term loan facility</w:t>
      </w:r>
    </w:p>
    <w:p>
      <w:pPr>
        <w:spacing w:after="0" w:line="220"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conjunction with the Credit Agreement entered into on December 30, 2016, the senior revolving credit agreement with an aggregate principal amount of up to $199,000 and the senior secured term loan facility consisting of a term loan in an aggregate principal amount of $50,000 was paid in full. Depending on the Company’s consolidated leverage ratio, previous borrowings under the revolving credit facility bore interest at the option of the Company at either a LIBOR rate plus a margin of between 1.50% to 2.50% per annum or a base rate plus a margin of between 0.50% to 1.50% per annum. The previous borrowings under the Term Loan Facility bore interest at a fixed rate of 4.655% per annum.</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Senior notes</w:t>
      </w:r>
    </w:p>
    <w:p>
      <w:pPr>
        <w:spacing w:after="0" w:line="220" w:lineRule="exact"/>
        <w:rPr>
          <w:sz w:val="20"/>
          <w:szCs w:val="20"/>
          <w:color w:val="auto"/>
        </w:rPr>
      </w:pPr>
    </w:p>
    <w:p>
      <w:pPr>
        <w:ind w:right="140" w:firstLine="518"/>
        <w:spacing w:after="0" w:line="295" w:lineRule="auto"/>
        <w:rPr>
          <w:sz w:val="20"/>
          <w:szCs w:val="20"/>
          <w:color w:val="auto"/>
        </w:rPr>
      </w:pPr>
      <w:r>
        <w:rPr>
          <w:rFonts w:ascii="Arial" w:cs="Arial" w:eastAsia="Arial" w:hAnsi="Arial"/>
          <w:sz w:val="16"/>
          <w:szCs w:val="16"/>
          <w:color w:val="auto"/>
        </w:rPr>
        <w:t>The Company has outstanding $325,000 of 8.000% senior notes (“8% Senior Notes”) due May 15, 2022. The 8% Senior Notes were issued at 100% of face value resulting in net proceeds of $321,653, net of underwriting fees. In connection with the issuance of the 8% Senior Notes, the Company retired all of its $275,000 of 7.375% senior notes due February 2019 for $282,638, which included a tender premium and accrued and unpaid interest. The Company used the remaining net proceeds from the debt offering to reduce the Company’s indebtedness under its Credit Agreement.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76" w:name="page77"/>
    <w:bookmarkEnd w:id="76"/>
    <w:p>
      <w:pPr>
        <w:ind w:left="520"/>
        <w:spacing w:after="0"/>
        <w:rPr>
          <w:sz w:val="20"/>
          <w:szCs w:val="20"/>
          <w:color w:val="auto"/>
        </w:rPr>
      </w:pPr>
      <w:r>
        <w:rPr>
          <w:rFonts w:ascii="Arial" w:cs="Arial" w:eastAsia="Arial" w:hAnsi="Arial"/>
          <w:sz w:val="18"/>
          <w:szCs w:val="18"/>
          <w:i w:val="1"/>
          <w:iCs w:val="1"/>
          <w:color w:val="auto"/>
        </w:rPr>
        <w:t>Other</w:t>
      </w:r>
    </w:p>
    <w:p>
      <w:pPr>
        <w:spacing w:after="0" w:line="220" w:lineRule="exact"/>
        <w:rPr>
          <w:sz w:val="20"/>
          <w:szCs w:val="20"/>
          <w:color w:val="auto"/>
        </w:rPr>
      </w:pPr>
    </w:p>
    <w:p>
      <w:pPr>
        <w:ind w:right="160" w:firstLine="518"/>
        <w:spacing w:after="0" w:line="297" w:lineRule="auto"/>
        <w:rPr>
          <w:sz w:val="20"/>
          <w:szCs w:val="20"/>
          <w:color w:val="auto"/>
        </w:rPr>
      </w:pPr>
      <w:r>
        <w:rPr>
          <w:rFonts w:ascii="Arial" w:cs="Arial" w:eastAsia="Arial" w:hAnsi="Arial"/>
          <w:sz w:val="17"/>
          <w:szCs w:val="17"/>
          <w:color w:val="auto"/>
        </w:rPr>
        <w:t>The Company enters into note arrangements to finance certain vessels and ancillary equipment. During the first quarter of 2015, the Company financed the $15,569 acquisition of a vessel previously under an operating lease with a note bearing interest at 5.75% to maturity in 2023.</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scheduled principal payments through the maturity date of the Company’s long-term debt, excluding equipment notes and capital leases, at</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are as follows:</w:t>
      </w:r>
    </w:p>
    <w:p>
      <w:pPr>
        <w:spacing w:after="0" w:line="212" w:lineRule="exact"/>
        <w:rPr>
          <w:sz w:val="20"/>
          <w:szCs w:val="20"/>
          <w:color w:val="auto"/>
        </w:rPr>
      </w:pPr>
    </w:p>
    <w:tbl>
      <w:tblPr>
        <w:tblLayout w:type="fixed"/>
        <w:tblInd w:w="2300" w:type="dxa"/>
        <w:tblCellMar>
          <w:top w:w="0" w:type="dxa"/>
          <w:left w:w="0" w:type="dxa"/>
          <w:bottom w:w="0" w:type="dxa"/>
          <w:right w:w="0" w:type="dxa"/>
        </w:tblCellMar>
      </w:tblPr>
      <w:tr>
        <w:trPr>
          <w:trHeight w:val="169"/>
        </w:trPr>
        <w:tc>
          <w:tcPr>
            <w:tcW w:w="3620" w:type="dxa"/>
            <w:vAlign w:val="bottom"/>
          </w:tcPr>
          <w:p>
            <w:pPr>
              <w:spacing w:after="0"/>
              <w:rPr>
                <w:sz w:val="20"/>
                <w:szCs w:val="20"/>
                <w:color w:val="auto"/>
              </w:rPr>
            </w:pPr>
            <w:r>
              <w:rPr>
                <w:rFonts w:ascii="Arial" w:cs="Arial" w:eastAsia="Arial" w:hAnsi="Arial"/>
                <w:sz w:val="14"/>
                <w:szCs w:val="14"/>
                <w:b w:val="1"/>
                <w:bCs w:val="1"/>
                <w:color w:val="auto"/>
              </w:rPr>
              <w:t>Years Ending December 31,</w:t>
            </w:r>
          </w:p>
        </w:tc>
        <w:tc>
          <w:tcPr>
            <w:tcW w:w="1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7"/>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2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1,212</w:t>
            </w:r>
          </w:p>
        </w:tc>
        <w:tc>
          <w:tcPr>
            <w:tcW w:w="60" w:type="dxa"/>
            <w:vAlign w:val="bottom"/>
            <w:shd w:val="clear" w:color="auto" w:fill="CFF0FC"/>
          </w:tcPr>
          <w:p>
            <w:pPr>
              <w:spacing w:after="0"/>
              <w:rPr>
                <w:sz w:val="19"/>
                <w:szCs w:val="19"/>
                <w:color w:val="auto"/>
              </w:rPr>
            </w:pPr>
          </w:p>
        </w:tc>
      </w:tr>
      <w:tr>
        <w:trPr>
          <w:trHeight w:val="226"/>
        </w:trPr>
        <w:tc>
          <w:tcPr>
            <w:tcW w:w="3620" w:type="dxa"/>
            <w:vAlign w:val="bottom"/>
          </w:tcPr>
          <w:p>
            <w:pPr>
              <w:spacing w:after="0"/>
              <w:rPr>
                <w:sz w:val="20"/>
                <w:szCs w:val="20"/>
                <w:color w:val="auto"/>
              </w:rPr>
            </w:pPr>
            <w:r>
              <w:rPr>
                <w:rFonts w:ascii="Arial" w:cs="Arial" w:eastAsia="Arial" w:hAnsi="Arial"/>
                <w:sz w:val="18"/>
                <w:szCs w:val="18"/>
                <w:color w:val="auto"/>
              </w:rPr>
              <w:t>2019</w:t>
            </w:r>
          </w:p>
        </w:tc>
        <w:tc>
          <w:tcPr>
            <w:tcW w:w="1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96,502</w:t>
            </w:r>
          </w:p>
        </w:tc>
        <w:tc>
          <w:tcPr>
            <w:tcW w:w="60" w:type="dxa"/>
            <w:vAlign w:val="bottom"/>
          </w:tcPr>
          <w:p>
            <w:pPr>
              <w:spacing w:after="0"/>
              <w:rPr>
                <w:sz w:val="19"/>
                <w:szCs w:val="19"/>
                <w:color w:val="auto"/>
              </w:rPr>
            </w:pPr>
          </w:p>
        </w:tc>
      </w:tr>
      <w:tr>
        <w:trPr>
          <w:trHeight w:val="227"/>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9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1,816</w:t>
            </w:r>
          </w:p>
        </w:tc>
        <w:tc>
          <w:tcPr>
            <w:tcW w:w="60" w:type="dxa"/>
            <w:vAlign w:val="bottom"/>
            <w:shd w:val="clear" w:color="auto" w:fill="CFF0FC"/>
          </w:tcPr>
          <w:p>
            <w:pPr>
              <w:spacing w:after="0"/>
              <w:rPr>
                <w:sz w:val="19"/>
                <w:szCs w:val="19"/>
                <w:color w:val="auto"/>
              </w:rPr>
            </w:pPr>
          </w:p>
        </w:tc>
      </w:tr>
      <w:tr>
        <w:trPr>
          <w:trHeight w:val="226"/>
        </w:trPr>
        <w:tc>
          <w:tcPr>
            <w:tcW w:w="3620" w:type="dxa"/>
            <w:vAlign w:val="bottom"/>
          </w:tcPr>
          <w:p>
            <w:pPr>
              <w:spacing w:after="0"/>
              <w:rPr>
                <w:sz w:val="20"/>
                <w:szCs w:val="20"/>
                <w:color w:val="auto"/>
              </w:rPr>
            </w:pPr>
            <w:r>
              <w:rPr>
                <w:rFonts w:ascii="Arial" w:cs="Arial" w:eastAsia="Arial" w:hAnsi="Arial"/>
                <w:sz w:val="18"/>
                <w:szCs w:val="18"/>
                <w:color w:val="auto"/>
              </w:rPr>
              <w:t>2021</w:t>
            </w:r>
          </w:p>
        </w:tc>
        <w:tc>
          <w:tcPr>
            <w:tcW w:w="1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1,922</w:t>
            </w:r>
          </w:p>
        </w:tc>
        <w:tc>
          <w:tcPr>
            <w:tcW w:w="60" w:type="dxa"/>
            <w:vAlign w:val="bottom"/>
          </w:tcPr>
          <w:p>
            <w:pPr>
              <w:spacing w:after="0"/>
              <w:rPr>
                <w:sz w:val="19"/>
                <w:szCs w:val="19"/>
                <w:color w:val="auto"/>
              </w:rPr>
            </w:pPr>
          </w:p>
        </w:tc>
      </w:tr>
      <w:tr>
        <w:trPr>
          <w:trHeight w:val="227"/>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9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327,035</w:t>
            </w:r>
          </w:p>
        </w:tc>
        <w:tc>
          <w:tcPr>
            <w:tcW w:w="60" w:type="dxa"/>
            <w:vAlign w:val="bottom"/>
            <w:shd w:val="clear" w:color="auto" w:fill="CFF0FC"/>
          </w:tcPr>
          <w:p>
            <w:pPr>
              <w:spacing w:after="0"/>
              <w:rPr>
                <w:sz w:val="19"/>
                <w:szCs w:val="19"/>
                <w:color w:val="auto"/>
              </w:rPr>
            </w:pPr>
          </w:p>
        </w:tc>
      </w:tr>
      <w:tr>
        <w:trPr>
          <w:trHeight w:val="226"/>
        </w:trPr>
        <w:tc>
          <w:tcPr>
            <w:tcW w:w="3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9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4,843</w:t>
            </w:r>
          </w:p>
        </w:tc>
        <w:tc>
          <w:tcPr>
            <w:tcW w:w="60" w:type="dxa"/>
            <w:vAlign w:val="bottom"/>
            <w:tcBorders>
              <w:bottom w:val="single" w:sz="8" w:color="CFF0FC"/>
            </w:tcBorders>
          </w:tcPr>
          <w:p>
            <w:pPr>
              <w:spacing w:after="0"/>
              <w:rPr>
                <w:sz w:val="19"/>
                <w:szCs w:val="19"/>
                <w:color w:val="auto"/>
              </w:rPr>
            </w:pPr>
          </w:p>
        </w:tc>
      </w:tr>
      <w:tr>
        <w:trPr>
          <w:trHeight w:val="22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2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433,330</w:t>
            </w:r>
          </w:p>
        </w:tc>
        <w:tc>
          <w:tcPr>
            <w:tcW w:w="60" w:type="dxa"/>
            <w:vAlign w:val="bottom"/>
            <w:shd w:val="clear" w:color="auto" w:fill="CFF0FC"/>
          </w:tcPr>
          <w:p>
            <w:pPr>
              <w:spacing w:after="0"/>
              <w:rPr>
                <w:sz w:val="19"/>
                <w:szCs w:val="19"/>
                <w:color w:val="auto"/>
              </w:rPr>
            </w:pPr>
          </w:p>
        </w:tc>
      </w:tr>
      <w:tr>
        <w:trPr>
          <w:trHeight w:val="20"/>
        </w:trPr>
        <w:tc>
          <w:tcPr>
            <w:tcW w:w="3620" w:type="dxa"/>
            <w:vAlign w:val="bottom"/>
            <w:tcBorders>
              <w:top w:val="single" w:sz="8" w:color="CFF0FC"/>
            </w:tcBorders>
          </w:tcPr>
          <w:p>
            <w:pPr>
              <w:spacing w:after="0" w:line="20" w:lineRule="exact"/>
              <w:rPr>
                <w:sz w:val="1"/>
                <w:szCs w:val="1"/>
                <w:color w:val="auto"/>
              </w:rPr>
            </w:pPr>
          </w:p>
        </w:tc>
        <w:tc>
          <w:tcPr>
            <w:tcW w:w="19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41" w:lineRule="exact"/>
        <w:rPr>
          <w:sz w:val="20"/>
          <w:szCs w:val="20"/>
          <w:color w:val="auto"/>
        </w:rPr>
      </w:pPr>
    </w:p>
    <w:p>
      <w:pPr>
        <w:ind w:right="20" w:firstLine="518"/>
        <w:spacing w:after="0" w:line="267" w:lineRule="auto"/>
        <w:rPr>
          <w:sz w:val="20"/>
          <w:szCs w:val="20"/>
          <w:color w:val="auto"/>
        </w:rPr>
      </w:pPr>
      <w:r>
        <w:rPr>
          <w:rFonts w:ascii="Arial" w:cs="Arial" w:eastAsia="Arial" w:hAnsi="Arial"/>
          <w:sz w:val="18"/>
          <w:szCs w:val="18"/>
          <w:color w:val="auto"/>
        </w:rPr>
        <w:t>The Company incurred amortization of deferred financing fees for its long term debt of $3,280, $2,438 and $1,729 for each of the years ended December 31, 2017, 2016 and 2015. Such amortization is recorded as a component of interest expense.</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119" w:lineRule="exact"/>
        <w:rPr>
          <w:sz w:val="20"/>
          <w:szCs w:val="20"/>
          <w:color w:val="auto"/>
        </w:rPr>
      </w:pPr>
    </w:p>
    <w:p>
      <w:pPr>
        <w:ind w:right="140" w:firstLine="518"/>
        <w:spacing w:after="0" w:line="273"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13" w:lineRule="exact"/>
        <w:rPr>
          <w:sz w:val="20"/>
          <w:szCs w:val="20"/>
          <w:color w:val="auto"/>
        </w:rPr>
      </w:pPr>
    </w:p>
    <w:p>
      <w:pPr>
        <w:ind w:right="120"/>
        <w:spacing w:after="0" w:line="297" w:lineRule="auto"/>
        <w:rPr>
          <w:sz w:val="20"/>
          <w:szCs w:val="20"/>
          <w:color w:val="auto"/>
        </w:rPr>
      </w:pPr>
      <w:r>
        <w:rPr>
          <w:rFonts w:ascii="Arial" w:cs="Arial" w:eastAsia="Arial" w:hAnsi="Arial"/>
          <w:sz w:val="17"/>
          <w:szCs w:val="17"/>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220" w:lineRule="exact"/>
        <w:rPr>
          <w:sz w:val="20"/>
          <w:szCs w:val="20"/>
          <w:color w:val="auto"/>
        </w:rPr>
      </w:pPr>
    </w:p>
    <w:p>
      <w:pPr>
        <w:ind w:right="340" w:firstLine="518"/>
        <w:spacing w:after="0" w:line="254" w:lineRule="auto"/>
        <w:rPr>
          <w:sz w:val="20"/>
          <w:szCs w:val="20"/>
          <w:color w:val="auto"/>
        </w:rPr>
      </w:pPr>
      <w:r>
        <w:rPr>
          <w:rFonts w:ascii="Arial" w:cs="Arial" w:eastAsia="Arial" w:hAnsi="Arial"/>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times, the Company holds certain derivative contracts that it uses to manage foreign currency risk or commodity price risk. The Company does not hold or issue derivatives for speculative or trading purposes. The fair values of these financial instruments are summarized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gridSpan w:val="7"/>
          </w:tcPr>
          <w:p>
            <w:pPr>
              <w:jc w:val="right"/>
              <w:ind w:right="249"/>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2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jc w:val="center"/>
              <w:ind w:right="320"/>
              <w:spacing w:after="0" w:line="131" w:lineRule="exact"/>
              <w:rPr>
                <w:sz w:val="20"/>
                <w:szCs w:val="20"/>
                <w:color w:val="auto"/>
              </w:rPr>
            </w:pPr>
            <w:r>
              <w:rPr>
                <w:rFonts w:ascii="Arial" w:cs="Arial" w:eastAsia="Arial" w:hAnsi="Arial"/>
                <w:sz w:val="14"/>
                <w:szCs w:val="14"/>
                <w:b w:val="1"/>
                <w:bCs w:val="1"/>
                <w:color w:val="auto"/>
                <w:w w:val="91"/>
              </w:rPr>
              <w:t>Quoted Prices in</w:t>
            </w:r>
          </w:p>
        </w:tc>
        <w:tc>
          <w:tcPr>
            <w:tcW w:w="12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Significant Other</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vMerge w:val="restart"/>
          </w:tcPr>
          <w:p>
            <w:pPr>
              <w:jc w:val="center"/>
              <w:ind w:left="149"/>
              <w:spacing w:after="0"/>
              <w:rPr>
                <w:sz w:val="20"/>
                <w:szCs w:val="20"/>
                <w:color w:val="auto"/>
              </w:rPr>
            </w:pPr>
            <w:r>
              <w:rPr>
                <w:rFonts w:ascii="Arial" w:cs="Arial" w:eastAsia="Arial" w:hAnsi="Arial"/>
                <w:sz w:val="14"/>
                <w:szCs w:val="14"/>
                <w:b w:val="1"/>
                <w:bCs w:val="1"/>
                <w:color w:val="auto"/>
                <w:w w:val="89"/>
              </w:rPr>
              <w:t>Significant</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58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jc w:val="right"/>
              <w:ind w:right="41"/>
              <w:spacing w:after="0"/>
              <w:rPr>
                <w:sz w:val="20"/>
                <w:szCs w:val="20"/>
                <w:color w:val="auto"/>
              </w:rPr>
            </w:pPr>
            <w:r>
              <w:rPr>
                <w:rFonts w:ascii="Arial" w:cs="Arial" w:eastAsia="Arial" w:hAnsi="Arial"/>
                <w:sz w:val="14"/>
                <w:szCs w:val="14"/>
                <w:b w:val="1"/>
                <w:bCs w:val="1"/>
                <w:color w:val="auto"/>
                <w:w w:val="91"/>
              </w:rPr>
              <w:t>At December 31,</w:t>
            </w:r>
          </w:p>
        </w:tc>
        <w:tc>
          <w:tcPr>
            <w:tcW w:w="220" w:type="dxa"/>
            <w:vAlign w:val="bottom"/>
          </w:tcPr>
          <w:p>
            <w:pPr>
              <w:spacing w:after="0"/>
              <w:rPr>
                <w:sz w:val="12"/>
                <w:szCs w:val="12"/>
                <w:color w:val="auto"/>
              </w:rPr>
            </w:pPr>
          </w:p>
        </w:tc>
        <w:tc>
          <w:tcPr>
            <w:tcW w:w="1440" w:type="dxa"/>
            <w:vAlign w:val="bottom"/>
            <w:gridSpan w:val="3"/>
          </w:tcPr>
          <w:p>
            <w:pPr>
              <w:jc w:val="center"/>
              <w:ind w:right="220"/>
              <w:spacing w:after="0" w:line="147" w:lineRule="exact"/>
              <w:rPr>
                <w:sz w:val="20"/>
                <w:szCs w:val="20"/>
                <w:color w:val="auto"/>
              </w:rPr>
            </w:pPr>
            <w:r>
              <w:rPr>
                <w:rFonts w:ascii="Arial" w:cs="Arial" w:eastAsia="Arial" w:hAnsi="Arial"/>
                <w:sz w:val="14"/>
                <w:szCs w:val="14"/>
                <w:b w:val="1"/>
                <w:bCs w:val="1"/>
                <w:color w:val="auto"/>
                <w:w w:val="93"/>
              </w:rPr>
              <w:t>Active Markets for</w:t>
            </w:r>
          </w:p>
        </w:tc>
        <w:tc>
          <w:tcPr>
            <w:tcW w:w="12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80" w:type="dxa"/>
            <w:vAlign w:val="bottom"/>
            <w:vMerge w:val="restart"/>
          </w:tcPr>
          <w:p>
            <w:pPr>
              <w:spacing w:after="0"/>
              <w:rPr>
                <w:sz w:val="12"/>
                <w:szCs w:val="12"/>
                <w:color w:val="auto"/>
              </w:rPr>
            </w:pPr>
          </w:p>
        </w:tc>
        <w:tc>
          <w:tcPr>
            <w:tcW w:w="44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88"/>
              </w:rPr>
              <w:t>Identical Assets</w:t>
            </w:r>
          </w:p>
        </w:tc>
        <w:tc>
          <w:tcPr>
            <w:tcW w:w="12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1"/>
              </w:rPr>
              <w:t>Observable Inputs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Unobservable Inputs</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80" w:type="dxa"/>
            <w:vAlign w:val="bottom"/>
            <w:vMerge w:val="continue"/>
          </w:tcPr>
          <w:p>
            <w:pPr>
              <w:spacing w:after="0"/>
              <w:rPr>
                <w:sz w:val="14"/>
                <w:szCs w:val="14"/>
                <w:color w:val="auto"/>
              </w:rPr>
            </w:pPr>
          </w:p>
        </w:tc>
        <w:tc>
          <w:tcPr>
            <w:tcW w:w="44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1"/>
              </w:rPr>
              <w:t>(Level 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Borders>
              <w:bottom w:val="single" w:sz="8" w:color="auto"/>
            </w:tcBorders>
          </w:tcPr>
          <w:p>
            <w:pPr>
              <w:jc w:val="center"/>
              <w:ind w:left="149"/>
              <w:spacing w:after="0"/>
              <w:rPr>
                <w:sz w:val="20"/>
                <w:szCs w:val="20"/>
                <w:color w:val="auto"/>
              </w:rPr>
            </w:pPr>
            <w:r>
              <w:rPr>
                <w:rFonts w:ascii="Arial" w:cs="Arial" w:eastAsia="Arial" w:hAnsi="Arial"/>
                <w:sz w:val="14"/>
                <w:szCs w:val="14"/>
                <w:b w:val="1"/>
                <w:bCs w:val="1"/>
                <w:color w:val="auto"/>
                <w:w w:val="91"/>
              </w:rPr>
              <w:t>(Level 3)</w:t>
            </w:r>
          </w:p>
        </w:tc>
        <w:tc>
          <w:tcPr>
            <w:tcW w:w="2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100" w:type="dxa"/>
            <w:vAlign w:val="bottom"/>
            <w:gridSpan w:val="3"/>
          </w:tcPr>
          <w:p>
            <w:pPr>
              <w:ind w:left="580"/>
              <w:spacing w:after="0"/>
              <w:rPr>
                <w:sz w:val="20"/>
                <w:szCs w:val="20"/>
                <w:color w:val="auto"/>
              </w:rPr>
            </w:pPr>
            <w:r>
              <w:rPr>
                <w:rFonts w:ascii="Arial" w:cs="Arial" w:eastAsia="Arial" w:hAnsi="Arial"/>
                <w:sz w:val="18"/>
                <w:szCs w:val="18"/>
                <w:color w:val="auto"/>
              </w:rPr>
              <w:t>Fuel hedge contracts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2,501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43"/>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2,501</w:t>
            </w:r>
          </w:p>
        </w:tc>
        <w:tc>
          <w:tcPr>
            <w:tcW w:w="1260" w:type="dxa"/>
            <w:vAlign w:val="bottom"/>
            <w:gridSpan w:val="3"/>
          </w:tcPr>
          <w:p>
            <w:pPr>
              <w:jc w:val="right"/>
              <w:ind w:right="869"/>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5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7"/>
          </w:tcPr>
          <w:p>
            <w:pPr>
              <w:jc w:val="right"/>
              <w:ind w:right="249"/>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26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Quoted Prices in</w:t>
            </w:r>
          </w:p>
        </w:tc>
        <w:tc>
          <w:tcPr>
            <w:tcW w:w="12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Significant Other</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vMerge w:val="restart"/>
          </w:tcPr>
          <w:p>
            <w:pPr>
              <w:jc w:val="center"/>
              <w:ind w:left="149"/>
              <w:spacing w:after="0"/>
              <w:rPr>
                <w:sz w:val="20"/>
                <w:szCs w:val="20"/>
                <w:color w:val="auto"/>
              </w:rPr>
            </w:pPr>
            <w:r>
              <w:rPr>
                <w:rFonts w:ascii="Arial" w:cs="Arial" w:eastAsia="Arial" w:hAnsi="Arial"/>
                <w:sz w:val="14"/>
                <w:szCs w:val="14"/>
                <w:b w:val="1"/>
                <w:bCs w:val="1"/>
                <w:color w:val="auto"/>
                <w:w w:val="89"/>
              </w:rPr>
              <w:t>Significant</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58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jc w:val="right"/>
              <w:ind w:right="41"/>
              <w:spacing w:after="0"/>
              <w:rPr>
                <w:sz w:val="20"/>
                <w:szCs w:val="20"/>
                <w:color w:val="auto"/>
              </w:rPr>
            </w:pPr>
            <w:r>
              <w:rPr>
                <w:rFonts w:ascii="Arial" w:cs="Arial" w:eastAsia="Arial" w:hAnsi="Arial"/>
                <w:sz w:val="14"/>
                <w:szCs w:val="14"/>
                <w:b w:val="1"/>
                <w:bCs w:val="1"/>
                <w:color w:val="auto"/>
                <w:w w:val="91"/>
              </w:rPr>
              <w:t>At December 31,</w:t>
            </w:r>
          </w:p>
        </w:tc>
        <w:tc>
          <w:tcPr>
            <w:tcW w:w="220" w:type="dxa"/>
            <w:vAlign w:val="bottom"/>
          </w:tcPr>
          <w:p>
            <w:pPr>
              <w:spacing w:after="0"/>
              <w:rPr>
                <w:sz w:val="12"/>
                <w:szCs w:val="12"/>
                <w:color w:val="auto"/>
              </w:rPr>
            </w:pPr>
          </w:p>
        </w:tc>
        <w:tc>
          <w:tcPr>
            <w:tcW w:w="1440" w:type="dxa"/>
            <w:vAlign w:val="bottom"/>
            <w:gridSpan w:val="3"/>
          </w:tcPr>
          <w:p>
            <w:pPr>
              <w:jc w:val="center"/>
              <w:ind w:right="220"/>
              <w:spacing w:after="0" w:line="147" w:lineRule="exact"/>
              <w:rPr>
                <w:sz w:val="20"/>
                <w:szCs w:val="20"/>
                <w:color w:val="auto"/>
              </w:rPr>
            </w:pPr>
            <w:r>
              <w:rPr>
                <w:rFonts w:ascii="Arial" w:cs="Arial" w:eastAsia="Arial" w:hAnsi="Arial"/>
                <w:sz w:val="14"/>
                <w:szCs w:val="14"/>
                <w:b w:val="1"/>
                <w:bCs w:val="1"/>
                <w:color w:val="auto"/>
                <w:w w:val="93"/>
              </w:rPr>
              <w:t>Active Markets for</w:t>
            </w:r>
          </w:p>
        </w:tc>
        <w:tc>
          <w:tcPr>
            <w:tcW w:w="12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80" w:type="dxa"/>
            <w:vAlign w:val="bottom"/>
            <w:vMerge w:val="restart"/>
          </w:tcPr>
          <w:p>
            <w:pPr>
              <w:spacing w:after="0"/>
              <w:rPr>
                <w:sz w:val="12"/>
                <w:szCs w:val="12"/>
                <w:color w:val="auto"/>
              </w:rPr>
            </w:pPr>
          </w:p>
        </w:tc>
        <w:tc>
          <w:tcPr>
            <w:tcW w:w="44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88"/>
              </w:rPr>
              <w:t>Identical Assets</w:t>
            </w:r>
          </w:p>
        </w:tc>
        <w:tc>
          <w:tcPr>
            <w:tcW w:w="12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1"/>
              </w:rPr>
              <w:t>Observable Inputs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Unobservable Inputs</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80" w:type="dxa"/>
            <w:vAlign w:val="bottom"/>
            <w:vMerge w:val="continue"/>
          </w:tcPr>
          <w:p>
            <w:pPr>
              <w:spacing w:after="0"/>
              <w:rPr>
                <w:sz w:val="14"/>
                <w:szCs w:val="14"/>
                <w:color w:val="auto"/>
              </w:rPr>
            </w:pPr>
          </w:p>
        </w:tc>
        <w:tc>
          <w:tcPr>
            <w:tcW w:w="44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1"/>
              </w:rPr>
              <w:t>(Level 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Borders>
              <w:bottom w:val="single" w:sz="8" w:color="auto"/>
            </w:tcBorders>
          </w:tcPr>
          <w:p>
            <w:pPr>
              <w:jc w:val="center"/>
              <w:ind w:left="149"/>
              <w:spacing w:after="0"/>
              <w:rPr>
                <w:sz w:val="20"/>
                <w:szCs w:val="20"/>
                <w:color w:val="auto"/>
              </w:rPr>
            </w:pPr>
            <w:r>
              <w:rPr>
                <w:rFonts w:ascii="Arial" w:cs="Arial" w:eastAsia="Arial" w:hAnsi="Arial"/>
                <w:sz w:val="14"/>
                <w:szCs w:val="14"/>
                <w:b w:val="1"/>
                <w:bCs w:val="1"/>
                <w:color w:val="auto"/>
                <w:w w:val="91"/>
              </w:rPr>
              <w:t>(Level 3)</w:t>
            </w:r>
          </w:p>
        </w:tc>
        <w:tc>
          <w:tcPr>
            <w:tcW w:w="2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100" w:type="dxa"/>
            <w:vAlign w:val="bottom"/>
            <w:gridSpan w:val="3"/>
          </w:tcPr>
          <w:p>
            <w:pPr>
              <w:ind w:left="580"/>
              <w:spacing w:after="0"/>
              <w:rPr>
                <w:sz w:val="20"/>
                <w:szCs w:val="20"/>
                <w:color w:val="auto"/>
              </w:rPr>
            </w:pPr>
            <w:r>
              <w:rPr>
                <w:rFonts w:ascii="Arial" w:cs="Arial" w:eastAsia="Arial" w:hAnsi="Arial"/>
                <w:sz w:val="18"/>
                <w:szCs w:val="18"/>
                <w:color w:val="auto"/>
              </w:rPr>
              <w:t>Fuel hedge contracts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2,293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43"/>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2,293</w:t>
            </w:r>
          </w:p>
        </w:tc>
        <w:tc>
          <w:tcPr>
            <w:tcW w:w="1260" w:type="dxa"/>
            <w:vAlign w:val="bottom"/>
            <w:gridSpan w:val="3"/>
          </w:tcPr>
          <w:p>
            <w:pPr>
              <w:jc w:val="right"/>
              <w:ind w:right="869"/>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6"/>
        </w:trPr>
        <w:tc>
          <w:tcPr>
            <w:tcW w:w="5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ind w:right="41"/>
              <w:spacing w:after="0"/>
              <w:rPr>
                <w:sz w:val="20"/>
                <w:szCs w:val="20"/>
                <w:color w:val="auto"/>
              </w:rPr>
            </w:pPr>
            <w:r>
              <w:rPr>
                <w:rFonts w:ascii="Arial" w:cs="Arial" w:eastAsia="Arial" w:hAnsi="Arial"/>
                <w:sz w:val="18"/>
                <w:szCs w:val="18"/>
                <w:color w:val="auto"/>
                <w:w w:val="89"/>
              </w:rPr>
              <w:t>75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9"/>
                <w:szCs w:val="9"/>
                <w:color w:val="auto"/>
              </w:rPr>
            </w:pPr>
          </w:p>
        </w:tc>
        <w:tc>
          <w:tcPr>
            <w:tcW w:w="44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447" w:right="21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Foreign exchange contracts</w:t>
      </w:r>
    </w:p>
    <w:p>
      <w:pPr>
        <w:spacing w:after="0" w:line="113" w:lineRule="exact"/>
        <w:rPr>
          <w:sz w:val="20"/>
          <w:szCs w:val="20"/>
          <w:color w:val="auto"/>
        </w:rPr>
      </w:pPr>
    </w:p>
    <w:p>
      <w:pPr>
        <w:ind w:right="420" w:firstLine="518"/>
        <w:spacing w:after="0" w:line="267" w:lineRule="auto"/>
        <w:rPr>
          <w:sz w:val="20"/>
          <w:szCs w:val="20"/>
          <w:color w:val="auto"/>
        </w:rPr>
      </w:pPr>
      <w:r>
        <w:rPr>
          <w:rFonts w:ascii="Arial" w:cs="Arial" w:eastAsia="Arial" w:hAnsi="Arial"/>
          <w:sz w:val="18"/>
          <w:szCs w:val="18"/>
          <w:color w:val="auto"/>
        </w:rPr>
        <w:t>The Company has various exposures to foreign currencies that fluctuate in relation to the U.S. dollar. The Company periodically enters into foreign exchange forward contracts to hedge this risk. At December 31, 2017 and 2016 there were no outstanding contracts.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 hedge contracts</w:t>
      </w:r>
    </w:p>
    <w:p>
      <w:pPr>
        <w:spacing w:after="0" w:line="113"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The Company is exposed to certain market risks, primarily commodity price risk as it relates to the diesel fuel purchase requirements, which occur in the normal course of business. The Company enters into heating oil commodity swap contracts to hedge the risk that fluctuations in diesel fuel prices will have an adverse impact on cash flows associated with its domestic dredging contracts. The Company’s goal is to hedge approximately 80% of the eligible fuel requirements for work in domestic backlog.</w:t>
      </w:r>
    </w:p>
    <w:p>
      <w:pPr>
        <w:spacing w:after="0" w:line="191" w:lineRule="exact"/>
        <w:rPr>
          <w:sz w:val="20"/>
          <w:szCs w:val="20"/>
          <w:color w:val="auto"/>
        </w:rPr>
      </w:pPr>
    </w:p>
    <w:p>
      <w:pPr>
        <w:jc w:val="both"/>
        <w:ind w:right="120" w:firstLine="518"/>
        <w:spacing w:after="0" w:line="254" w:lineRule="auto"/>
        <w:rPr>
          <w:sz w:val="20"/>
          <w:szCs w:val="20"/>
          <w:color w:val="auto"/>
        </w:rPr>
      </w:pPr>
      <w:r>
        <w:rPr>
          <w:rFonts w:ascii="Arial" w:cs="Arial" w:eastAsia="Arial" w:hAnsi="Arial"/>
          <w:sz w:val="18"/>
          <w:szCs w:val="18"/>
          <w:color w:val="auto"/>
        </w:rPr>
        <w:t>As of December 31, 2017, the Company was party to various swap arrangements to hedge the price of a portion of its diesel fuel purchase requirements for work in its backlog to be performed through December 2018. As of December 31, 2017, there were 9.8 million gallons remaining on these contracts which represent approximately 80% of the Company’s forecasted domestic fuel purchases through December 2018. Under these swap agreements, the Company will pay fixed prices ranging from $1.53 to $2.02 per gallon.</w:t>
      </w:r>
    </w:p>
    <w:p>
      <w:pPr>
        <w:spacing w:after="0" w:line="191" w:lineRule="exact"/>
        <w:rPr>
          <w:sz w:val="20"/>
          <w:szCs w:val="20"/>
          <w:color w:val="auto"/>
        </w:rPr>
      </w:pPr>
    </w:p>
    <w:p>
      <w:pPr>
        <w:ind w:right="100" w:firstLine="518"/>
        <w:spacing w:after="0" w:line="287" w:lineRule="auto"/>
        <w:rPr>
          <w:sz w:val="20"/>
          <w:szCs w:val="20"/>
          <w:color w:val="auto"/>
        </w:rPr>
      </w:pPr>
      <w:r>
        <w:rPr>
          <w:rFonts w:ascii="Arial" w:cs="Arial" w:eastAsia="Arial" w:hAnsi="Arial"/>
          <w:sz w:val="16"/>
          <w:szCs w:val="16"/>
          <w:color w:val="auto"/>
        </w:rPr>
        <w:t>At December 31, 2017 and December 31, 2016, the fair value asset of the fuel hedge contracts was estimated to be $2,501 and $2,293, respectively, and is recorded in other current assets. For fuel hedge contracts considered to be highly effective, the losses reclassified to earnings from changes in fair value of derivatives, net of cash settlements and taxes, for the year ended December 31, 2017 were $218. The remaining gains and losses included in the accumulated other comprehensive income (loss) at December 31, 2017 will be reclassified into earnings over the next twelve months, corresponding to the period during which the hedged fuel is expected to be utilized. Changes in the fair value of fuel hedge contracts not considered highly effective are recorded as cost of contract revenues in the Statement of Operations. The fair value of fuel hedges are corroborated using inputs that are readily observable in public markets; therefore, the Company determines fair values of these fuel hedges using Level 2 inputs.</w:t>
      </w:r>
    </w:p>
    <w:p>
      <w:pPr>
        <w:spacing w:after="0" w:line="167" w:lineRule="exact"/>
        <w:rPr>
          <w:sz w:val="20"/>
          <w:szCs w:val="20"/>
          <w:color w:val="auto"/>
        </w:rPr>
      </w:pPr>
    </w:p>
    <w:p>
      <w:pPr>
        <w:jc w:val="both"/>
        <w:ind w:right="180" w:firstLine="518"/>
        <w:spacing w:after="0" w:line="257" w:lineRule="auto"/>
        <w:rPr>
          <w:sz w:val="20"/>
          <w:szCs w:val="20"/>
          <w:color w:val="auto"/>
        </w:rPr>
      </w:pPr>
      <w:r>
        <w:rPr>
          <w:rFonts w:ascii="Arial" w:cs="Arial" w:eastAsia="Arial" w:hAnsi="Arial"/>
          <w:sz w:val="18"/>
          <w:szCs w:val="18"/>
          <w:color w:val="auto"/>
        </w:rPr>
        <w:t>The Company is exposed to counterparty credit risk associated with non-performance of its various derivative instruments. The Company’s risk would be limited to any unrealized gains on current positions. To help mitigate this risk, the Company transacts only with counterparties that are rated as investment grade or higher. In addition, all counterparties are monitored on a continuous basis.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fair value of the fuel hedge contracts outstanding as of December 31, 2017 and 2016 is as follows:</w:t>
      </w:r>
    </w:p>
    <w:p>
      <w:pPr>
        <w:spacing w:after="0" w:line="227" w:lineRule="exact"/>
        <w:rPr>
          <w:sz w:val="20"/>
          <w:szCs w:val="20"/>
          <w:color w:val="auto"/>
        </w:rPr>
      </w:pPr>
    </w:p>
    <w:tbl>
      <w:tblPr>
        <w:tblLayout w:type="fixed"/>
        <w:tblInd w:w="1160" w:type="dxa"/>
        <w:tblCellMar>
          <w:top w:w="0" w:type="dxa"/>
          <w:left w:w="0" w:type="dxa"/>
          <w:bottom w:w="0" w:type="dxa"/>
          <w:right w:w="0" w:type="dxa"/>
        </w:tblCellMar>
      </w:tblPr>
      <w:tr>
        <w:trPr>
          <w:trHeight w:val="213"/>
        </w:trPr>
        <w:tc>
          <w:tcPr>
            <w:tcW w:w="4440" w:type="dxa"/>
            <w:vAlign w:val="bottom"/>
          </w:tcPr>
          <w:p>
            <w:pPr>
              <w:spacing w:after="0"/>
              <w:rPr>
                <w:sz w:val="18"/>
                <w:szCs w:val="18"/>
                <w:color w:val="auto"/>
              </w:rPr>
            </w:pPr>
          </w:p>
        </w:tc>
        <w:tc>
          <w:tcPr>
            <w:tcW w:w="18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Balance Sheet</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1"/>
        </w:trPr>
        <w:tc>
          <w:tcPr>
            <w:tcW w:w="4440" w:type="dxa"/>
            <w:vAlign w:val="bottom"/>
          </w:tcPr>
          <w:p>
            <w:pPr>
              <w:spacing w:after="0"/>
              <w:rPr>
                <w:sz w:val="20"/>
                <w:szCs w:val="20"/>
                <w:color w:val="auto"/>
              </w:rPr>
            </w:pPr>
          </w:p>
        </w:tc>
        <w:tc>
          <w:tcPr>
            <w:tcW w:w="18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Location</w:t>
            </w:r>
          </w:p>
        </w:tc>
        <w:tc>
          <w:tcPr>
            <w:tcW w:w="200" w:type="dxa"/>
            <w:vAlign w:val="bottom"/>
          </w:tcPr>
          <w:p>
            <w:pPr>
              <w:spacing w:after="0"/>
              <w:rPr>
                <w:sz w:val="20"/>
                <w:szCs w:val="20"/>
                <w:color w:val="auto"/>
              </w:rPr>
            </w:pPr>
          </w:p>
        </w:tc>
        <w:tc>
          <w:tcPr>
            <w:tcW w:w="2600" w:type="dxa"/>
            <w:vAlign w:val="bottom"/>
            <w:gridSpan w:val="5"/>
          </w:tcPr>
          <w:p>
            <w:pPr>
              <w:ind w:left="120"/>
              <w:spacing w:after="0"/>
              <w:rPr>
                <w:sz w:val="20"/>
                <w:szCs w:val="20"/>
                <w:color w:val="auto"/>
              </w:rPr>
            </w:pPr>
            <w:r>
              <w:rPr>
                <w:rFonts w:ascii="Arial" w:cs="Arial" w:eastAsia="Arial" w:hAnsi="Arial"/>
                <w:sz w:val="18"/>
                <w:szCs w:val="18"/>
                <w:b w:val="1"/>
                <w:bCs w:val="1"/>
                <w:color w:val="auto"/>
              </w:rPr>
              <w:t>Fair Value at December 31,</w:t>
            </w:r>
          </w:p>
        </w:tc>
      </w:tr>
      <w:tr>
        <w:trPr>
          <w:trHeight w:val="221"/>
        </w:trPr>
        <w:tc>
          <w:tcPr>
            <w:tcW w:w="4440" w:type="dxa"/>
            <w:vAlign w:val="bottom"/>
            <w:tcBorders>
              <w:bottom w:val="single" w:sz="8" w:color="CFF0FC"/>
            </w:tcBorders>
          </w:tcPr>
          <w:p>
            <w:pPr>
              <w:spacing w:after="0"/>
              <w:rPr>
                <w:sz w:val="19"/>
                <w:szCs w:val="19"/>
                <w:color w:val="auto"/>
              </w:rPr>
            </w:pPr>
          </w:p>
        </w:tc>
        <w:tc>
          <w:tcPr>
            <w:tcW w:w="1760" w:type="dxa"/>
            <w:vAlign w:val="bottom"/>
            <w:tcBorders>
              <w:top w:val="single" w:sz="8" w:color="auto"/>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CFF0FC"/>
            </w:tcBorders>
          </w:tcPr>
          <w:p>
            <w:pPr>
              <w:spacing w:after="0"/>
              <w:rPr>
                <w:sz w:val="19"/>
                <w:szCs w:val="19"/>
                <w:color w:val="auto"/>
              </w:rPr>
            </w:pPr>
          </w:p>
        </w:tc>
      </w:tr>
      <w:tr>
        <w:trPr>
          <w:trHeight w:val="22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Asset derivatives:</w:t>
            </w:r>
          </w:p>
        </w:tc>
        <w:tc>
          <w:tcPr>
            <w:tcW w:w="1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6"/>
        </w:trPr>
        <w:tc>
          <w:tcPr>
            <w:tcW w:w="4440" w:type="dxa"/>
            <w:vAlign w:val="bottom"/>
          </w:tcPr>
          <w:p>
            <w:pPr>
              <w:ind w:left="240"/>
              <w:spacing w:after="0"/>
              <w:rPr>
                <w:sz w:val="20"/>
                <w:szCs w:val="20"/>
                <w:color w:val="auto"/>
              </w:rPr>
            </w:pPr>
            <w:r>
              <w:rPr>
                <w:rFonts w:ascii="Arial" w:cs="Arial" w:eastAsia="Arial" w:hAnsi="Arial"/>
                <w:sz w:val="18"/>
                <w:szCs w:val="18"/>
                <w:color w:val="auto"/>
              </w:rPr>
              <w:t>Derivatives designated as hedging instruments</w:t>
            </w: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7"/>
        </w:trPr>
        <w:tc>
          <w:tcPr>
            <w:tcW w:w="44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Fuel hedge contracts</w:t>
            </w:r>
          </w:p>
        </w:tc>
        <w:tc>
          <w:tcPr>
            <w:tcW w:w="1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80" w:type="dxa"/>
            <w:vAlign w:val="bottom"/>
            <w:shd w:val="clear" w:color="auto" w:fill="CFF0FC"/>
          </w:tcPr>
          <w:p>
            <w:pPr>
              <w:spacing w:after="0"/>
              <w:rPr>
                <w:sz w:val="19"/>
                <w:szCs w:val="19"/>
                <w:color w:val="auto"/>
              </w:rPr>
            </w:pPr>
          </w:p>
        </w:tc>
      </w:tr>
      <w:tr>
        <w:trPr>
          <w:trHeight w:val="226"/>
        </w:trPr>
        <w:tc>
          <w:tcPr>
            <w:tcW w:w="4440" w:type="dxa"/>
            <w:vAlign w:val="bottom"/>
          </w:tcPr>
          <w:p>
            <w:pPr>
              <w:ind w:left="240"/>
              <w:spacing w:after="0"/>
              <w:rPr>
                <w:sz w:val="20"/>
                <w:szCs w:val="20"/>
                <w:color w:val="auto"/>
              </w:rPr>
            </w:pPr>
            <w:r>
              <w:rPr>
                <w:rFonts w:ascii="Arial" w:cs="Arial" w:eastAsia="Arial" w:hAnsi="Arial"/>
                <w:sz w:val="18"/>
                <w:szCs w:val="18"/>
                <w:color w:val="auto"/>
              </w:rPr>
              <w:t>Derivatives not designated as hedging instruments</w:t>
            </w: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7"/>
        </w:trPr>
        <w:tc>
          <w:tcPr>
            <w:tcW w:w="44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Fuel hedge contracts</w:t>
            </w:r>
          </w:p>
        </w:tc>
        <w:tc>
          <w:tcPr>
            <w:tcW w:w="1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1,747</w:t>
            </w:r>
          </w:p>
        </w:tc>
        <w:tc>
          <w:tcPr>
            <w:tcW w:w="80" w:type="dxa"/>
            <w:vAlign w:val="bottom"/>
            <w:shd w:val="clear" w:color="auto" w:fill="CFF0FC"/>
          </w:tcPr>
          <w:p>
            <w:pPr>
              <w:spacing w:after="0"/>
              <w:rPr>
                <w:sz w:val="19"/>
                <w:szCs w:val="19"/>
                <w:color w:val="auto"/>
              </w:rPr>
            </w:pPr>
          </w:p>
        </w:tc>
      </w:tr>
      <w:tr>
        <w:trPr>
          <w:trHeight w:val="219"/>
        </w:trPr>
        <w:tc>
          <w:tcPr>
            <w:tcW w:w="4440" w:type="dxa"/>
            <w:vAlign w:val="bottom"/>
          </w:tcPr>
          <w:p>
            <w:pPr>
              <w:spacing w:after="0"/>
              <w:rPr>
                <w:sz w:val="20"/>
                <w:szCs w:val="20"/>
                <w:color w:val="auto"/>
              </w:rPr>
            </w:pPr>
            <w:r>
              <w:rPr>
                <w:rFonts w:ascii="Arial" w:cs="Arial" w:eastAsia="Arial" w:hAnsi="Arial"/>
                <w:sz w:val="18"/>
                <w:szCs w:val="18"/>
                <w:color w:val="auto"/>
              </w:rPr>
              <w:t>Total asset derivatives</w:t>
            </w: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w:t>
            </w:r>
          </w:p>
        </w:tc>
        <w:tc>
          <w:tcPr>
            <w:tcW w:w="8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113" w:lineRule="exact"/>
        <w:rPr>
          <w:sz w:val="20"/>
          <w:szCs w:val="20"/>
          <w:color w:val="auto"/>
        </w:rPr>
      </w:pPr>
    </w:p>
    <w:p>
      <w:pPr>
        <w:ind w:right="60" w:firstLine="518"/>
        <w:spacing w:after="0" w:line="252" w:lineRule="auto"/>
        <w:rPr>
          <w:sz w:val="20"/>
          <w:szCs w:val="20"/>
          <w:color w:val="auto"/>
        </w:rPr>
      </w:pPr>
      <w:r>
        <w:rPr>
          <w:rFonts w:ascii="Arial" w:cs="Arial" w:eastAsia="Arial" w:hAnsi="Arial"/>
          <w:sz w:val="18"/>
          <w:szCs w:val="18"/>
          <w:color w:val="auto"/>
        </w:rPr>
        <w:t>All other nonfinancial assets and liabilities measured at fair value in the financial statements on a nonrecurring basis are subject to fair value measurements and disclosures. Nonfinancial assets and liabilities included in our consolidated balance sheets and measured on a nonrecurring basis consist of goodwill and long-lived assets, including other acquired intangibles. Assets included within assets held for sale are reclassified from property and equipment at fair value less cost to sell. Goodwill and long-lived assets are measured at fair value to test for and measure impairment, if any, at least annually for goodwill or when necessary for both goodwill and long-lived assets.</w:t>
      </w:r>
    </w:p>
    <w:p>
      <w:pPr>
        <w:spacing w:after="0" w:line="193" w:lineRule="exact"/>
        <w:rPr>
          <w:sz w:val="20"/>
          <w:szCs w:val="20"/>
          <w:color w:val="auto"/>
        </w:rPr>
      </w:pPr>
    </w:p>
    <w:p>
      <w:pPr>
        <w:ind w:firstLine="518"/>
        <w:spacing w:after="0" w:line="252" w:lineRule="auto"/>
        <w:rPr>
          <w:sz w:val="20"/>
          <w:szCs w:val="20"/>
          <w:color w:val="auto"/>
        </w:rPr>
      </w:pPr>
      <w:r>
        <w:rPr>
          <w:rFonts w:ascii="Arial" w:cs="Arial" w:eastAsia="Arial" w:hAnsi="Arial"/>
          <w:sz w:val="18"/>
          <w:szCs w:val="18"/>
          <w:color w:val="auto"/>
        </w:rPr>
        <w:t>In 2015, the Company estimated the fair value of our Terra Contracting Services, LLC, which was one of the Company’s reporting units at the time, for our goodwill impairment test by using both a market-based approach and an income-based approach. The income approach is dependent on a number of factors, including estimates of future market growth trends, forecasted revenues and expenses based upon historical operating data, appropriate discount rates and other variables. The market approach measures the value of a reporting unit through comparison to comparable companies. Under the market approach, the Company uses the guideline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8" w:name="page79"/>
    <w:bookmarkEnd w:id="78"/>
    <w:p>
      <w:pPr>
        <w:ind w:right="180"/>
        <w:spacing w:after="0" w:line="267" w:lineRule="auto"/>
        <w:rPr>
          <w:sz w:val="20"/>
          <w:szCs w:val="20"/>
          <w:color w:val="auto"/>
        </w:rPr>
      </w:pPr>
      <w:r>
        <w:rPr>
          <w:rFonts w:ascii="Arial" w:cs="Arial" w:eastAsia="Arial" w:hAnsi="Arial"/>
          <w:sz w:val="18"/>
          <w:szCs w:val="18"/>
          <w:color w:val="auto"/>
        </w:rPr>
        <w:t>public company method by applying estimated market-based enterprise value multiples to the reporting unit’s estimated revenue and Adjusted EBITDA from continuing operations. The Company analyzed companies that performed similar services or are considered peers.</w:t>
      </w:r>
    </w:p>
    <w:p>
      <w:pPr>
        <w:spacing w:after="0" w:line="180" w:lineRule="exact"/>
        <w:rPr>
          <w:sz w:val="20"/>
          <w:szCs w:val="20"/>
          <w:color w:val="auto"/>
        </w:rPr>
      </w:pPr>
    </w:p>
    <w:p>
      <w:pPr>
        <w:ind w:right="500" w:firstLine="518"/>
        <w:spacing w:after="0" w:line="297" w:lineRule="auto"/>
        <w:rPr>
          <w:sz w:val="20"/>
          <w:szCs w:val="20"/>
          <w:color w:val="auto"/>
        </w:rPr>
      </w:pPr>
      <w:r>
        <w:rPr>
          <w:rFonts w:ascii="Arial" w:cs="Arial" w:eastAsia="Arial" w:hAnsi="Arial"/>
          <w:sz w:val="17"/>
          <w:szCs w:val="17"/>
          <w:color w:val="auto"/>
        </w:rPr>
        <w:t>An impairment of goodwill was recorded in the amount of $2,750 in the second quarter of 2015. The fair value of goodwill was determined using quantitative models that contained significant unobservable inputs and accordingly is a Level 3 fair value measurement. See Note 6.</w:t>
      </w:r>
    </w:p>
    <w:p>
      <w:pPr>
        <w:spacing w:after="0" w:line="375" w:lineRule="exact"/>
        <w:rPr>
          <w:sz w:val="20"/>
          <w:szCs w:val="20"/>
          <w:color w:val="auto"/>
        </w:rPr>
      </w:pPr>
    </w:p>
    <w:tbl>
      <w:tblPr>
        <w:tblLayout w:type="fixed"/>
        <w:tblInd w:w="2300" w:type="dxa"/>
        <w:tblCellMar>
          <w:top w:w="0" w:type="dxa"/>
          <w:left w:w="0" w:type="dxa"/>
          <w:bottom w:w="0" w:type="dxa"/>
          <w:right w:w="0" w:type="dxa"/>
        </w:tblCellMar>
      </w:tblPr>
      <w:tr>
        <w:trPr>
          <w:trHeight w:val="151"/>
        </w:trPr>
        <w:tc>
          <w:tcPr>
            <w:tcW w:w="44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160" w:type="dxa"/>
            <w:vAlign w:val="bottom"/>
            <w:tcBorders>
              <w:top w:val="single" w:sz="8" w:color="auto"/>
            </w:tcBorders>
          </w:tcPr>
          <w:p>
            <w:pPr>
              <w:jc w:val="center"/>
              <w:ind w:right="60"/>
              <w:spacing w:after="0" w:line="151" w:lineRule="exact"/>
              <w:rPr>
                <w:sz w:val="20"/>
                <w:szCs w:val="20"/>
                <w:color w:val="auto"/>
              </w:rPr>
            </w:pPr>
            <w:r>
              <w:rPr>
                <w:rFonts w:ascii="Arial" w:cs="Arial" w:eastAsia="Arial" w:hAnsi="Arial"/>
                <w:sz w:val="14"/>
                <w:szCs w:val="14"/>
                <w:b w:val="1"/>
                <w:bCs w:val="1"/>
                <w:color w:val="auto"/>
                <w:w w:val="91"/>
              </w:rPr>
              <w:t>Fair Value Measurements Using</w:t>
            </w:r>
          </w:p>
        </w:tc>
        <w:tc>
          <w:tcPr>
            <w:tcW w:w="80" w:type="dxa"/>
            <w:vAlign w:val="bottom"/>
          </w:tcPr>
          <w:p>
            <w:pPr>
              <w:spacing w:after="0"/>
              <w:rPr>
                <w:sz w:val="13"/>
                <w:szCs w:val="13"/>
                <w:color w:val="auto"/>
              </w:rPr>
            </w:pPr>
          </w:p>
        </w:tc>
      </w:tr>
      <w:tr>
        <w:trPr>
          <w:trHeight w:val="147"/>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1"/>
              </w:rPr>
              <w:t>Significant Unobservable Inputs</w:t>
            </w:r>
          </w:p>
        </w:tc>
      </w:tr>
      <w:tr>
        <w:trPr>
          <w:trHeight w:val="169"/>
        </w:trPr>
        <w:tc>
          <w:tcPr>
            <w:tcW w:w="4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r>
      <w:tr>
        <w:trPr>
          <w:trHeight w:val="220"/>
        </w:trPr>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120" w:type="dxa"/>
            <w:vAlign w:val="bottom"/>
            <w:tcBorders>
              <w:top w:val="single" w:sz="8" w:color="auto"/>
            </w:tcBorders>
            <w:shd w:val="clear" w:color="auto" w:fill="CFF0FC"/>
          </w:tcPr>
          <w:p>
            <w:pPr>
              <w:spacing w:after="0"/>
              <w:rPr>
                <w:sz w:val="19"/>
                <w:szCs w:val="19"/>
                <w:color w:val="auto"/>
              </w:rPr>
            </w:pPr>
          </w:p>
        </w:tc>
        <w:tc>
          <w:tcPr>
            <w:tcW w:w="21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26"/>
        </w:trPr>
        <w:tc>
          <w:tcPr>
            <w:tcW w:w="4480" w:type="dxa"/>
            <w:vAlign w:val="bottom"/>
          </w:tcPr>
          <w:p>
            <w:pPr>
              <w:ind w:left="240"/>
              <w:spacing w:after="0"/>
              <w:rPr>
                <w:sz w:val="20"/>
                <w:szCs w:val="20"/>
                <w:color w:val="auto"/>
              </w:rPr>
            </w:pPr>
            <w:r>
              <w:rPr>
                <w:rFonts w:ascii="Arial" w:cs="Arial" w:eastAsia="Arial" w:hAnsi="Arial"/>
                <w:sz w:val="18"/>
                <w:szCs w:val="18"/>
                <w:color w:val="auto"/>
              </w:rPr>
              <w:t>Balance at January 1,</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86,326</w:t>
            </w:r>
          </w:p>
        </w:tc>
        <w:tc>
          <w:tcPr>
            <w:tcW w:w="80" w:type="dxa"/>
            <w:vAlign w:val="bottom"/>
          </w:tcPr>
          <w:p>
            <w:pPr>
              <w:spacing w:after="0"/>
              <w:rPr>
                <w:sz w:val="19"/>
                <w:szCs w:val="19"/>
                <w:color w:val="auto"/>
              </w:rPr>
            </w:pPr>
          </w:p>
        </w:tc>
      </w:tr>
      <w:tr>
        <w:trPr>
          <w:trHeight w:val="227"/>
        </w:trPr>
        <w:tc>
          <w:tcPr>
            <w:tcW w:w="4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Impairment of goodwill</w:t>
            </w:r>
          </w:p>
        </w:tc>
        <w:tc>
          <w:tcPr>
            <w:tcW w:w="120" w:type="dxa"/>
            <w:vAlign w:val="bottom"/>
            <w:shd w:val="clear" w:color="auto" w:fill="CFF0FC"/>
          </w:tcPr>
          <w:p>
            <w:pPr>
              <w:spacing w:after="0"/>
              <w:rPr>
                <w:sz w:val="19"/>
                <w:szCs w:val="19"/>
                <w:color w:val="auto"/>
              </w:rPr>
            </w:pPr>
          </w:p>
        </w:tc>
        <w:tc>
          <w:tcPr>
            <w:tcW w:w="2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(2,750)</w:t>
            </w:r>
          </w:p>
        </w:tc>
      </w:tr>
      <w:tr>
        <w:trPr>
          <w:trHeight w:val="219"/>
        </w:trPr>
        <w:tc>
          <w:tcPr>
            <w:tcW w:w="4480" w:type="dxa"/>
            <w:vAlign w:val="bottom"/>
          </w:tcPr>
          <w:p>
            <w:pPr>
              <w:ind w:left="240"/>
              <w:spacing w:after="0"/>
              <w:rPr>
                <w:sz w:val="20"/>
                <w:szCs w:val="20"/>
                <w:color w:val="auto"/>
              </w:rPr>
            </w:pPr>
            <w:r>
              <w:rPr>
                <w:rFonts w:ascii="Arial" w:cs="Arial" w:eastAsia="Arial" w:hAnsi="Arial"/>
                <w:sz w:val="18"/>
                <w:szCs w:val="18"/>
                <w:color w:val="auto"/>
              </w:rPr>
              <w:t>Balance at December 31, 2015</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2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83,576</w:t>
            </w:r>
          </w:p>
        </w:tc>
        <w:tc>
          <w:tcPr>
            <w:tcW w:w="80" w:type="dxa"/>
            <w:vAlign w:val="bottom"/>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the components of the accumulated balances of other comprehensive income (loss) are as follows:</w:t>
      </w:r>
    </w:p>
    <w:p>
      <w:pPr>
        <w:spacing w:after="0" w:line="289" w:lineRule="exact"/>
        <w:rPr>
          <w:sz w:val="20"/>
          <w:szCs w:val="20"/>
          <w:color w:val="auto"/>
        </w:rPr>
      </w:pPr>
    </w:p>
    <w:tbl>
      <w:tblPr>
        <w:tblLayout w:type="fixed"/>
        <w:tblInd w:w="1160" w:type="dxa"/>
        <w:tblCellMar>
          <w:top w:w="0" w:type="dxa"/>
          <w:left w:w="0" w:type="dxa"/>
          <w:bottom w:w="0" w:type="dxa"/>
          <w:right w:w="0" w:type="dxa"/>
        </w:tblCellMar>
      </w:tblPr>
      <w:tr>
        <w:trPr>
          <w:trHeight w:val="169"/>
        </w:trPr>
        <w:tc>
          <w:tcPr>
            <w:tcW w:w="54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r>
      <w:tr>
        <w:trPr>
          <w:trHeight w:val="22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Cumulative translation adjustments—net of tax</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w:t>
            </w: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(1,249)</w:t>
            </w:r>
          </w:p>
        </w:tc>
      </w:tr>
      <w:tr>
        <w:trPr>
          <w:trHeight w:val="226"/>
        </w:trPr>
        <w:tc>
          <w:tcPr>
            <w:tcW w:w="5460" w:type="dxa"/>
            <w:vAlign w:val="bottom"/>
          </w:tcPr>
          <w:p>
            <w:pPr>
              <w:spacing w:after="0"/>
              <w:rPr>
                <w:sz w:val="20"/>
                <w:szCs w:val="20"/>
                <w:color w:val="auto"/>
              </w:rPr>
            </w:pPr>
            <w:r>
              <w:rPr>
                <w:rFonts w:ascii="Arial" w:cs="Arial" w:eastAsia="Arial" w:hAnsi="Arial"/>
                <w:sz w:val="18"/>
                <w:szCs w:val="18"/>
                <w:color w:val="auto"/>
              </w:rPr>
              <w:t>Derivatives:</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7"/>
        </w:trPr>
        <w:tc>
          <w:tcPr>
            <w:tcW w:w="546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8"/>
              </w:rPr>
              <w:t>Reclassification of derivative (gains) losses to earnings—net of tax</w:t>
            </w: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6"/>
        </w:trPr>
        <w:tc>
          <w:tcPr>
            <w:tcW w:w="54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Change in fair value of derivatives—net of tax</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r>
      <w:tr>
        <w:trPr>
          <w:trHeight w:val="221"/>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Net unrealized (gain) loss on derivatives—net of tax</w:t>
            </w:r>
          </w:p>
        </w:tc>
        <w:tc>
          <w:tcPr>
            <w:tcW w:w="2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19"/>
        </w:trPr>
        <w:tc>
          <w:tcPr>
            <w:tcW w:w="5460" w:type="dxa"/>
            <w:vAlign w:val="bottom"/>
          </w:tcPr>
          <w:p>
            <w:pPr>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1,148</w:t>
            </w:r>
          </w:p>
        </w:tc>
        <w:tc>
          <w:tcPr>
            <w:tcW w:w="120" w:type="dxa"/>
            <w:vAlign w:val="bottom"/>
          </w:tcPr>
          <w:p>
            <w:pPr>
              <w:spacing w:after="0"/>
              <w:rPr>
                <w:sz w:val="19"/>
                <w:szCs w:val="19"/>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838</w:t>
            </w:r>
          </w:p>
        </w:tc>
        <w:tc>
          <w:tcPr>
            <w:tcW w:w="2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(1,249)</w:t>
            </w:r>
          </w:p>
        </w:tc>
      </w:tr>
      <w:tr>
        <w:trPr>
          <w:trHeight w:val="20"/>
        </w:trPr>
        <w:tc>
          <w:tcPr>
            <w:tcW w:w="5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Adjustments reclassified from accumulated balances of other comprehensive income (loss) to earnings are as follows:</w:t>
      </w:r>
    </w:p>
    <w:p>
      <w:pPr>
        <w:spacing w:after="0" w:line="289" w:lineRule="exact"/>
        <w:rPr>
          <w:sz w:val="20"/>
          <w:szCs w:val="20"/>
          <w:color w:val="auto"/>
        </w:rPr>
      </w:pPr>
    </w:p>
    <w:tbl>
      <w:tblPr>
        <w:tblLayout w:type="fixed"/>
        <w:tblInd w:w="1160" w:type="dxa"/>
        <w:tblCellMar>
          <w:top w:w="0" w:type="dxa"/>
          <w:left w:w="0" w:type="dxa"/>
          <w:bottom w:w="0" w:type="dxa"/>
          <w:right w:w="0" w:type="dxa"/>
        </w:tblCellMar>
      </w:tblPr>
      <w:tr>
        <w:trPr>
          <w:trHeight w:val="169"/>
        </w:trPr>
        <w:tc>
          <w:tcPr>
            <w:tcW w:w="2220" w:type="dxa"/>
            <w:vAlign w:val="bottom"/>
          </w:tcPr>
          <w:p>
            <w:pPr>
              <w:spacing w:after="0"/>
              <w:rPr>
                <w:sz w:val="14"/>
                <w:szCs w:val="14"/>
                <w:color w:val="auto"/>
              </w:rPr>
            </w:pPr>
          </w:p>
        </w:tc>
        <w:tc>
          <w:tcPr>
            <w:tcW w:w="4100" w:type="dxa"/>
            <w:vAlign w:val="bottom"/>
            <w:gridSpan w:val="3"/>
          </w:tcPr>
          <w:p>
            <w:pPr>
              <w:ind w:left="520"/>
              <w:spacing w:after="0"/>
              <w:rPr>
                <w:sz w:val="20"/>
                <w:szCs w:val="20"/>
                <w:color w:val="auto"/>
              </w:rPr>
            </w:pPr>
            <w:r>
              <w:rPr>
                <w:rFonts w:ascii="Arial" w:cs="Arial" w:eastAsia="Arial" w:hAnsi="Arial"/>
                <w:sz w:val="14"/>
                <w:szCs w:val="14"/>
                <w:b w:val="1"/>
                <w:bCs w:val="1"/>
                <w:color w:val="auto"/>
              </w:rPr>
              <w:t>Statement of Operations Location</w:t>
            </w:r>
          </w:p>
        </w:tc>
        <w:tc>
          <w:tcPr>
            <w:tcW w:w="320" w:type="dxa"/>
            <w:vAlign w:val="bottom"/>
          </w:tcPr>
          <w:p>
            <w:pPr>
              <w:spacing w:after="0"/>
              <w:rPr>
                <w:sz w:val="14"/>
                <w:szCs w:val="14"/>
                <w:color w:val="auto"/>
              </w:rPr>
            </w:pPr>
          </w:p>
        </w:tc>
        <w:tc>
          <w:tcPr>
            <w:tcW w:w="920" w:type="dxa"/>
            <w:vAlign w:val="bottom"/>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jc w:val="right"/>
              <w:ind w:right="356"/>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r>
      <w:tr>
        <w:trPr>
          <w:trHeight w:val="220"/>
        </w:trPr>
        <w:tc>
          <w:tcPr>
            <w:tcW w:w="2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Derivatives:</w:t>
            </w:r>
          </w:p>
        </w:tc>
        <w:tc>
          <w:tcPr>
            <w:tcW w:w="520" w:type="dxa"/>
            <w:vAlign w:val="bottom"/>
            <w:tcBorders>
              <w:top w:val="single" w:sz="8" w:color="CFF0FC"/>
            </w:tcBorders>
            <w:shd w:val="clear" w:color="auto" w:fill="CFF0FC"/>
          </w:tcPr>
          <w:p>
            <w:pPr>
              <w:spacing w:after="0"/>
              <w:rPr>
                <w:sz w:val="19"/>
                <w:szCs w:val="19"/>
                <w:color w:val="auto"/>
              </w:rPr>
            </w:pPr>
          </w:p>
        </w:tc>
        <w:tc>
          <w:tcPr>
            <w:tcW w:w="34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26"/>
        </w:trPr>
        <w:tc>
          <w:tcPr>
            <w:tcW w:w="2220" w:type="dxa"/>
            <w:vAlign w:val="bottom"/>
          </w:tcPr>
          <w:p>
            <w:pPr>
              <w:ind w:left="240"/>
              <w:spacing w:after="0"/>
              <w:rPr>
                <w:sz w:val="20"/>
                <w:szCs w:val="20"/>
                <w:color w:val="auto"/>
              </w:rPr>
            </w:pPr>
            <w:r>
              <w:rPr>
                <w:rFonts w:ascii="Arial" w:cs="Arial" w:eastAsia="Arial" w:hAnsi="Arial"/>
                <w:sz w:val="18"/>
                <w:szCs w:val="18"/>
                <w:color w:val="auto"/>
              </w:rPr>
              <w:t>Fuel hedge contracts</w:t>
            </w:r>
          </w:p>
        </w:tc>
        <w:tc>
          <w:tcPr>
            <w:tcW w:w="4100" w:type="dxa"/>
            <w:vAlign w:val="bottom"/>
            <w:gridSpan w:val="3"/>
          </w:tcPr>
          <w:p>
            <w:pPr>
              <w:ind w:left="520"/>
              <w:spacing w:after="0"/>
              <w:rPr>
                <w:sz w:val="20"/>
                <w:szCs w:val="20"/>
                <w:color w:val="auto"/>
              </w:rPr>
            </w:pPr>
            <w:r>
              <w:rPr>
                <w:rFonts w:ascii="Arial" w:cs="Arial" w:eastAsia="Arial" w:hAnsi="Arial"/>
                <w:sz w:val="18"/>
                <w:szCs w:val="18"/>
                <w:color w:val="auto"/>
              </w:rPr>
              <w:t>Costs of contract revenues</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(358)</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r>
      <w:tr>
        <w:trPr>
          <w:trHeight w:val="227"/>
        </w:trPr>
        <w:tc>
          <w:tcPr>
            <w:tcW w:w="2220" w:type="dxa"/>
            <w:vAlign w:val="bottom"/>
            <w:shd w:val="clear" w:color="auto" w:fill="CFF0FC"/>
          </w:tcPr>
          <w:p>
            <w:pPr>
              <w:spacing w:after="0"/>
              <w:rPr>
                <w:sz w:val="19"/>
                <w:szCs w:val="19"/>
                <w:color w:val="auto"/>
              </w:rPr>
            </w:pPr>
          </w:p>
        </w:tc>
        <w:tc>
          <w:tcPr>
            <w:tcW w:w="4100" w:type="dxa"/>
            <w:vAlign w:val="bottom"/>
            <w:gridSpan w:val="3"/>
            <w:shd w:val="clear" w:color="auto" w:fill="CFF0FC"/>
          </w:tcPr>
          <w:p>
            <w:pPr>
              <w:ind w:left="520"/>
              <w:spacing w:after="0"/>
              <w:rPr>
                <w:sz w:val="20"/>
                <w:szCs w:val="20"/>
                <w:color w:val="auto"/>
              </w:rPr>
            </w:pPr>
            <w:r>
              <w:rPr>
                <w:rFonts w:ascii="Arial" w:cs="Arial" w:eastAsia="Arial" w:hAnsi="Arial"/>
                <w:sz w:val="18"/>
                <w:szCs w:val="18"/>
                <w:color w:val="auto"/>
              </w:rPr>
              <w:t>Income tax benefit</w:t>
            </w:r>
          </w:p>
        </w:tc>
        <w:tc>
          <w:tcPr>
            <w:tcW w:w="3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9"/>
                <w:szCs w:val="19"/>
                <w:color w:val="auto"/>
              </w:rPr>
            </w:pPr>
          </w:p>
        </w:tc>
      </w:tr>
      <w:tr>
        <w:trPr>
          <w:trHeight w:val="220"/>
        </w:trPr>
        <w:tc>
          <w:tcPr>
            <w:tcW w:w="2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(218)</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r>
      <w:tr>
        <w:trPr>
          <w:trHeight w:val="20"/>
        </w:trPr>
        <w:tc>
          <w:tcPr>
            <w:tcW w:w="2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3" w:lineRule="exact"/>
        <w:rPr>
          <w:sz w:val="20"/>
          <w:szCs w:val="20"/>
          <w:color w:val="auto"/>
        </w:rPr>
      </w:pPr>
    </w:p>
    <w:p>
      <w:pPr>
        <w:ind w:firstLine="518"/>
        <w:spacing w:after="0" w:line="267" w:lineRule="auto"/>
        <w:rPr>
          <w:sz w:val="20"/>
          <w:szCs w:val="20"/>
          <w:color w:val="auto"/>
        </w:rPr>
      </w:pPr>
      <w:r>
        <w:rPr>
          <w:rFonts w:ascii="Arial" w:cs="Arial" w:eastAsia="Arial" w:hAnsi="Arial"/>
          <w:sz w:val="17"/>
          <w:szCs w:val="17"/>
          <w:color w:val="auto"/>
        </w:rPr>
        <w:t>The carrying value of financial instruments included in current assets and current liabilities approximates fair value due to the short-term maturities of these instruments. Based on timing of the cash flows and comparison to current market interest rates, the carrying value of our senior revolving credit agreement approximates fair value. In May 2017, the Company issued a total of $325,000 of 8.000% senior notes due May 15, 2022, which were outstanding at December 31, 2017 (See Note 8, Long-Term Debt). The senior notes are senior unsecured obligations of the Company and its subsidiaries that guarantee the senior notes. The fair value of the senior notes was $340,048 at December 31, 2017, which is a Level 1 fair value measurement as the senior notes value was obtained using quoted prices in active markets. It is impracticable to determine the fair value of outstanding letters of credit or performance, bid and payment bonds due to uncertainties as to the amount and timing of future obligations, if any.</w:t>
      </w: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340" w:right="27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10. INCOME TAXES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income tax benefit from continuing and discontinued operations for the year ended December 31, 2017 is as follows:</w:t>
      </w:r>
    </w:p>
    <w:p>
      <w:pPr>
        <w:spacing w:after="0" w:line="289" w:lineRule="exact"/>
        <w:rPr>
          <w:sz w:val="20"/>
          <w:szCs w:val="20"/>
          <w:color w:val="auto"/>
        </w:rPr>
      </w:pPr>
    </w:p>
    <w:tbl>
      <w:tblPr>
        <w:tblLayout w:type="fixed"/>
        <w:tblInd w:w="1160" w:type="dxa"/>
        <w:tblCellMar>
          <w:top w:w="0" w:type="dxa"/>
          <w:left w:w="0" w:type="dxa"/>
          <w:bottom w:w="0" w:type="dxa"/>
          <w:right w:w="0" w:type="dxa"/>
        </w:tblCellMar>
      </w:tblPr>
      <w:tr>
        <w:trPr>
          <w:trHeight w:val="169"/>
        </w:trPr>
        <w:tc>
          <w:tcPr>
            <w:tcW w:w="7480" w:type="dxa"/>
            <w:vAlign w:val="bottom"/>
            <w:vMerge w:val="restart"/>
          </w:tcPr>
          <w:p>
            <w:pPr>
              <w:spacing w:after="0"/>
              <w:rPr>
                <w:sz w:val="20"/>
                <w:szCs w:val="20"/>
                <w:color w:val="auto"/>
              </w:rPr>
            </w:pPr>
            <w:r>
              <w:rPr>
                <w:rFonts w:ascii="Arial" w:cs="Arial" w:eastAsia="Arial" w:hAnsi="Arial"/>
                <w:sz w:val="18"/>
                <w:szCs w:val="18"/>
                <w:color w:val="auto"/>
              </w:rPr>
              <w:t>Income tax benefit from continuing operations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480" w:type="dxa"/>
            <w:vAlign w:val="bottom"/>
            <w:vMerge w:val="continue"/>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35,610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from discontinued operations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480" w:type="dxa"/>
            <w:vAlign w:val="bottom"/>
          </w:tcPr>
          <w:p>
            <w:pPr>
              <w:ind w:left="240"/>
              <w:spacing w:after="0"/>
              <w:rPr>
                <w:sz w:val="20"/>
                <w:szCs w:val="20"/>
                <w:color w:val="auto"/>
              </w:rPr>
            </w:pPr>
            <w:r>
              <w:rPr>
                <w:rFonts w:ascii="Arial" w:cs="Arial" w:eastAsia="Arial" w:hAnsi="Arial"/>
                <w:sz w:val="18"/>
                <w:szCs w:val="18"/>
                <w:color w:val="auto"/>
              </w:rPr>
              <w:t>Income tax benefit</w:t>
            </w:r>
          </w:p>
        </w:tc>
        <w:tc>
          <w:tcPr>
            <w:tcW w:w="3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right="120" w:firstLine="518"/>
        <w:spacing w:after="0" w:line="267" w:lineRule="auto"/>
        <w:rPr>
          <w:sz w:val="20"/>
          <w:szCs w:val="20"/>
          <w:color w:val="auto"/>
        </w:rPr>
      </w:pPr>
      <w:r>
        <w:rPr>
          <w:rFonts w:ascii="Arial" w:cs="Arial" w:eastAsia="Arial" w:hAnsi="Arial"/>
          <w:sz w:val="18"/>
          <w:szCs w:val="18"/>
          <w:color w:val="auto"/>
        </w:rPr>
        <w:t>The Company’s loss from continuing operations before income tax from domestic and foreign continuing operations for the years ended December 31, 2017, 2016 and 2015 is as follows:</w:t>
      </w:r>
    </w:p>
    <w:p>
      <w:pPr>
        <w:spacing w:after="0" w:line="209" w:lineRule="exact"/>
        <w:rPr>
          <w:sz w:val="20"/>
          <w:szCs w:val="20"/>
          <w:color w:val="auto"/>
        </w:rPr>
      </w:pPr>
    </w:p>
    <w:tbl>
      <w:tblPr>
        <w:tblLayout w:type="fixed"/>
        <w:tblInd w:w="1160" w:type="dxa"/>
        <w:tblCellMar>
          <w:top w:w="0" w:type="dxa"/>
          <w:left w:w="0" w:type="dxa"/>
          <w:bottom w:w="0" w:type="dxa"/>
          <w:right w:w="0" w:type="dxa"/>
        </w:tblCellMar>
      </w:tblPr>
      <w:tr>
        <w:trPr>
          <w:trHeight w:val="185"/>
        </w:trPr>
        <w:tc>
          <w:tcPr>
            <w:tcW w:w="5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36"/>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3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Domestic operations</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(17,307)</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0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(2,295)</w:t>
            </w: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(35,996)</w:t>
            </w:r>
          </w:p>
        </w:tc>
        <w:tc>
          <w:tcPr>
            <w:tcW w:w="0" w:type="dxa"/>
            <w:vAlign w:val="bottom"/>
          </w:tcPr>
          <w:p>
            <w:pPr>
              <w:spacing w:after="0"/>
              <w:rPr>
                <w:sz w:val="1"/>
                <w:szCs w:val="1"/>
                <w:color w:val="auto"/>
              </w:rPr>
            </w:pPr>
          </w:p>
        </w:tc>
      </w:tr>
      <w:tr>
        <w:trPr>
          <w:trHeight w:val="226"/>
        </w:trPr>
        <w:tc>
          <w:tcPr>
            <w:tcW w:w="5380" w:type="dxa"/>
            <w:vAlign w:val="bottom"/>
          </w:tcPr>
          <w:p>
            <w:pPr>
              <w:spacing w:after="0"/>
              <w:rPr>
                <w:sz w:val="20"/>
                <w:szCs w:val="20"/>
                <w:color w:val="auto"/>
              </w:rPr>
            </w:pPr>
            <w:r>
              <w:rPr>
                <w:rFonts w:ascii="Arial" w:cs="Arial" w:eastAsia="Arial" w:hAnsi="Arial"/>
                <w:sz w:val="18"/>
                <w:szCs w:val="18"/>
                <w:color w:val="auto"/>
              </w:rPr>
              <w:t>Foreign operations</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(36,866)</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(11,674)</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27,310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loss from continuing operations before income tax</w:t>
            </w: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38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(54,173)</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0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(13,969)</w:t>
            </w: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(8,686)</w:t>
            </w:r>
          </w:p>
        </w:tc>
        <w:tc>
          <w:tcPr>
            <w:tcW w:w="0" w:type="dxa"/>
            <w:vAlign w:val="bottom"/>
          </w:tcPr>
          <w:p>
            <w:pPr>
              <w:spacing w:after="0"/>
              <w:rPr>
                <w:sz w:val="1"/>
                <w:szCs w:val="1"/>
                <w:color w:val="auto"/>
              </w:rPr>
            </w:pPr>
          </w:p>
        </w:tc>
      </w:tr>
      <w:tr>
        <w:trPr>
          <w:trHeight w:val="20"/>
        </w:trPr>
        <w:tc>
          <w:tcPr>
            <w:tcW w:w="53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benefit for income taxes from continuing operations as of December 31, 2017, 2016 and 2015 is as follows:</w:t>
      </w:r>
    </w:p>
    <w:p>
      <w:pPr>
        <w:spacing w:after="0" w:line="249" w:lineRule="exact"/>
        <w:rPr>
          <w:sz w:val="20"/>
          <w:szCs w:val="20"/>
          <w:color w:val="auto"/>
        </w:rPr>
      </w:pPr>
    </w:p>
    <w:tbl>
      <w:tblPr>
        <w:tblLayout w:type="fixed"/>
        <w:tblInd w:w="1160" w:type="dxa"/>
        <w:tblCellMar>
          <w:top w:w="0" w:type="dxa"/>
          <w:left w:w="0" w:type="dxa"/>
          <w:bottom w:w="0" w:type="dxa"/>
          <w:right w:w="0" w:type="dxa"/>
        </w:tblCellMar>
      </w:tblPr>
      <w:tr>
        <w:trPr>
          <w:trHeight w:val="185"/>
        </w:trPr>
        <w:tc>
          <w:tcPr>
            <w:tcW w:w="5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6"/>
                <w:szCs w:val="16"/>
                <w:color w:val="auto"/>
              </w:rPr>
            </w:pPr>
          </w:p>
        </w:tc>
      </w:tr>
      <w:tr>
        <w:trPr>
          <w:trHeight w:val="25"/>
        </w:trPr>
        <w:tc>
          <w:tcPr>
            <w:tcW w:w="53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r>
      <w:tr>
        <w:trPr>
          <w:trHeight w:val="22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Federal:</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6"/>
        </w:trPr>
        <w:tc>
          <w:tcPr>
            <w:tcW w:w="5380" w:type="dxa"/>
            <w:vAlign w:val="bottom"/>
          </w:tcPr>
          <w:p>
            <w:pPr>
              <w:ind w:left="240"/>
              <w:spacing w:after="0"/>
              <w:rPr>
                <w:sz w:val="20"/>
                <w:szCs w:val="20"/>
                <w:color w:val="auto"/>
              </w:rPr>
            </w:pPr>
            <w:r>
              <w:rPr>
                <w:rFonts w:ascii="Arial" w:cs="Arial" w:eastAsia="Arial" w:hAnsi="Arial"/>
                <w:sz w:val="18"/>
                <w:szCs w:val="18"/>
                <w:color w:val="auto"/>
              </w:rPr>
              <w:t>Current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(248)</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260</w:t>
            </w:r>
          </w:p>
        </w:tc>
        <w:tc>
          <w:tcPr>
            <w:tcW w:w="2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7"/>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(33,592)</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(5,098)</w:t>
            </w: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(2,355)</w:t>
            </w:r>
          </w:p>
        </w:tc>
      </w:tr>
      <w:tr>
        <w:trPr>
          <w:trHeight w:val="226"/>
        </w:trPr>
        <w:tc>
          <w:tcPr>
            <w:tcW w:w="5380" w:type="dxa"/>
            <w:vAlign w:val="bottom"/>
          </w:tcPr>
          <w:p>
            <w:pPr>
              <w:spacing w:after="0"/>
              <w:rPr>
                <w:sz w:val="20"/>
                <w:szCs w:val="20"/>
                <w:color w:val="auto"/>
              </w:rPr>
            </w:pPr>
            <w:r>
              <w:rPr>
                <w:rFonts w:ascii="Arial" w:cs="Arial" w:eastAsia="Arial" w:hAnsi="Arial"/>
                <w:sz w:val="18"/>
                <w:szCs w:val="18"/>
                <w:color w:val="auto"/>
              </w:rPr>
              <w:t>State:</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7"/>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FF0FC"/>
          </w:tcPr>
          <w:p>
            <w:pPr>
              <w:spacing w:after="0"/>
              <w:rPr>
                <w:sz w:val="19"/>
                <w:szCs w:val="19"/>
                <w:color w:val="auto"/>
              </w:rPr>
            </w:pPr>
          </w:p>
        </w:tc>
      </w:tr>
      <w:tr>
        <w:trPr>
          <w:trHeight w:val="226"/>
        </w:trPr>
        <w:tc>
          <w:tcPr>
            <w:tcW w:w="5380" w:type="dxa"/>
            <w:vAlign w:val="bottom"/>
          </w:tcPr>
          <w:p>
            <w:pPr>
              <w:ind w:left="240"/>
              <w:spacing w:after="0"/>
              <w:rPr>
                <w:sz w:val="20"/>
                <w:szCs w:val="20"/>
                <w:color w:val="auto"/>
              </w:rPr>
            </w:pPr>
            <w:r>
              <w:rPr>
                <w:rFonts w:ascii="Arial" w:cs="Arial" w:eastAsia="Arial" w:hAnsi="Arial"/>
                <w:sz w:val="18"/>
                <w:szCs w:val="18"/>
                <w:color w:val="auto"/>
              </w:rPr>
              <w:t>Deferred</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(1,812)</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(1,153)</w:t>
            </w: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(673)</w:t>
            </w:r>
          </w:p>
        </w:tc>
      </w:tr>
      <w:tr>
        <w:trPr>
          <w:trHeight w:val="227"/>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Foreign:</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6"/>
        </w:trPr>
        <w:tc>
          <w:tcPr>
            <w:tcW w:w="5380" w:type="dxa"/>
            <w:vAlign w:val="bottom"/>
          </w:tcPr>
          <w:p>
            <w:pPr>
              <w:ind w:left="240"/>
              <w:spacing w:after="0"/>
              <w:rPr>
                <w:sz w:val="20"/>
                <w:szCs w:val="20"/>
                <w:color w:val="auto"/>
              </w:rPr>
            </w:pPr>
            <w:r>
              <w:rPr>
                <w:rFonts w:ascii="Arial" w:cs="Arial" w:eastAsia="Arial" w:hAnsi="Arial"/>
                <w:sz w:val="18"/>
                <w:szCs w:val="18"/>
                <w:color w:val="auto"/>
              </w:rPr>
              <w:t>Current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416</w:t>
            </w:r>
          </w:p>
        </w:tc>
        <w:tc>
          <w:tcPr>
            <w:tcW w:w="80" w:type="dxa"/>
            <w:vAlign w:val="bottom"/>
          </w:tcPr>
          <w:p>
            <w:pPr>
              <w:spacing w:after="0"/>
              <w:rPr>
                <w:sz w:val="19"/>
                <w:szCs w:val="19"/>
                <w:color w:val="auto"/>
              </w:rPr>
            </w:pPr>
          </w:p>
        </w:tc>
      </w:tr>
      <w:tr>
        <w:trPr>
          <w:trHeight w:val="227"/>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w:t>
            </w: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19"/>
        </w:trPr>
        <w:tc>
          <w:tcPr>
            <w:tcW w:w="538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(35,610)</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(5,791)</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(2,497)</w:t>
            </w:r>
          </w:p>
        </w:tc>
      </w:tr>
      <w:tr>
        <w:trPr>
          <w:trHeight w:val="20"/>
        </w:trPr>
        <w:tc>
          <w:tcPr>
            <w:tcW w:w="5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1" w:lineRule="exact"/>
        <w:rPr>
          <w:sz w:val="20"/>
          <w:szCs w:val="20"/>
          <w:color w:val="auto"/>
        </w:rPr>
      </w:pPr>
    </w:p>
    <w:p>
      <w:pPr>
        <w:ind w:right="220" w:firstLine="518"/>
        <w:spacing w:after="0" w:line="267" w:lineRule="auto"/>
        <w:rPr>
          <w:sz w:val="20"/>
          <w:szCs w:val="20"/>
          <w:color w:val="auto"/>
        </w:rPr>
      </w:pPr>
      <w:r>
        <w:rPr>
          <w:rFonts w:ascii="Arial" w:cs="Arial" w:eastAsia="Arial" w:hAnsi="Arial"/>
          <w:sz w:val="18"/>
          <w:szCs w:val="18"/>
          <w:color w:val="auto"/>
        </w:rPr>
        <w:t>The Company’s income tax benefit from continuing operations reconciles to the provision at the statutory U.S. federal income tax rate of 35% for the years ended December 31, 2017, 2016 and 2015 as follows:</w:t>
      </w:r>
    </w:p>
    <w:p>
      <w:pPr>
        <w:spacing w:after="0" w:line="209" w:lineRule="exact"/>
        <w:rPr>
          <w:sz w:val="20"/>
          <w:szCs w:val="20"/>
          <w:color w:val="auto"/>
        </w:rPr>
      </w:pPr>
    </w:p>
    <w:tbl>
      <w:tblPr>
        <w:tblLayout w:type="fixed"/>
        <w:tblInd w:w="1160" w:type="dxa"/>
        <w:tblCellMar>
          <w:top w:w="0" w:type="dxa"/>
          <w:left w:w="0" w:type="dxa"/>
          <w:bottom w:w="0" w:type="dxa"/>
          <w:right w:w="0" w:type="dxa"/>
        </w:tblCellMar>
      </w:tblPr>
      <w:tr>
        <w:trPr>
          <w:trHeight w:val="185"/>
        </w:trPr>
        <w:tc>
          <w:tcPr>
            <w:tcW w:w="5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2"/>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6"/>
                <w:szCs w:val="16"/>
                <w:color w:val="auto"/>
              </w:rPr>
            </w:pPr>
          </w:p>
        </w:tc>
      </w:tr>
      <w:tr>
        <w:trPr>
          <w:trHeight w:val="25"/>
        </w:trPr>
        <w:tc>
          <w:tcPr>
            <w:tcW w:w="53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r>
      <w:tr>
        <w:trPr>
          <w:trHeight w:val="22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Tax benefit at statutory U.S. federal income tax rate</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(18,958)</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(4,889)</w:t>
            </w: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(3,040)</w:t>
            </w:r>
          </w:p>
        </w:tc>
      </w:tr>
      <w:tr>
        <w:trPr>
          <w:trHeight w:val="226"/>
        </w:trPr>
        <w:tc>
          <w:tcPr>
            <w:tcW w:w="5380" w:type="dxa"/>
            <w:vAlign w:val="bottom"/>
          </w:tcPr>
          <w:p>
            <w:pPr>
              <w:spacing w:after="0"/>
              <w:rPr>
                <w:sz w:val="20"/>
                <w:szCs w:val="20"/>
                <w:color w:val="auto"/>
              </w:rPr>
            </w:pPr>
            <w:r>
              <w:rPr>
                <w:rFonts w:ascii="Arial" w:cs="Arial" w:eastAsia="Arial" w:hAnsi="Arial"/>
                <w:sz w:val="18"/>
                <w:szCs w:val="18"/>
                <w:color w:val="auto"/>
              </w:rPr>
              <w:t>State income tax — net of federal income tax benefit</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(2,488)</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(1,118)</w:t>
            </w: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(676)</w:t>
            </w:r>
          </w:p>
        </w:tc>
      </w:tr>
      <w:tr>
        <w:trPr>
          <w:trHeight w:val="227"/>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Impact of Tax Cuts and Job Act</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(15,720)</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6"/>
        </w:trPr>
        <w:tc>
          <w:tcPr>
            <w:tcW w:w="5380" w:type="dxa"/>
            <w:vAlign w:val="bottom"/>
          </w:tcPr>
          <w:p>
            <w:pPr>
              <w:spacing w:after="0"/>
              <w:rPr>
                <w:sz w:val="20"/>
                <w:szCs w:val="20"/>
                <w:color w:val="auto"/>
              </w:rPr>
            </w:pPr>
            <w:r>
              <w:rPr>
                <w:rFonts w:ascii="Arial" w:cs="Arial" w:eastAsia="Arial" w:hAnsi="Arial"/>
                <w:sz w:val="18"/>
                <w:szCs w:val="18"/>
                <w:color w:val="auto"/>
              </w:rPr>
              <w:t>Charitable contributions</w:t>
            </w:r>
          </w:p>
        </w:tc>
        <w:tc>
          <w:tcPr>
            <w:tcW w:w="2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(469)</w:t>
            </w:r>
          </w:p>
        </w:tc>
      </w:tr>
      <w:tr>
        <w:trPr>
          <w:trHeight w:val="227"/>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Adjustment to deferred tax depreciation</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w:t>
            </w:r>
          </w:p>
        </w:tc>
        <w:tc>
          <w:tcPr>
            <w:tcW w:w="80" w:type="dxa"/>
            <w:vAlign w:val="bottom"/>
            <w:shd w:val="clear" w:color="auto" w:fill="CFF0FC"/>
          </w:tcPr>
          <w:p>
            <w:pPr>
              <w:spacing w:after="0"/>
              <w:rPr>
                <w:sz w:val="19"/>
                <w:szCs w:val="19"/>
                <w:color w:val="auto"/>
              </w:rPr>
            </w:pPr>
          </w:p>
        </w:tc>
      </w:tr>
      <w:tr>
        <w:trPr>
          <w:trHeight w:val="226"/>
        </w:trPr>
        <w:tc>
          <w:tcPr>
            <w:tcW w:w="5380" w:type="dxa"/>
            <w:vAlign w:val="bottom"/>
          </w:tcPr>
          <w:p>
            <w:pPr>
              <w:spacing w:after="0"/>
              <w:rPr>
                <w:sz w:val="20"/>
                <w:szCs w:val="20"/>
                <w:color w:val="auto"/>
              </w:rPr>
            </w:pPr>
            <w:r>
              <w:rPr>
                <w:rFonts w:ascii="Arial" w:cs="Arial" w:eastAsia="Arial" w:hAnsi="Arial"/>
                <w:sz w:val="18"/>
                <w:szCs w:val="18"/>
                <w:color w:val="auto"/>
              </w:rPr>
              <w:t>Change in deferred state tax rate</w:t>
            </w:r>
          </w:p>
        </w:tc>
        <w:tc>
          <w:tcPr>
            <w:tcW w:w="2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(1,082)</w:t>
            </w:r>
          </w:p>
        </w:tc>
        <w:tc>
          <w:tcPr>
            <w:tcW w:w="2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7"/>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tax credits</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(170)</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(253)</w:t>
            </w: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(286)</w:t>
            </w:r>
          </w:p>
        </w:tc>
      </w:tr>
      <w:tr>
        <w:trPr>
          <w:trHeight w:val="226"/>
        </w:trPr>
        <w:tc>
          <w:tcPr>
            <w:tcW w:w="5380" w:type="dxa"/>
            <w:vAlign w:val="bottom"/>
          </w:tcPr>
          <w:p>
            <w:pPr>
              <w:spacing w:after="0"/>
              <w:rPr>
                <w:sz w:val="20"/>
                <w:szCs w:val="20"/>
                <w:color w:val="auto"/>
              </w:rPr>
            </w:pPr>
            <w:r>
              <w:rPr>
                <w:rFonts w:ascii="Arial" w:cs="Arial" w:eastAsia="Arial" w:hAnsi="Arial"/>
                <w:sz w:val="18"/>
                <w:szCs w:val="18"/>
                <w:color w:val="auto"/>
              </w:rPr>
              <w:t>Purchase price adjustment</w:t>
            </w:r>
          </w:p>
        </w:tc>
        <w:tc>
          <w:tcPr>
            <w:tcW w:w="2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393</w:t>
            </w:r>
          </w:p>
        </w:tc>
        <w:tc>
          <w:tcPr>
            <w:tcW w:w="80" w:type="dxa"/>
            <w:vAlign w:val="bottom"/>
          </w:tcPr>
          <w:p>
            <w:pPr>
              <w:spacing w:after="0"/>
              <w:rPr>
                <w:sz w:val="19"/>
                <w:szCs w:val="19"/>
                <w:color w:val="auto"/>
              </w:rPr>
            </w:pPr>
          </w:p>
        </w:tc>
      </w:tr>
      <w:tr>
        <w:trPr>
          <w:trHeight w:val="227"/>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Changes in unrecognized tax benefits</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(186)</w:t>
            </w:r>
          </w:p>
        </w:tc>
      </w:tr>
      <w:tr>
        <w:trPr>
          <w:trHeight w:val="226"/>
        </w:trPr>
        <w:tc>
          <w:tcPr>
            <w:tcW w:w="5380" w:type="dxa"/>
            <w:vAlign w:val="bottom"/>
          </w:tcPr>
          <w:p>
            <w:pPr>
              <w:spacing w:after="0"/>
              <w:rPr>
                <w:sz w:val="20"/>
                <w:szCs w:val="20"/>
                <w:color w:val="auto"/>
              </w:rPr>
            </w:pPr>
            <w:r>
              <w:rPr>
                <w:rFonts w:ascii="Arial" w:cs="Arial" w:eastAsia="Arial" w:hAnsi="Arial"/>
                <w:sz w:val="18"/>
                <w:szCs w:val="18"/>
                <w:color w:val="auto"/>
              </w:rPr>
              <w:t>Changes in valuation allowance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19"/>
                <w:szCs w:val="19"/>
                <w:color w:val="auto"/>
              </w:rPr>
            </w:pPr>
          </w:p>
        </w:tc>
      </w:tr>
      <w:tr>
        <w:trPr>
          <w:trHeight w:val="227"/>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w:t>
            </w:r>
          </w:p>
        </w:tc>
        <w:tc>
          <w:tcPr>
            <w:tcW w:w="80" w:type="dxa"/>
            <w:vAlign w:val="bottom"/>
            <w:shd w:val="clear" w:color="auto" w:fill="CFF0FC"/>
          </w:tcPr>
          <w:p>
            <w:pPr>
              <w:spacing w:after="0"/>
              <w:rPr>
                <w:sz w:val="19"/>
                <w:szCs w:val="19"/>
                <w:color w:val="auto"/>
              </w:rPr>
            </w:pPr>
          </w:p>
        </w:tc>
      </w:tr>
      <w:tr>
        <w:trPr>
          <w:trHeight w:val="219"/>
        </w:trPr>
        <w:tc>
          <w:tcPr>
            <w:tcW w:w="5380" w:type="dxa"/>
            <w:vAlign w:val="bottom"/>
          </w:tcPr>
          <w:p>
            <w:pPr>
              <w:spacing w:after="0"/>
              <w:rPr>
                <w:sz w:val="20"/>
                <w:szCs w:val="20"/>
                <w:color w:val="auto"/>
              </w:rPr>
            </w:pPr>
            <w:r>
              <w:rPr>
                <w:rFonts w:ascii="Arial" w:cs="Arial" w:eastAsia="Arial" w:hAnsi="Arial"/>
                <w:sz w:val="18"/>
                <w:szCs w:val="18"/>
                <w:color w:val="auto"/>
              </w:rPr>
              <w:t>Income tax benefit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(35,610)</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(5,791)</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(2,497)</w:t>
            </w:r>
          </w:p>
        </w:tc>
      </w:tr>
      <w:tr>
        <w:trPr>
          <w:trHeight w:val="20"/>
        </w:trPr>
        <w:tc>
          <w:tcPr>
            <w:tcW w:w="5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1"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On December 22, 2017, the U.S. government enacted comprehensive tax legislation referred to as the Tax Act. The Tax Act makes broad and complex changes to the U.S. tax code, including but not limited to (1) reducing the U.S. federal corporate tax rate from 35% to 21%; (2) requiring companies to pay a one-time transition tax on certain unrepatriated earnings of foreign subsidiaries; (3) generally eliminating U.S. federal income taxes on dividends from foreign subsidiaries; (4) requiring a current inclusion in U.S. federal taxable income of certain earnings of controlled foreign corporations; (5) eliminating the corporate alternative minimum tax (AMT); (6) creating the base erosion anti-abuse tax (BEAT), a new minimum tax; (7) creating a new limitation on deductible interest expense; and (8) changing rules related to uses and limitations of net operating loss carryforwards created in tax years beginning after December 31, 2017.</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60"/>
          </w:cols>
          <w:pgMar w:left="240" w:top="148" w:right="299" w:bottom="1440" w:gutter="0" w:footer="0" w:header="0"/>
        </w:sectPr>
      </w:pPr>
    </w:p>
    <w:bookmarkStart w:id="80" w:name="page81"/>
    <w:bookmarkEnd w:id="80"/>
    <w:p>
      <w:pPr>
        <w:ind w:right="120" w:firstLine="518"/>
        <w:spacing w:after="0" w:line="304" w:lineRule="auto"/>
        <w:rPr>
          <w:sz w:val="20"/>
          <w:szCs w:val="20"/>
          <w:color w:val="auto"/>
        </w:rPr>
      </w:pPr>
      <w:r>
        <w:rPr>
          <w:rFonts w:ascii="Arial" w:cs="Arial" w:eastAsia="Arial" w:hAnsi="Arial"/>
          <w:sz w:val="16"/>
          <w:szCs w:val="16"/>
          <w:color w:val="auto"/>
        </w:rPr>
        <w:t>The Company completed its calculation of the income tax effect of the Tax Act for the year ended December 31, 2017. As the Company is in a net deferred tax liability position as of the date of enactment of the Tax Act, the impact to the Company is a deferred income tax benefit of $15,720, primarily as a result of the reduction in the U.S. federal income tax rate. The other changes in tax law do not materially impact the Company for the year.</w:t>
      </w:r>
    </w:p>
    <w:p>
      <w:pPr>
        <w:spacing w:after="0" w:line="154" w:lineRule="exact"/>
        <w:rPr>
          <w:sz w:val="20"/>
          <w:szCs w:val="20"/>
          <w:color w:val="auto"/>
        </w:rPr>
      </w:pPr>
    </w:p>
    <w:p>
      <w:pPr>
        <w:ind w:right="320" w:firstLine="518"/>
        <w:spacing w:after="0" w:line="267" w:lineRule="auto"/>
        <w:rPr>
          <w:sz w:val="20"/>
          <w:szCs w:val="20"/>
          <w:color w:val="auto"/>
        </w:rPr>
      </w:pPr>
      <w:r>
        <w:rPr>
          <w:rFonts w:ascii="Arial" w:cs="Arial" w:eastAsia="Arial" w:hAnsi="Arial"/>
          <w:sz w:val="18"/>
          <w:szCs w:val="18"/>
          <w:color w:val="auto"/>
        </w:rPr>
        <w:t>At December 31, 2017 and 2016, the Company had loss carryforwards for federal income tax purposes of $207,875 and $51,158 respectively, which expire between 2034 and 2037.</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At December 31, 2017 and 2016, the Company had gross net operating loss carryforwards for state income tax purposes totaling $209,877 and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$128,066, respectively, which expire between 2023 and 2037. Due to changes in state tax law enacted during the year in a certain state, a valuation allowance in</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the amount of $767 was established in 2016 for state net operating loss carryforwards. In 2017, the valuation allowance was increased by $1,152.</w:t>
      </w:r>
    </w:p>
    <w:p>
      <w:pPr>
        <w:spacing w:after="0" w:line="220"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The Company also has foreign gross net operating loss carryforwards of approximately $7,637 and $12,165 as of December 31, 2017 and 2016, of which $2,898 expires between 2018 and 2028. The remaining amount of $4,739 may be carried forward indefinitely. At December 31, 2017 and 2016, a full valuation allowance has been established for the deferred tax asset of $1,962 and $3,795 related to foreign net operating loss carryforwards, respectively, as the Company believes it is more likely than not that the net operating loss carryforwards will not be realized.</w:t>
      </w:r>
    </w:p>
    <w:p>
      <w:pPr>
        <w:spacing w:after="0" w:line="177" w:lineRule="exact"/>
        <w:rPr>
          <w:sz w:val="20"/>
          <w:szCs w:val="20"/>
          <w:color w:val="auto"/>
        </w:rPr>
      </w:pPr>
    </w:p>
    <w:p>
      <w:pPr>
        <w:ind w:right="40" w:firstLine="518"/>
        <w:spacing w:after="0" w:line="267" w:lineRule="auto"/>
        <w:rPr>
          <w:sz w:val="20"/>
          <w:szCs w:val="20"/>
          <w:color w:val="auto"/>
        </w:rPr>
      </w:pPr>
      <w:r>
        <w:rPr>
          <w:rFonts w:ascii="Arial" w:cs="Arial" w:eastAsia="Arial" w:hAnsi="Arial"/>
          <w:sz w:val="18"/>
          <w:szCs w:val="18"/>
          <w:color w:val="auto"/>
        </w:rPr>
        <w:t>As of December 31, 2017 and 2016, the Company had $157 in unrecognized tax benefits, the recognition of which would have an impact of $124 on the effective tax rate.</w:t>
      </w:r>
    </w:p>
    <w:p>
      <w:pPr>
        <w:spacing w:after="0" w:line="180" w:lineRule="exact"/>
        <w:rPr>
          <w:sz w:val="20"/>
          <w:szCs w:val="20"/>
          <w:color w:val="auto"/>
        </w:rPr>
      </w:pPr>
    </w:p>
    <w:p>
      <w:pPr>
        <w:ind w:right="160" w:firstLine="518"/>
        <w:spacing w:after="0" w:line="267" w:lineRule="auto"/>
        <w:rPr>
          <w:sz w:val="20"/>
          <w:szCs w:val="20"/>
          <w:color w:val="auto"/>
        </w:rPr>
      </w:pPr>
      <w:r>
        <w:rPr>
          <w:rFonts w:ascii="Arial" w:cs="Arial" w:eastAsia="Arial" w:hAnsi="Arial"/>
          <w:sz w:val="18"/>
          <w:szCs w:val="18"/>
          <w:color w:val="auto"/>
        </w:rPr>
        <w:t>The Company does not expect that total unrecognized tax benefits will significantly increase or decrease within the next 12 months. Below is a tabular reconciliation of the total amounts of unrecognized tax benefits at the beginning and end of each period.</w:t>
      </w:r>
    </w:p>
    <w:p>
      <w:pPr>
        <w:spacing w:after="0" w:line="209" w:lineRule="exact"/>
        <w:rPr>
          <w:sz w:val="20"/>
          <w:szCs w:val="20"/>
          <w:color w:val="auto"/>
        </w:rPr>
      </w:pPr>
    </w:p>
    <w:tbl>
      <w:tblPr>
        <w:tblLayout w:type="fixed"/>
        <w:tblInd w:w="1160" w:type="dxa"/>
        <w:tblCellMar>
          <w:top w:w="0" w:type="dxa"/>
          <w:left w:w="0" w:type="dxa"/>
          <w:bottom w:w="0" w:type="dxa"/>
          <w:right w:w="0" w:type="dxa"/>
        </w:tblCellMar>
      </w:tblPr>
      <w:tr>
        <w:trPr>
          <w:trHeight w:val="185"/>
        </w:trPr>
        <w:tc>
          <w:tcPr>
            <w:tcW w:w="5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6"/>
                <w:szCs w:val="16"/>
                <w:color w:val="auto"/>
              </w:rPr>
            </w:pPr>
          </w:p>
        </w:tc>
      </w:tr>
      <w:tr>
        <w:trPr>
          <w:trHeight w:val="25"/>
        </w:trPr>
        <w:tc>
          <w:tcPr>
            <w:tcW w:w="5380" w:type="dxa"/>
            <w:vAlign w:val="bottom"/>
            <w:tcBorders>
              <w:bottom w:val="single" w:sz="8" w:color="CFF0FC"/>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r>
      <w:tr>
        <w:trPr>
          <w:trHeight w:val="22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benefits — January 1</w:t>
            </w:r>
          </w:p>
        </w:tc>
        <w:tc>
          <w:tcPr>
            <w:tcW w:w="740" w:type="dxa"/>
            <w:vAlign w:val="bottom"/>
            <w:shd w:val="clear" w:color="auto" w:fill="CFF0FC"/>
          </w:tcPr>
          <w:p>
            <w:pPr>
              <w:jc w:val="right"/>
              <w:ind w:right="588"/>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157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88"/>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157</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80" w:type="dxa"/>
            <w:vAlign w:val="bottom"/>
            <w:shd w:val="clear" w:color="auto" w:fill="CFF0FC"/>
          </w:tcPr>
          <w:p>
            <w:pPr>
              <w:spacing w:after="0"/>
              <w:rPr>
                <w:sz w:val="19"/>
                <w:szCs w:val="19"/>
                <w:color w:val="auto"/>
              </w:rPr>
            </w:pPr>
          </w:p>
        </w:tc>
      </w:tr>
      <w:tr>
        <w:trPr>
          <w:trHeight w:val="226"/>
        </w:trPr>
        <w:tc>
          <w:tcPr>
            <w:tcW w:w="5380" w:type="dxa"/>
            <w:vAlign w:val="bottom"/>
          </w:tcPr>
          <w:p>
            <w:pPr>
              <w:spacing w:after="0"/>
              <w:rPr>
                <w:sz w:val="20"/>
                <w:szCs w:val="20"/>
                <w:color w:val="auto"/>
              </w:rPr>
            </w:pPr>
            <w:r>
              <w:rPr>
                <w:rFonts w:ascii="Arial" w:cs="Arial" w:eastAsia="Arial" w:hAnsi="Arial"/>
                <w:sz w:val="18"/>
                <w:szCs w:val="18"/>
                <w:color w:val="auto"/>
              </w:rPr>
              <w:t>Gross increases — tax positions in prior period</w:t>
            </w:r>
          </w:p>
        </w:tc>
        <w:tc>
          <w:tcPr>
            <w:tcW w:w="740" w:type="dxa"/>
            <w:vAlign w:val="bottom"/>
          </w:tcPr>
          <w:p>
            <w:pPr>
              <w:spacing w:after="0"/>
              <w:rPr>
                <w:sz w:val="19"/>
                <w:szCs w:val="19"/>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7"/>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Gross increases — current period tax positions</w:t>
            </w:r>
          </w:p>
        </w:tc>
        <w:tc>
          <w:tcPr>
            <w:tcW w:w="740" w:type="dxa"/>
            <w:vAlign w:val="bottom"/>
            <w:shd w:val="clear" w:color="auto" w:fill="CFF0FC"/>
          </w:tcPr>
          <w:p>
            <w:pPr>
              <w:spacing w:after="0"/>
              <w:rPr>
                <w:sz w:val="19"/>
                <w:szCs w:val="19"/>
                <w:color w:val="auto"/>
              </w:rPr>
            </w:pPr>
          </w:p>
        </w:tc>
        <w:tc>
          <w:tcPr>
            <w:tcW w:w="54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6"/>
        </w:trPr>
        <w:tc>
          <w:tcPr>
            <w:tcW w:w="5380" w:type="dxa"/>
            <w:vAlign w:val="bottom"/>
          </w:tcPr>
          <w:p>
            <w:pPr>
              <w:spacing w:after="0"/>
              <w:rPr>
                <w:sz w:val="20"/>
                <w:szCs w:val="20"/>
                <w:color w:val="auto"/>
              </w:rPr>
            </w:pPr>
            <w:r>
              <w:rPr>
                <w:rFonts w:ascii="Arial" w:cs="Arial" w:eastAsia="Arial" w:hAnsi="Arial"/>
                <w:sz w:val="18"/>
                <w:szCs w:val="18"/>
                <w:color w:val="auto"/>
              </w:rPr>
              <w:t>Gross decreases — expirations</w:t>
            </w:r>
          </w:p>
        </w:tc>
        <w:tc>
          <w:tcPr>
            <w:tcW w:w="740" w:type="dxa"/>
            <w:vAlign w:val="bottom"/>
          </w:tcPr>
          <w:p>
            <w:pPr>
              <w:spacing w:after="0"/>
              <w:rPr>
                <w:sz w:val="19"/>
                <w:szCs w:val="19"/>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7"/>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Gross decreases — tax positions in prior period</w:t>
            </w:r>
          </w:p>
        </w:tc>
        <w:tc>
          <w:tcPr>
            <w:tcW w:w="740" w:type="dxa"/>
            <w:vAlign w:val="bottom"/>
            <w:shd w:val="clear" w:color="auto" w:fill="CFF0FC"/>
          </w:tcPr>
          <w:p>
            <w:pPr>
              <w:spacing w:after="0"/>
              <w:rPr>
                <w:sz w:val="19"/>
                <w:szCs w:val="19"/>
                <w:color w:val="auto"/>
              </w:rPr>
            </w:pPr>
          </w:p>
        </w:tc>
        <w:tc>
          <w:tcPr>
            <w:tcW w:w="54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(285)</w:t>
            </w:r>
          </w:p>
        </w:tc>
      </w:tr>
      <w:tr>
        <w:trPr>
          <w:trHeight w:val="219"/>
        </w:trPr>
        <w:tc>
          <w:tcPr>
            <w:tcW w:w="5380" w:type="dxa"/>
            <w:vAlign w:val="bottom"/>
          </w:tcPr>
          <w:p>
            <w:pPr>
              <w:spacing w:after="0"/>
              <w:rPr>
                <w:sz w:val="20"/>
                <w:szCs w:val="20"/>
                <w:color w:val="auto"/>
              </w:rPr>
            </w:pPr>
            <w:r>
              <w:rPr>
                <w:rFonts w:ascii="Arial" w:cs="Arial" w:eastAsia="Arial" w:hAnsi="Arial"/>
                <w:sz w:val="18"/>
                <w:szCs w:val="18"/>
                <w:color w:val="auto"/>
              </w:rPr>
              <w:t>Unrecognized tax benefits — December 31,</w:t>
            </w:r>
          </w:p>
        </w:tc>
        <w:tc>
          <w:tcPr>
            <w:tcW w:w="74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157</w:t>
            </w: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157</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1" w:lineRule="exact"/>
        <w:rPr>
          <w:sz w:val="20"/>
          <w:szCs w:val="20"/>
          <w:color w:val="auto"/>
        </w:rPr>
      </w:pPr>
    </w:p>
    <w:p>
      <w:pPr>
        <w:ind w:right="220" w:firstLine="518"/>
        <w:spacing w:after="0" w:line="267" w:lineRule="auto"/>
        <w:rPr>
          <w:sz w:val="20"/>
          <w:szCs w:val="20"/>
          <w:color w:val="auto"/>
        </w:rPr>
      </w:pPr>
      <w:r>
        <w:rPr>
          <w:rFonts w:ascii="Arial" w:cs="Arial" w:eastAsia="Arial" w:hAnsi="Arial"/>
          <w:sz w:val="18"/>
          <w:szCs w:val="18"/>
          <w:color w:val="auto"/>
        </w:rPr>
        <w:t>The Company’s policy is to recognize interest and penalties related to income tax matters in income tax expense. As of December 31, 2017 and 2016, the Company had approximately $53 and $37, respectively, of interest and penalties recorded.</w:t>
      </w:r>
    </w:p>
    <w:p>
      <w:pPr>
        <w:spacing w:after="0" w:line="180" w:lineRule="exact"/>
        <w:rPr>
          <w:sz w:val="20"/>
          <w:szCs w:val="20"/>
          <w:color w:val="auto"/>
        </w:rPr>
      </w:pPr>
    </w:p>
    <w:p>
      <w:pPr>
        <w:ind w:firstLine="518"/>
        <w:spacing w:after="0" w:line="252" w:lineRule="auto"/>
        <w:rPr>
          <w:sz w:val="20"/>
          <w:szCs w:val="20"/>
          <w:color w:val="auto"/>
        </w:rPr>
      </w:pPr>
      <w:r>
        <w:rPr>
          <w:rFonts w:ascii="Arial" w:cs="Arial" w:eastAsia="Arial" w:hAnsi="Arial"/>
          <w:sz w:val="18"/>
          <w:szCs w:val="18"/>
          <w:color w:val="auto"/>
        </w:rPr>
        <w:t>The Company files income tax returns at the U.S. federal level and in various state and foreign jurisdictions. U.S. federal income tax years prior to 2014 are closed and no longer subject to examination. In 2016, the Internal Revenue Service completed an examination of the Company’s 2011 and 2012 U.S. federal income tax returns. The examinations did not result in any material adjustments. With few exceptions, the statute of limitations in state taxing jurisdictions in which the Company operates has expired for all years prior to 2013. In foreign jurisdictions in which the Company operates, years prior to 2012 are closed and are no longer subject to examination.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407" w:right="259" w:bottom="1440" w:gutter="0" w:footer="0" w:header="0"/>
        </w:sectPr>
      </w:pPr>
    </w:p>
    <w:bookmarkStart w:id="81" w:name="page82"/>
    <w:bookmarkEnd w:id="81"/>
    <w:p>
      <w:pPr>
        <w:ind w:left="520"/>
        <w:spacing w:after="0"/>
        <w:rPr>
          <w:sz w:val="20"/>
          <w:szCs w:val="20"/>
          <w:color w:val="auto"/>
        </w:rPr>
      </w:pPr>
      <w:r>
        <w:rPr>
          <w:rFonts w:ascii="Arial" w:cs="Arial" w:eastAsia="Arial" w:hAnsi="Arial"/>
          <w:sz w:val="18"/>
          <w:szCs w:val="18"/>
          <w:color w:val="auto"/>
        </w:rPr>
        <w:t>The Company’s deferred tax assets (liabilities) at December 31, 2017 and 2016 are as follows:</w:t>
      </w:r>
    </w:p>
    <w:p>
      <w:pPr>
        <w:spacing w:after="0" w:line="249" w:lineRule="exact"/>
        <w:rPr>
          <w:sz w:val="20"/>
          <w:szCs w:val="20"/>
          <w:color w:val="auto"/>
        </w:rPr>
      </w:pPr>
    </w:p>
    <w:tbl>
      <w:tblPr>
        <w:tblLayout w:type="fixed"/>
        <w:tblInd w:w="1720" w:type="dxa"/>
        <w:tblCellMar>
          <w:top w:w="0" w:type="dxa"/>
          <w:left w:w="0" w:type="dxa"/>
          <w:bottom w:w="0" w:type="dxa"/>
          <w:right w:w="0" w:type="dxa"/>
        </w:tblCellMar>
      </w:tblPr>
      <w:tr>
        <w:trPr>
          <w:trHeight w:val="185"/>
        </w:trPr>
        <w:tc>
          <w:tcPr>
            <w:tcW w:w="40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60" w:type="dxa"/>
            <w:vAlign w:val="bottom"/>
            <w:tcBorders>
              <w:bottom w:val="single" w:sz="8" w:color="CFF0FC"/>
            </w:tcBorders>
          </w:tcPr>
          <w:p>
            <w:pPr>
              <w:spacing w:after="0"/>
              <w:rPr>
                <w:sz w:val="2"/>
                <w:szCs w:val="2"/>
                <w:color w:val="auto"/>
              </w:rPr>
            </w:pPr>
          </w:p>
        </w:tc>
        <w:tc>
          <w:tcPr>
            <w:tcW w:w="138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60" w:type="dxa"/>
            <w:vAlign w:val="bottom"/>
          </w:tcPr>
          <w:p>
            <w:pPr>
              <w:ind w:left="240"/>
              <w:spacing w:after="0"/>
              <w:rPr>
                <w:sz w:val="20"/>
                <w:szCs w:val="20"/>
                <w:color w:val="auto"/>
              </w:rPr>
            </w:pPr>
            <w:r>
              <w:rPr>
                <w:rFonts w:ascii="Arial" w:cs="Arial" w:eastAsia="Arial" w:hAnsi="Arial"/>
                <w:sz w:val="18"/>
                <w:szCs w:val="18"/>
                <w:color w:val="auto"/>
              </w:rPr>
              <w:t>Accrued liabilities</w:t>
            </w:r>
          </w:p>
        </w:tc>
        <w:tc>
          <w:tcPr>
            <w:tcW w:w="16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8,119</w:t>
            </w:r>
          </w:p>
        </w:tc>
        <w:tc>
          <w:tcPr>
            <w:tcW w:w="120" w:type="dxa"/>
            <w:vAlign w:val="bottom"/>
          </w:tcPr>
          <w:p>
            <w:pPr>
              <w:spacing w:after="0"/>
              <w:rPr>
                <w:sz w:val="19"/>
                <w:szCs w:val="19"/>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16,194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NOLs</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43,654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17,905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60" w:type="dxa"/>
            <w:vAlign w:val="bottom"/>
          </w:tcPr>
          <w:p>
            <w:pPr>
              <w:ind w:left="240"/>
              <w:spacing w:after="0"/>
              <w:rPr>
                <w:sz w:val="20"/>
                <w:szCs w:val="20"/>
                <w:color w:val="auto"/>
              </w:rPr>
            </w:pPr>
            <w:r>
              <w:rPr>
                <w:rFonts w:ascii="Arial" w:cs="Arial" w:eastAsia="Arial" w:hAnsi="Arial"/>
                <w:sz w:val="18"/>
                <w:szCs w:val="18"/>
                <w:color w:val="auto"/>
              </w:rPr>
              <w:t>Foreign NOLs</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1,962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NOLs</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60" w:type="dxa"/>
            <w:vAlign w:val="bottom"/>
          </w:tcPr>
          <w:p>
            <w:pPr>
              <w:ind w:left="240"/>
              <w:spacing w:after="0"/>
              <w:rPr>
                <w:sz w:val="20"/>
                <w:szCs w:val="20"/>
                <w:color w:val="auto"/>
              </w:rPr>
            </w:pPr>
            <w:r>
              <w:rPr>
                <w:rFonts w:ascii="Arial" w:cs="Arial" w:eastAsia="Arial" w:hAnsi="Arial"/>
                <w:sz w:val="18"/>
                <w:szCs w:val="18"/>
                <w:color w:val="auto"/>
              </w:rPr>
              <w:t>Tax credit carryforwards</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1,941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Charitable contribution</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60" w:type="dxa"/>
            <w:vAlign w:val="bottom"/>
          </w:tcPr>
          <w:p>
            <w:pPr>
              <w:ind w:left="240"/>
              <w:spacing w:after="0"/>
              <w:rPr>
                <w:sz w:val="20"/>
                <w:szCs w:val="20"/>
                <w:color w:val="auto"/>
              </w:rPr>
            </w:pPr>
            <w:r>
              <w:rPr>
                <w:rFonts w:ascii="Arial" w:cs="Arial" w:eastAsia="Arial" w:hAnsi="Arial"/>
                <w:sz w:val="18"/>
                <w:szCs w:val="18"/>
                <w:color w:val="auto"/>
              </w:rPr>
              <w:t>Valuation allowance</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(4,294)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(7,133)</w:t>
            </w:r>
          </w:p>
        </w:tc>
        <w:tc>
          <w:tcPr>
            <w:tcW w:w="0" w:type="dxa"/>
            <w:vAlign w:val="bottom"/>
          </w:tcPr>
          <w:p>
            <w:pPr>
              <w:spacing w:after="0"/>
              <w:rPr>
                <w:sz w:val="1"/>
                <w:szCs w:val="1"/>
                <w:color w:val="auto"/>
              </w:rPr>
            </w:pPr>
          </w:p>
        </w:tc>
      </w:tr>
      <w:tr>
        <w:trPr>
          <w:trHeight w:val="220"/>
        </w:trPr>
        <w:tc>
          <w:tcPr>
            <w:tcW w:w="40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deferred tax assets</w:t>
            </w:r>
          </w:p>
        </w:tc>
        <w:tc>
          <w:tcPr>
            <w:tcW w:w="13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65,104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44,603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0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6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(89,966)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(111,793)</w:t>
            </w:r>
          </w:p>
        </w:tc>
        <w:tc>
          <w:tcPr>
            <w:tcW w:w="0" w:type="dxa"/>
            <w:vAlign w:val="bottom"/>
          </w:tcPr>
          <w:p>
            <w:pPr>
              <w:spacing w:after="0"/>
              <w:rPr>
                <w:sz w:val="1"/>
                <w:szCs w:val="1"/>
                <w:color w:val="auto"/>
              </w:rPr>
            </w:pPr>
          </w:p>
        </w:tc>
      </w:tr>
      <w:tr>
        <w:trPr>
          <w:trHeight w:val="227"/>
        </w:trPr>
        <w:tc>
          <w:tcPr>
            <w:tcW w:w="4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liabilities</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(699)</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0"/>
        </w:trPr>
        <w:tc>
          <w:tcPr>
            <w:tcW w:w="4060" w:type="dxa"/>
            <w:vAlign w:val="bottom"/>
            <w:vMerge w:val="restart"/>
          </w:tcPr>
          <w:p>
            <w:pPr>
              <w:ind w:left="480"/>
              <w:spacing w:after="0"/>
              <w:rPr>
                <w:sz w:val="20"/>
                <w:szCs w:val="20"/>
                <w:color w:val="auto"/>
              </w:rPr>
            </w:pPr>
            <w:r>
              <w:rPr>
                <w:rFonts w:ascii="Arial" w:cs="Arial" w:eastAsia="Arial" w:hAnsi="Arial"/>
                <w:sz w:val="18"/>
                <w:szCs w:val="18"/>
                <w:color w:val="auto"/>
              </w:rPr>
              <w:t>Total deferred tax liabilities</w:t>
            </w:r>
          </w:p>
        </w:tc>
        <w:tc>
          <w:tcPr>
            <w:tcW w:w="1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060" w:type="dxa"/>
            <w:vAlign w:val="bottom"/>
            <w:vMerge w:val="continue"/>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(90,665)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(113,052)</w:t>
            </w:r>
          </w:p>
        </w:tc>
        <w:tc>
          <w:tcPr>
            <w:tcW w:w="0" w:type="dxa"/>
            <w:vAlign w:val="bottom"/>
          </w:tcPr>
          <w:p>
            <w:pPr>
              <w:spacing w:after="0"/>
              <w:rPr>
                <w:sz w:val="1"/>
                <w:szCs w:val="1"/>
                <w:color w:val="auto"/>
              </w:rPr>
            </w:pPr>
          </w:p>
        </w:tc>
      </w:tr>
      <w:tr>
        <w:trPr>
          <w:trHeight w:val="20"/>
        </w:trPr>
        <w:tc>
          <w:tcPr>
            <w:tcW w:w="40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noncurrent deferred tax liabilities</w:t>
            </w:r>
          </w:p>
        </w:tc>
        <w:tc>
          <w:tcPr>
            <w:tcW w:w="13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060" w:type="dxa"/>
            <w:vAlign w:val="bottom"/>
            <w:vMerge w:val="continue"/>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(25,561)</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(68,449)</w:t>
            </w: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firstLine="518"/>
        <w:spacing w:after="0" w:line="282" w:lineRule="auto"/>
        <w:rPr>
          <w:sz w:val="20"/>
          <w:szCs w:val="20"/>
          <w:color w:val="auto"/>
        </w:rPr>
      </w:pPr>
      <w:r>
        <w:rPr>
          <w:rFonts w:ascii="Arial" w:cs="Arial" w:eastAsia="Arial" w:hAnsi="Arial"/>
          <w:sz w:val="16"/>
          <w:szCs w:val="16"/>
          <w:color w:val="auto"/>
        </w:rPr>
        <w:t>Deferred tax assets relate primarily to reserves and other liabilities for costs and expenses not currently deductible for tax purposes as well as net operating loss and other carryforwards. Deferred tax liabilities relate primarily to the cumulative difference between book depreciation and amounts deducted for tax purposes. The Company evaluates its ability to realize deferred tax assets by considering all available positive and negative evidence. This evidence includes the Company’s cumulative earnings or losses in recent years. The Company further considers the impact on these cumulative earnings or losses of discontinued operations and other divested operations and joint ventures, restructuring charges and other nonrecurring adjustments that are not indicative of the Company’s ability to generate taxable income in future periods. The Company also considers sources of taxable income, such as the amount and timing of realization of its deferred tax liabilities relative to the timing of expiration of loss carryforwards. When it is estimated to be more likely than not that all or some portion of deferred tax assets will not be realized, the Company establishes a valuation allowance for the amount of such deferred tax assets considered to be unrealizable. After evaluating the positive and negative evidence for future realization of deferred tax assets, the Company recorded valuation allowances for foreign net operating loss carryforwards, foreign tax credits and certain state net operating loss carryforwards to reduce the balance of these deferred tax assets at December 31, 2017 and 2016 as it was more likely than not that the balance of these tax items would not be realized. By contrast, after evaluating the positive and negative evidence, the Company concluded that it was more likely than not that the deferred federal income tax asset recorded at December 31, 2017 and 2016 would ultimately be realized and determined that no valuation allowance was required.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SHARE-BASED COMPENSATION</w:t>
      </w:r>
    </w:p>
    <w:p>
      <w:pPr>
        <w:spacing w:after="0" w:line="119"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The Company’s 2017 Long-Term Incentive Plan (“Incentive Plan”) permits the granting of stock options, stock appreciation rights, restricted stock and restricted stock units to its employees and directors for up to 3.3 million shares of common stock, plus an additional 1.7 million shares underlying equity awards issued under the 2007 Long-Term Incentive Plan. The Company may also issue share-based compensation as inducement awards to new employees upon approval of the Board of Directors.</w:t>
      </w:r>
    </w:p>
    <w:p>
      <w:pPr>
        <w:spacing w:after="0" w:line="191" w:lineRule="exact"/>
        <w:rPr>
          <w:sz w:val="20"/>
          <w:szCs w:val="20"/>
          <w:color w:val="auto"/>
        </w:rPr>
      </w:pPr>
    </w:p>
    <w:p>
      <w:pPr>
        <w:ind w:right="20" w:firstLine="518"/>
        <w:spacing w:after="0" w:line="267" w:lineRule="auto"/>
        <w:rPr>
          <w:sz w:val="20"/>
          <w:szCs w:val="20"/>
          <w:color w:val="auto"/>
        </w:rPr>
      </w:pPr>
      <w:r>
        <w:rPr>
          <w:rFonts w:ascii="Arial" w:cs="Arial" w:eastAsia="Arial" w:hAnsi="Arial"/>
          <w:sz w:val="18"/>
          <w:szCs w:val="18"/>
          <w:color w:val="auto"/>
        </w:rPr>
        <w:t>Compensation cost charged to expense related to share-based compensation arrangements was $2,963, $2,455 and $4,040, for the years ended December 31, 2017, 2016 and 2015, respectively.</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Non-qualified stock options</w:t>
      </w:r>
    </w:p>
    <w:p>
      <w:pPr>
        <w:spacing w:after="0" w:line="113" w:lineRule="exact"/>
        <w:rPr>
          <w:sz w:val="20"/>
          <w:szCs w:val="20"/>
          <w:color w:val="auto"/>
        </w:rPr>
      </w:pPr>
    </w:p>
    <w:p>
      <w:pPr>
        <w:ind w:right="540" w:firstLine="518"/>
        <w:spacing w:after="0" w:line="331" w:lineRule="auto"/>
        <w:rPr>
          <w:sz w:val="20"/>
          <w:szCs w:val="20"/>
          <w:color w:val="auto"/>
        </w:rPr>
      </w:pPr>
      <w:r>
        <w:rPr>
          <w:rFonts w:ascii="Arial" w:cs="Arial" w:eastAsia="Arial" w:hAnsi="Arial"/>
          <w:sz w:val="16"/>
          <w:szCs w:val="16"/>
          <w:color w:val="auto"/>
        </w:rPr>
        <w:t>The NQSO awards were granted with an exercise price equal to the market price of the Company’s common stock at the date of grant. The option awards generally vest in three equal annual installments commencing on the first anniversary of the grant date, and have ten year exercise periods.</w:t>
      </w:r>
    </w:p>
    <w:p>
      <w:pPr>
        <w:spacing w:after="0" w:line="133"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The fair value of the NQSOs was determined at the grant date using a Black-Scholes option pricing model, which requires the Company to make several assumptions. The risk-free interest rate is based on the U.S. Treasury yield curve in effect for the expected term of the option at the time of grant. The annual dividend yield on the Company’s common stock is based on estimates of future dividends during the expected term of the NQSOs. The expected life of the NQSOs was determined from historical exercise data providing a reasonable basis upon which to estimate the expected life. The volatility assumptions were based on historical volatility of Great Lakes. There is not an active market for options on the Company’s common stock and, as such, implied volatility for the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82" w:name="page83"/>
    <w:bookmarkEnd w:id="82"/>
    <w:p>
      <w:pPr>
        <w:ind w:right="360"/>
        <w:spacing w:after="0" w:line="267" w:lineRule="auto"/>
        <w:rPr>
          <w:sz w:val="20"/>
          <w:szCs w:val="20"/>
          <w:color w:val="auto"/>
        </w:rPr>
      </w:pPr>
      <w:r>
        <w:rPr>
          <w:rFonts w:ascii="Arial" w:cs="Arial" w:eastAsia="Arial" w:hAnsi="Arial"/>
          <w:sz w:val="18"/>
          <w:szCs w:val="18"/>
          <w:color w:val="auto"/>
        </w:rPr>
        <w:t>Company’s stock was not considered. Additionally, the Company’s general policy is to issue new shares of registered common stock to satisfy stock option exercises or grants of restricted stock. No NQSO awards were granted in 2017, 2016 and 2015.</w:t>
      </w:r>
    </w:p>
    <w:p>
      <w:pPr>
        <w:spacing w:after="0" w:line="220" w:lineRule="exact"/>
        <w:rPr>
          <w:sz w:val="20"/>
          <w:szCs w:val="20"/>
          <w:color w:val="auto"/>
        </w:rPr>
      </w:pPr>
    </w:p>
    <w:p>
      <w:pPr>
        <w:ind w:right="580" w:firstLine="518"/>
        <w:spacing w:after="0" w:line="267" w:lineRule="auto"/>
        <w:rPr>
          <w:sz w:val="20"/>
          <w:szCs w:val="20"/>
          <w:color w:val="auto"/>
        </w:rPr>
      </w:pPr>
      <w:r>
        <w:rPr>
          <w:rFonts w:ascii="Arial" w:cs="Arial" w:eastAsia="Arial" w:hAnsi="Arial"/>
          <w:sz w:val="18"/>
          <w:szCs w:val="18"/>
          <w:color w:val="auto"/>
        </w:rPr>
        <w:t>A summary of stock option activity under the Incentive Plan as of December 31, 2017, and changes during the year ended December 31, 2017, is presented below:</w:t>
      </w:r>
    </w:p>
    <w:p>
      <w:pPr>
        <w:spacing w:after="0" w:line="16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Weighted Average</w:t>
            </w:r>
          </w:p>
        </w:tc>
        <w:tc>
          <w:tcPr>
            <w:tcW w:w="14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Weighted-Average</w:t>
            </w:r>
          </w:p>
        </w:tc>
        <w:tc>
          <w:tcPr>
            <w:tcW w:w="13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Aggregate Intrinsic</w:t>
            </w:r>
          </w:p>
        </w:tc>
        <w:tc>
          <w:tcPr>
            <w:tcW w:w="0" w:type="dxa"/>
            <w:vAlign w:val="bottom"/>
          </w:tcPr>
          <w:p>
            <w:pPr>
              <w:spacing w:after="0"/>
              <w:rPr>
                <w:sz w:val="1"/>
                <w:szCs w:val="1"/>
                <w:color w:val="auto"/>
              </w:rPr>
            </w:pPr>
          </w:p>
        </w:tc>
      </w:tr>
      <w:tr>
        <w:trPr>
          <w:trHeight w:val="147"/>
        </w:trPr>
        <w:tc>
          <w:tcPr>
            <w:tcW w:w="4620" w:type="dxa"/>
            <w:vAlign w:val="bottom"/>
            <w:vMerge w:val="restart"/>
          </w:tcPr>
          <w:p>
            <w:pPr>
              <w:ind w:left="2060"/>
              <w:spacing w:after="0"/>
              <w:rPr>
                <w:sz w:val="20"/>
                <w:szCs w:val="20"/>
                <w:color w:val="auto"/>
              </w:rPr>
            </w:pPr>
            <w:r>
              <w:rPr>
                <w:rFonts w:ascii="Arial" w:cs="Arial" w:eastAsia="Arial" w:hAnsi="Arial"/>
                <w:sz w:val="14"/>
                <w:szCs w:val="14"/>
                <w:b w:val="1"/>
                <w:bCs w:val="1"/>
                <w:color w:val="auto"/>
              </w:rPr>
              <w:t>Options</w:t>
            </w:r>
          </w:p>
        </w:tc>
        <w:tc>
          <w:tcPr>
            <w:tcW w:w="100" w:type="dxa"/>
            <w:vAlign w:val="bottom"/>
            <w:vMerge w:val="restart"/>
          </w:tcPr>
          <w:p>
            <w:pPr>
              <w:spacing w:after="0"/>
              <w:rPr>
                <w:sz w:val="12"/>
                <w:szCs w:val="12"/>
                <w:color w:val="auto"/>
              </w:rPr>
            </w:pPr>
          </w:p>
        </w:tc>
        <w:tc>
          <w:tcPr>
            <w:tcW w:w="11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1440" w:type="dxa"/>
            <w:vAlign w:val="bottom"/>
            <w:gridSpan w:val="3"/>
          </w:tcPr>
          <w:p>
            <w:pPr>
              <w:jc w:val="center"/>
              <w:ind w:right="220"/>
              <w:spacing w:after="0" w:line="147" w:lineRule="exact"/>
              <w:rPr>
                <w:sz w:val="20"/>
                <w:szCs w:val="20"/>
                <w:color w:val="auto"/>
              </w:rPr>
            </w:pPr>
            <w:r>
              <w:rPr>
                <w:rFonts w:ascii="Arial" w:cs="Arial" w:eastAsia="Arial" w:hAnsi="Arial"/>
                <w:sz w:val="14"/>
                <w:szCs w:val="14"/>
                <w:b w:val="1"/>
                <w:bCs w:val="1"/>
                <w:color w:val="auto"/>
                <w:w w:val="92"/>
              </w:rPr>
              <w:t>Remaining</w:t>
            </w:r>
          </w:p>
        </w:tc>
        <w:tc>
          <w:tcPr>
            <w:tcW w:w="13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6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Contract Term (yrs)</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2"/>
              </w:rPr>
              <w:t>Value ($000's)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720" w:type="dxa"/>
            <w:vAlign w:val="bottom"/>
            <w:gridSpan w:val="2"/>
          </w:tcPr>
          <w:p>
            <w:pPr>
              <w:spacing w:after="0"/>
              <w:rPr>
                <w:sz w:val="20"/>
                <w:szCs w:val="20"/>
                <w:color w:val="auto"/>
              </w:rPr>
            </w:pPr>
            <w:r>
              <w:rPr>
                <w:rFonts w:ascii="Arial" w:cs="Arial" w:eastAsia="Arial" w:hAnsi="Arial"/>
                <w:sz w:val="18"/>
                <w:szCs w:val="18"/>
                <w:color w:val="auto"/>
              </w:rPr>
              <w:t>Outstanding as of January 1, 2017</w:t>
            </w:r>
          </w:p>
        </w:tc>
        <w:tc>
          <w:tcPr>
            <w:tcW w:w="1180" w:type="dxa"/>
            <w:vAlign w:val="bottom"/>
          </w:tcPr>
          <w:p>
            <w:pPr>
              <w:jc w:val="right"/>
              <w:spacing w:after="0"/>
              <w:rPr>
                <w:sz w:val="20"/>
                <w:szCs w:val="20"/>
                <w:color w:val="auto"/>
              </w:rPr>
            </w:pPr>
            <w:r>
              <w:rPr>
                <w:rFonts w:ascii="Arial" w:cs="Arial" w:eastAsia="Arial" w:hAnsi="Arial"/>
                <w:sz w:val="18"/>
                <w:szCs w:val="18"/>
                <w:color w:val="auto"/>
              </w:rPr>
              <w:t>1,699</w:t>
            </w:r>
          </w:p>
        </w:tc>
        <w:tc>
          <w:tcPr>
            <w:tcW w:w="1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Granted</w:t>
            </w: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2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Forfeited or Expired</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Outstanding as of December 31, 2017</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1,377</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20" w:type="dxa"/>
            <w:vAlign w:val="bottom"/>
            <w:gridSpan w:val="2"/>
          </w:tcPr>
          <w:p>
            <w:pPr>
              <w:spacing w:after="0"/>
              <w:rPr>
                <w:sz w:val="20"/>
                <w:szCs w:val="20"/>
                <w:color w:val="auto"/>
              </w:rPr>
            </w:pPr>
            <w:r>
              <w:rPr>
                <w:rFonts w:ascii="Arial" w:cs="Arial" w:eastAsia="Arial" w:hAnsi="Arial"/>
                <w:sz w:val="18"/>
                <w:szCs w:val="18"/>
                <w:color w:val="auto"/>
              </w:rPr>
              <w:t>Vested at December 31, 2017</w:t>
            </w:r>
          </w:p>
        </w:tc>
        <w:tc>
          <w:tcPr>
            <w:tcW w:w="1180" w:type="dxa"/>
            <w:vAlign w:val="bottom"/>
          </w:tcPr>
          <w:p>
            <w:pPr>
              <w:jc w:val="right"/>
              <w:spacing w:after="0"/>
              <w:rPr>
                <w:sz w:val="20"/>
                <w:szCs w:val="20"/>
                <w:color w:val="auto"/>
              </w:rPr>
            </w:pPr>
            <w:r>
              <w:rPr>
                <w:rFonts w:ascii="Arial" w:cs="Arial" w:eastAsia="Arial" w:hAnsi="Arial"/>
                <w:sz w:val="18"/>
                <w:szCs w:val="18"/>
                <w:color w:val="auto"/>
              </w:rPr>
              <w:t>1,377</w:t>
            </w:r>
          </w:p>
        </w:tc>
        <w:tc>
          <w:tcPr>
            <w:tcW w:w="1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3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Restricted stock units</w:t>
      </w:r>
    </w:p>
    <w:p>
      <w:pPr>
        <w:spacing w:after="0" w:line="113"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RSUs can either vest in equal portions over the three year vesting period or vest in one installment on the third anniversary of the grant date. The fair value of RSUs was based upon the Company’s stock price on the date of grant. A summary of the status of the Company’s non-vested RSUs as of December 31, 2017, and changes during the year ended December 31, 2017, is presented below:</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7"/>
        </w:trPr>
        <w:tc>
          <w:tcPr>
            <w:tcW w:w="4940" w:type="dxa"/>
            <w:vAlign w:val="bottom"/>
            <w:vMerge w:val="restart"/>
          </w:tcPr>
          <w:p>
            <w:pPr>
              <w:ind w:left="1440"/>
              <w:spacing w:after="0"/>
              <w:rPr>
                <w:sz w:val="20"/>
                <w:szCs w:val="20"/>
                <w:color w:val="auto"/>
              </w:rPr>
            </w:pPr>
            <w:r>
              <w:rPr>
                <w:rFonts w:ascii="Arial" w:cs="Arial" w:eastAsia="Arial" w:hAnsi="Arial"/>
                <w:sz w:val="14"/>
                <w:szCs w:val="14"/>
                <w:b w:val="1"/>
                <w:bCs w:val="1"/>
                <w:color w:val="auto"/>
              </w:rPr>
              <w:t>Nonvested Restricted Stock Units</w:t>
            </w:r>
          </w:p>
        </w:tc>
        <w:tc>
          <w:tcPr>
            <w:tcW w:w="120" w:type="dxa"/>
            <w:vAlign w:val="bottom"/>
            <w:vMerge w:val="restart"/>
          </w:tcPr>
          <w:p>
            <w:pPr>
              <w:spacing w:after="0"/>
              <w:rPr>
                <w:sz w:val="12"/>
                <w:szCs w:val="12"/>
                <w:color w:val="auto"/>
              </w:rPr>
            </w:pPr>
          </w:p>
        </w:tc>
        <w:tc>
          <w:tcPr>
            <w:tcW w:w="130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Shares</w:t>
            </w:r>
          </w:p>
        </w:tc>
        <w:tc>
          <w:tcPr>
            <w:tcW w:w="14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8"/>
              </w:rPr>
              <w:t>Grant-Date Fair</w:t>
            </w:r>
          </w:p>
        </w:tc>
        <w:tc>
          <w:tcPr>
            <w:tcW w:w="0" w:type="dxa"/>
            <w:vAlign w:val="bottom"/>
          </w:tcPr>
          <w:p>
            <w:pPr>
              <w:spacing w:after="0"/>
              <w:rPr>
                <w:sz w:val="1"/>
                <w:szCs w:val="1"/>
                <w:color w:val="auto"/>
              </w:rPr>
            </w:pPr>
          </w:p>
        </w:tc>
      </w:tr>
      <w:tr>
        <w:trPr>
          <w:trHeight w:val="169"/>
        </w:trPr>
        <w:tc>
          <w:tcPr>
            <w:tcW w:w="49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Outstanding as of January 1, 2017</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2,532</w:t>
            </w: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1,018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(222)</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6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(1,132)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Outstanding as of December 31, 2017</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2,196</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to vest at December 31, 2017</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1,430</w:t>
            </w: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200" w:firstLine="518"/>
        <w:spacing w:after="0" w:line="253" w:lineRule="auto"/>
        <w:rPr>
          <w:sz w:val="20"/>
          <w:szCs w:val="20"/>
          <w:color w:val="auto"/>
        </w:rPr>
      </w:pPr>
      <w:r>
        <w:rPr>
          <w:rFonts w:ascii="Arial" w:cs="Arial" w:eastAsia="Arial" w:hAnsi="Arial"/>
          <w:sz w:val="18"/>
          <w:szCs w:val="18"/>
          <w:color w:val="auto"/>
        </w:rPr>
        <w:t>As of December 31, 2017, there was $3,171 of total unrecognized compensation cost related to non-vested RSUs granted under the Plan. That cost for non-vested RSUs is expected to be recognized over a weighted-average period of 1.9 years.</w:t>
      </w:r>
    </w:p>
    <w:p>
      <w:pPr>
        <w:spacing w:after="0" w:line="1" w:lineRule="exact"/>
        <w:rPr>
          <w:sz w:val="20"/>
          <w:szCs w:val="20"/>
          <w:color w:val="auto"/>
        </w:rPr>
      </w:pPr>
    </w:p>
    <w:p>
      <w:pPr>
        <w:ind w:right="220" w:firstLine="518"/>
        <w:spacing w:after="0" w:line="249" w:lineRule="auto"/>
        <w:rPr>
          <w:sz w:val="20"/>
          <w:szCs w:val="20"/>
          <w:color w:val="auto"/>
        </w:rPr>
      </w:pPr>
      <w:r>
        <w:rPr>
          <w:rFonts w:ascii="Arial" w:cs="Arial" w:eastAsia="Arial" w:hAnsi="Arial"/>
          <w:sz w:val="18"/>
          <w:szCs w:val="18"/>
          <w:color w:val="auto"/>
        </w:rPr>
        <w:t>The Incentive Plan permits the employee to use vested shares from RSUs to satisfy the grantee’s U.S. federal income tax liability resulting from the issuance of the shares through the Company’s retention of that number of common shares having a market value as of the vesting date equal to such tax obligation up to the minimum statutory withholding requirements. The amount related to shares used for such tax withholding obligations was approximately $328 and $171 for the years ended December 31, 2017 and 2016, respectively.</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Director compensation</w:t>
      </w:r>
    </w:p>
    <w:p>
      <w:pPr>
        <w:spacing w:after="0" w:line="113"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The Company uses a combination of cash and share-based compensation to attract and retain qualified candidates to serve on our Board of Directors. Compensation is paid to non-employee directors. Directors who are employees receive no additional compensation for services as members of the Board or any of its committees. Share-based compensation is paid pursuant to the Incentive Plan. Each non-employee director of the Company receives an annual retainer of $155, payable quarterly in arrears, and is generally paid 50% in cash and 50% in common stock of the Company. Directors may elect to receive some or all of the cash retainer in common stock. In 2017, the Chairman of the Board received an additional $150 of annual compensation, paid 100% in common stock.</w:t>
      </w:r>
    </w:p>
    <w:p>
      <w:pPr>
        <w:spacing w:after="0" w:line="165" w:lineRule="exact"/>
        <w:rPr>
          <w:sz w:val="20"/>
          <w:szCs w:val="20"/>
          <w:color w:val="auto"/>
        </w:rPr>
      </w:pPr>
    </w:p>
    <w:p>
      <w:pPr>
        <w:ind w:right="280" w:firstLine="518"/>
        <w:spacing w:after="0" w:line="267" w:lineRule="auto"/>
        <w:rPr>
          <w:sz w:val="20"/>
          <w:szCs w:val="20"/>
          <w:color w:val="auto"/>
        </w:rPr>
      </w:pPr>
      <w:r>
        <w:rPr>
          <w:rFonts w:ascii="Arial" w:cs="Arial" w:eastAsia="Arial" w:hAnsi="Arial"/>
          <w:sz w:val="18"/>
          <w:szCs w:val="18"/>
          <w:color w:val="auto"/>
        </w:rPr>
        <w:t>In the years ended December 31, 2017, 2016 and 2015, 207 thousand, 86 thousand and 112 thousand shares, respectively, of the Company’s common stock were issued to non-employee directors under the Incentive Plan.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RETIREMENT PLANS</w:t>
      </w:r>
    </w:p>
    <w:p>
      <w:pPr>
        <w:spacing w:after="0" w:line="119" w:lineRule="exact"/>
        <w:rPr>
          <w:sz w:val="20"/>
          <w:szCs w:val="20"/>
          <w:color w:val="auto"/>
        </w:rPr>
      </w:pPr>
    </w:p>
    <w:p>
      <w:pPr>
        <w:ind w:right="160" w:firstLine="518"/>
        <w:spacing w:after="0" w:line="267" w:lineRule="auto"/>
        <w:rPr>
          <w:sz w:val="20"/>
          <w:szCs w:val="20"/>
          <w:color w:val="auto"/>
        </w:rPr>
      </w:pPr>
      <w:r>
        <w:rPr>
          <w:rFonts w:ascii="Arial" w:cs="Arial" w:eastAsia="Arial" w:hAnsi="Arial"/>
          <w:sz w:val="18"/>
          <w:szCs w:val="18"/>
          <w:color w:val="auto"/>
        </w:rPr>
        <w:t>The Company sponsors four 401(k) savings plans, one covering substantially all non-union salaried employees (“Salaried Plan”), a second covering its hourly employees (“Hourly Plan”), a third plan specifically for its employees that are members of a</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3" w:name="page84"/>
    <w:bookmarkEnd w:id="83"/>
    <w:p>
      <w:pPr>
        <w:ind w:right="20"/>
        <w:spacing w:after="0" w:line="251" w:lineRule="auto"/>
        <w:rPr>
          <w:sz w:val="20"/>
          <w:szCs w:val="20"/>
          <w:color w:val="auto"/>
        </w:rPr>
      </w:pPr>
      <w:r>
        <w:rPr>
          <w:rFonts w:ascii="Arial" w:cs="Arial" w:eastAsia="Arial" w:hAnsi="Arial"/>
          <w:sz w:val="18"/>
          <w:szCs w:val="18"/>
          <w:color w:val="auto"/>
        </w:rPr>
        <w:t>tugboat union and a fourth for the salary and non-union employees of certain subsidiaries (“Affiliated Plan”). Under the Salaried Plan, the Hourly Plan and the Affiliated Plan, individual employees may contribute a percentage of compensation and the Company will match a portion of the employees’ contributions. The Salaried Plan and Affiliated Plan also include a discretionary profit-sharing component, permitting the Company to make discretionary employer contributions to all eligible employees of these plans. Additionally, the Company sponsors a Supplemental Savings Plan in which the Company makes contributions for certain key executives. The Company’s expense for matching, discretionary and Supplemental Savings Plan contributions for 2017, 2016 and 2015, was $6,236, $3,705 and $6,772, respectively.</w:t>
      </w:r>
    </w:p>
    <w:p>
      <w:pPr>
        <w:spacing w:after="0" w:line="195" w:lineRule="exact"/>
        <w:rPr>
          <w:sz w:val="20"/>
          <w:szCs w:val="20"/>
          <w:color w:val="auto"/>
        </w:rPr>
      </w:pPr>
    </w:p>
    <w:p>
      <w:pPr>
        <w:ind w:firstLine="518"/>
        <w:spacing w:after="0" w:line="267" w:lineRule="auto"/>
        <w:rPr>
          <w:sz w:val="20"/>
          <w:szCs w:val="20"/>
          <w:color w:val="auto"/>
        </w:rPr>
      </w:pPr>
      <w:r>
        <w:rPr>
          <w:rFonts w:ascii="Arial" w:cs="Arial" w:eastAsia="Arial" w:hAnsi="Arial"/>
          <w:sz w:val="17"/>
          <w:szCs w:val="17"/>
          <w:color w:val="auto"/>
        </w:rPr>
        <w:t>The Company also contributes to various multiemployer pension plans pursuant to collective bargaining agreements. In 2017, 2016 and 2015, the Company contributed $5,639, $6,298 and $4,990 respectively to all of the multiemployer plans that provide pension benefits in our continuing operations. The information available to the Company about the multiemployer plans in which it participates, whether via request to the plan or publicly available, is generally dated due to the nature of the reporting cycle of multiemployer plans and legal requirements under the Employee Retirement Income Security Act (“ERISA”) as amended by the Multiemployer Pension Plan Amendments Act (“MPPAA”). Based upon these plans’ most recently available annual reports, the Company’s contributions to these plans were less than 5% of each plan’s total contributions for all but one plan. Information on significant multiemployer pension plans in which the Company participates is included in the table below:</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Pension Protection Act of</w:t>
            </w: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4"/>
          </w:tcPr>
          <w:p>
            <w:pPr>
              <w:jc w:val="center"/>
              <w:ind w:right="120"/>
              <w:spacing w:after="0" w:line="147" w:lineRule="exact"/>
              <w:rPr>
                <w:sz w:val="20"/>
                <w:szCs w:val="20"/>
                <w:color w:val="auto"/>
              </w:rPr>
            </w:pPr>
            <w:r>
              <w:rPr>
                <w:rFonts w:ascii="Arial" w:cs="Arial" w:eastAsia="Arial" w:hAnsi="Arial"/>
                <w:sz w:val="14"/>
                <w:szCs w:val="14"/>
                <w:b w:val="1"/>
                <w:bCs w:val="1"/>
                <w:color w:val="auto"/>
                <w:w w:val="91"/>
              </w:rPr>
              <w:t>2006 Certified Zone Status at</w:t>
            </w: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6"/>
            <w:vMerge w:val="restart"/>
          </w:tcPr>
          <w:p>
            <w:pPr>
              <w:ind w:left="200"/>
              <w:spacing w:after="0"/>
              <w:rPr>
                <w:sz w:val="20"/>
                <w:szCs w:val="20"/>
                <w:color w:val="auto"/>
              </w:rPr>
            </w:pPr>
            <w:r>
              <w:rPr>
                <w:rFonts w:ascii="Arial" w:cs="Arial" w:eastAsia="Arial" w:hAnsi="Arial"/>
                <w:sz w:val="14"/>
                <w:szCs w:val="14"/>
                <w:b w:val="1"/>
                <w:bCs w:val="1"/>
                <w:color w:val="auto"/>
              </w:rPr>
              <w:t>Company's Contributions</w:t>
            </w:r>
          </w:p>
        </w:tc>
        <w:tc>
          <w:tcPr>
            <w:tcW w:w="0" w:type="dxa"/>
            <w:vAlign w:val="bottom"/>
          </w:tcPr>
          <w:p>
            <w:pPr>
              <w:spacing w:after="0"/>
              <w:rPr>
                <w:sz w:val="1"/>
                <w:szCs w:val="1"/>
                <w:color w:val="auto"/>
              </w:rPr>
            </w:pPr>
          </w:p>
        </w:tc>
      </w:tr>
      <w:tr>
        <w:trPr>
          <w:trHeight w:val="169"/>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44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Pension Plan Legal Name</w:t>
            </w:r>
          </w:p>
        </w:tc>
        <w:tc>
          <w:tcPr>
            <w:tcW w:w="120" w:type="dxa"/>
            <w:vAlign w:val="bottom"/>
            <w:vMerge w:val="restart"/>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Federal Identification</w:t>
            </w:r>
          </w:p>
        </w:tc>
        <w:tc>
          <w:tcPr>
            <w:tcW w:w="860" w:type="dxa"/>
            <w:vAlign w:val="bottom"/>
            <w:tcBorders>
              <w:top w:val="single" w:sz="8" w:color="auto"/>
            </w:tcBorders>
            <w:vMerge w:val="restart"/>
          </w:tcPr>
          <w:p>
            <w:pPr>
              <w:jc w:val="right"/>
              <w:ind w:right="205"/>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vMerge w:val="restart"/>
          </w:tcPr>
          <w:p>
            <w:pPr>
              <w:jc w:val="right"/>
              <w:ind w:right="20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Expiration of Collective Bargaining</w:t>
            </w:r>
          </w:p>
        </w:tc>
        <w:tc>
          <w:tcPr>
            <w:tcW w:w="52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18"/>
                <w:szCs w:val="18"/>
                <w:color w:val="auto"/>
              </w:rPr>
            </w:pPr>
          </w:p>
        </w:tc>
        <w:tc>
          <w:tcPr>
            <w:tcW w:w="520" w:type="dxa"/>
            <w:vAlign w:val="bottom"/>
            <w:vMerge w:val="restart"/>
          </w:tcPr>
          <w:p>
            <w:pPr>
              <w:jc w:val="right"/>
              <w:ind w:right="16"/>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18"/>
                <w:szCs w:val="18"/>
                <w:color w:val="auto"/>
              </w:rPr>
            </w:pPr>
          </w:p>
        </w:tc>
        <w:tc>
          <w:tcPr>
            <w:tcW w:w="520" w:type="dxa"/>
            <w:vAlign w:val="bottom"/>
            <w:vMerge w:val="restart"/>
          </w:tcPr>
          <w:p>
            <w:pPr>
              <w:jc w:val="right"/>
              <w:ind w:right="36"/>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4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8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Arrangement with the Company</w:t>
            </w:r>
          </w:p>
        </w:tc>
        <w:tc>
          <w:tcPr>
            <w:tcW w:w="100" w:type="dxa"/>
            <w:vAlign w:val="bottom"/>
            <w:tcBorders>
              <w:bottom w:val="single" w:sz="8" w:color="CFF0FC"/>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5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Seafarers Pension Trust</w:t>
            </w:r>
          </w:p>
        </w:tc>
        <w:tc>
          <w:tcPr>
            <w:tcW w:w="13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w w:val="94"/>
              </w:rPr>
              <w:t>13-6100329 001</w:t>
            </w:r>
          </w:p>
        </w:tc>
        <w:tc>
          <w:tcPr>
            <w:tcW w:w="1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89"/>
              </w:rPr>
              <w:t>Green</w:t>
            </w:r>
          </w:p>
        </w:tc>
        <w:tc>
          <w:tcPr>
            <w:tcW w:w="960" w:type="dxa"/>
            <w:vAlign w:val="bottom"/>
            <w:tcBorders>
              <w:bottom w:val="single" w:sz="8" w:color="CFF0FC"/>
            </w:tcBorders>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89"/>
              </w:rPr>
              <w:t>Green</w:t>
            </w:r>
          </w:p>
        </w:tc>
        <w:tc>
          <w:tcPr>
            <w:tcW w:w="2300" w:type="dxa"/>
            <w:vAlign w:val="bottom"/>
            <w:tcBorders>
              <w:bottom w:val="single" w:sz="8" w:color="CFF0FC"/>
            </w:tcBorders>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90"/>
              </w:rPr>
              <w:t>February 28, 2018</w:t>
            </w:r>
          </w:p>
        </w:tc>
        <w:tc>
          <w:tcPr>
            <w:tcW w:w="5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1,182</w:t>
            </w:r>
          </w:p>
        </w:tc>
        <w:tc>
          <w:tcPr>
            <w:tcW w:w="2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1,102</w:t>
            </w:r>
          </w:p>
        </w:tc>
        <w:tc>
          <w:tcPr>
            <w:tcW w:w="2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1,005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ind w:right="40" w:firstLine="518"/>
        <w:spacing w:after="0" w:line="251" w:lineRule="auto"/>
        <w:rPr>
          <w:sz w:val="20"/>
          <w:szCs w:val="20"/>
          <w:color w:val="auto"/>
        </w:rPr>
      </w:pPr>
      <w:r>
        <w:rPr>
          <w:rFonts w:ascii="Arial" w:cs="Arial" w:eastAsia="Arial" w:hAnsi="Arial"/>
          <w:sz w:val="18"/>
          <w:szCs w:val="18"/>
          <w:color w:val="auto"/>
        </w:rPr>
        <w:t>The Company does not expect any future increased contributions to have a material negative impact on its financial position, results of operations or cash flows for future years. The risks of participating in multiemployer plans are different from single employer plans as assets contributed are available to provide benefits to employees of other employers and unfunded obligations from an employer that discontinues contributions are the responsibility of all remaining employers. In addition, in the event of a plan’s termination or the Company’s withdrawal from a plan, the Company may be liable for a portion of the plan’s unfunded vested benefits. However, information from the plans’ administrators is not available to permit the Company to determine its share, if any, of unfunded vested benefits.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RESTRUCTURING CHARGES</w:t>
      </w:r>
    </w:p>
    <w:p>
      <w:pPr>
        <w:spacing w:after="0" w:line="226" w:lineRule="exact"/>
        <w:rPr>
          <w:sz w:val="20"/>
          <w:szCs w:val="20"/>
          <w:color w:val="auto"/>
        </w:rPr>
      </w:pPr>
    </w:p>
    <w:p>
      <w:pPr>
        <w:ind w:right="320" w:firstLine="761"/>
        <w:spacing w:after="0" w:line="267" w:lineRule="auto"/>
        <w:rPr>
          <w:sz w:val="20"/>
          <w:szCs w:val="20"/>
          <w:color w:val="auto"/>
        </w:rPr>
      </w:pPr>
      <w:r>
        <w:rPr>
          <w:rFonts w:ascii="Arial" w:cs="Arial" w:eastAsia="Arial" w:hAnsi="Arial"/>
          <w:sz w:val="17"/>
          <w:szCs w:val="17"/>
          <w:color w:val="auto"/>
        </w:rPr>
        <w:t>In 2017, a strategic review was begun to improve the Company's financial results in both domestic and international operations enabling debt reduction, improvements in return on capital and the continued renewal of our extensive fleet with new and efficient dredges to best serve our domestic and international clients. As a result of this review, management began execution of a plan to reduce general and administrative and overhead expenses, retire certain underperforming and underutilized assets, write-off pre-contract costs on a project that was never formally awarded and that the Company no longer intends to pursue and closeout the Company’s Brazil operations. These changes will result in a restructuring charge of approximately $42,000-$47,000, including severance of approximately $3,000, asset retirements of approximately $30,000-$34,000, pre-contract costs of approximately $6,500 and closeout costs of approximately $2,500-$3,500.</w:t>
      </w:r>
    </w:p>
    <w:p>
      <w:pPr>
        <w:spacing w:after="0" w:line="185" w:lineRule="exact"/>
        <w:rPr>
          <w:sz w:val="20"/>
          <w:szCs w:val="20"/>
          <w:color w:val="auto"/>
        </w:rPr>
      </w:pPr>
    </w:p>
    <w:p>
      <w:pPr>
        <w:jc w:val="both"/>
        <w:ind w:right="400" w:firstLine="761"/>
        <w:spacing w:after="0" w:line="257" w:lineRule="auto"/>
        <w:rPr>
          <w:sz w:val="20"/>
          <w:szCs w:val="20"/>
          <w:color w:val="auto"/>
        </w:rPr>
      </w:pPr>
      <w:r>
        <w:rPr>
          <w:rFonts w:ascii="Arial" w:cs="Arial" w:eastAsia="Arial" w:hAnsi="Arial"/>
          <w:sz w:val="18"/>
          <w:szCs w:val="18"/>
          <w:color w:val="auto"/>
        </w:rPr>
        <w:t>Approximately $38,000-$43,000 of this charge will be non-cash and includes depreciation, loss on sale of assets and other items, approximating totals of $12,500-$14,500, $3,000-$5,000 and $21,500-$23,500, respectively. The majority of the charge was recorded in the second half of 2017 with the remainder to be recognized in the dredging segment in the following year.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84" w:name="page85"/>
    <w:bookmarkEnd w:id="84"/>
    <w:p>
      <w:pPr>
        <w:ind w:left="760"/>
        <w:spacing w:after="0"/>
        <w:rPr>
          <w:sz w:val="20"/>
          <w:szCs w:val="20"/>
          <w:color w:val="auto"/>
        </w:rPr>
      </w:pPr>
      <w:r>
        <w:rPr>
          <w:rFonts w:ascii="Arial" w:cs="Arial" w:eastAsia="Arial" w:hAnsi="Arial"/>
          <w:sz w:val="18"/>
          <w:szCs w:val="18"/>
          <w:color w:val="auto"/>
        </w:rPr>
        <w:t>Restructuring charges currently recognized for the above actions are summarized as follows:</w:t>
      </w:r>
    </w:p>
    <w:p>
      <w:pPr>
        <w:spacing w:after="0" w:line="76" w:lineRule="exact"/>
        <w:rPr>
          <w:sz w:val="20"/>
          <w:szCs w:val="20"/>
          <w:color w:val="auto"/>
        </w:rPr>
      </w:pPr>
    </w:p>
    <w:tbl>
      <w:tblPr>
        <w:tblLayout w:type="fixed"/>
        <w:tblInd w:w="1720" w:type="dxa"/>
        <w:tblCellMar>
          <w:top w:w="0" w:type="dxa"/>
          <w:left w:w="0" w:type="dxa"/>
          <w:bottom w:w="0" w:type="dxa"/>
          <w:right w:w="0" w:type="dxa"/>
        </w:tblCellMar>
      </w:tblPr>
      <w:tr>
        <w:trPr>
          <w:trHeight w:val="185"/>
        </w:trPr>
        <w:tc>
          <w:tcPr>
            <w:tcW w:w="3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40" w:type="dxa"/>
            <w:vAlign w:val="bottom"/>
          </w:tcPr>
          <w:p>
            <w:pPr>
              <w:jc w:val="right"/>
              <w:ind w:right="754"/>
              <w:spacing w:after="0"/>
              <w:rPr>
                <w:sz w:val="20"/>
                <w:szCs w:val="20"/>
                <w:color w:val="auto"/>
              </w:rPr>
            </w:pPr>
            <w:r>
              <w:rPr>
                <w:rFonts w:ascii="Arial" w:cs="Arial" w:eastAsia="Arial" w:hAnsi="Arial"/>
                <w:sz w:val="14"/>
                <w:szCs w:val="14"/>
                <w:b w:val="1"/>
                <w:bCs w:val="1"/>
                <w:color w:val="auto"/>
              </w:rPr>
              <w:t>Twelve Months Ended</w:t>
            </w:r>
          </w:p>
        </w:tc>
      </w:tr>
      <w:tr>
        <w:trPr>
          <w:trHeight w:val="211"/>
        </w:trPr>
        <w:tc>
          <w:tcPr>
            <w:tcW w:w="3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jc w:val="right"/>
              <w:ind w:right="874"/>
              <w:spacing w:after="0"/>
              <w:rPr>
                <w:sz w:val="20"/>
                <w:szCs w:val="20"/>
                <w:color w:val="auto"/>
              </w:rPr>
            </w:pPr>
            <w:r>
              <w:rPr>
                <w:rFonts w:ascii="Arial" w:cs="Arial" w:eastAsia="Arial" w:hAnsi="Arial"/>
                <w:sz w:val="14"/>
                <w:szCs w:val="14"/>
                <w:b w:val="1"/>
                <w:bCs w:val="1"/>
                <w:color w:val="auto"/>
              </w:rPr>
              <w:t>December 31, 2017</w:t>
            </w:r>
          </w:p>
        </w:tc>
      </w:tr>
      <w:tr>
        <w:trPr>
          <w:trHeight w:val="446"/>
        </w:trPr>
        <w:tc>
          <w:tcPr>
            <w:tcW w:w="3980" w:type="dxa"/>
            <w:vAlign w:val="bottom"/>
          </w:tcPr>
          <w:p>
            <w:pPr>
              <w:spacing w:after="0"/>
              <w:rPr>
                <w:sz w:val="20"/>
                <w:szCs w:val="20"/>
                <w:color w:val="auto"/>
              </w:rPr>
            </w:pPr>
            <w:r>
              <w:rPr>
                <w:rFonts w:ascii="Arial" w:cs="Arial" w:eastAsia="Arial" w:hAnsi="Arial"/>
                <w:sz w:val="18"/>
                <w:szCs w:val="18"/>
                <w:color w:val="auto"/>
              </w:rPr>
              <w:t>Costs of contract revenues - depreciation</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14"/>
              <w:spacing w:after="0"/>
              <w:rPr>
                <w:sz w:val="20"/>
                <w:szCs w:val="20"/>
                <w:color w:val="auto"/>
              </w:rPr>
            </w:pPr>
            <w:r>
              <w:rPr>
                <w:rFonts w:ascii="Arial" w:cs="Arial" w:eastAsia="Arial" w:hAnsi="Arial"/>
                <w:sz w:val="18"/>
                <w:szCs w:val="18"/>
                <w:color w:val="auto"/>
              </w:rPr>
              <w:t>6,859</w:t>
            </w:r>
          </w:p>
        </w:tc>
      </w:tr>
      <w:tr>
        <w:trPr>
          <w:trHeight w:val="227"/>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Costs of contract revenues - other</w:t>
            </w:r>
          </w:p>
        </w:tc>
        <w:tc>
          <w:tcPr>
            <w:tcW w:w="10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5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16,102</w:t>
            </w:r>
          </w:p>
        </w:tc>
      </w:tr>
      <w:tr>
        <w:trPr>
          <w:trHeight w:val="226"/>
        </w:trPr>
        <w:tc>
          <w:tcPr>
            <w:tcW w:w="39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540" w:type="dxa"/>
            <w:vAlign w:val="bottom"/>
          </w:tcPr>
          <w:p>
            <w:pPr>
              <w:jc w:val="right"/>
              <w:ind w:right="14"/>
              <w:spacing w:after="0"/>
              <w:rPr>
                <w:sz w:val="20"/>
                <w:szCs w:val="20"/>
                <w:color w:val="auto"/>
              </w:rPr>
            </w:pPr>
            <w:r>
              <w:rPr>
                <w:rFonts w:ascii="Arial" w:cs="Arial" w:eastAsia="Arial" w:hAnsi="Arial"/>
                <w:sz w:val="18"/>
                <w:szCs w:val="18"/>
                <w:color w:val="auto"/>
              </w:rPr>
              <w:t>1,189</w:t>
            </w:r>
          </w:p>
        </w:tc>
      </w:tr>
      <w:tr>
        <w:trPr>
          <w:trHeight w:val="227"/>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Loss on sale of assets—net</w:t>
            </w:r>
          </w:p>
        </w:tc>
        <w:tc>
          <w:tcPr>
            <w:tcW w:w="10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254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4,691</w:t>
            </w:r>
          </w:p>
        </w:tc>
      </w:tr>
      <w:tr>
        <w:trPr>
          <w:trHeight w:val="220"/>
        </w:trPr>
        <w:tc>
          <w:tcPr>
            <w:tcW w:w="3980" w:type="dxa"/>
            <w:vAlign w:val="bottom"/>
          </w:tcPr>
          <w:p>
            <w:pPr>
              <w:spacing w:after="0"/>
              <w:rPr>
                <w:sz w:val="20"/>
                <w:szCs w:val="20"/>
                <w:color w:val="auto"/>
              </w:rPr>
            </w:pPr>
            <w:r>
              <w:rPr>
                <w:rFonts w:ascii="Arial" w:cs="Arial" w:eastAsia="Arial" w:hAnsi="Arial"/>
                <w:sz w:val="18"/>
                <w:szCs w:val="18"/>
                <w:b w:val="1"/>
                <w:bCs w:val="1"/>
                <w:color w:val="auto"/>
              </w:rPr>
              <w:t>Total Dredging</w:t>
            </w: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540" w:type="dxa"/>
            <w:vAlign w:val="bottom"/>
          </w:tcPr>
          <w:p>
            <w:pPr>
              <w:jc w:val="right"/>
              <w:ind w:right="14"/>
              <w:spacing w:after="0"/>
              <w:rPr>
                <w:sz w:val="20"/>
                <w:szCs w:val="20"/>
                <w:color w:val="auto"/>
              </w:rPr>
            </w:pPr>
            <w:r>
              <w:rPr>
                <w:rFonts w:ascii="Arial" w:cs="Arial" w:eastAsia="Arial" w:hAnsi="Arial"/>
                <w:sz w:val="18"/>
                <w:szCs w:val="18"/>
                <w:b w:val="1"/>
                <w:bCs w:val="1"/>
                <w:color w:val="auto"/>
              </w:rPr>
              <w:t>28,841</w:t>
            </w:r>
          </w:p>
        </w:tc>
      </w:tr>
      <w:tr>
        <w:trPr>
          <w:trHeight w:val="227"/>
        </w:trPr>
        <w:tc>
          <w:tcPr>
            <w:tcW w:w="39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540" w:type="dxa"/>
            <w:vAlign w:val="bottom"/>
            <w:shd w:val="clear" w:color="auto" w:fill="CFF0FC"/>
          </w:tcPr>
          <w:p>
            <w:pPr>
              <w:spacing w:after="0"/>
              <w:rPr>
                <w:sz w:val="19"/>
                <w:szCs w:val="19"/>
                <w:color w:val="auto"/>
              </w:rPr>
            </w:pPr>
          </w:p>
        </w:tc>
      </w:tr>
      <w:tr>
        <w:trPr>
          <w:trHeight w:val="226"/>
        </w:trPr>
        <w:tc>
          <w:tcPr>
            <w:tcW w:w="3980" w:type="dxa"/>
            <w:vAlign w:val="bottom"/>
          </w:tcPr>
          <w:p>
            <w:pPr>
              <w:spacing w:after="0"/>
              <w:rPr>
                <w:sz w:val="20"/>
                <w:szCs w:val="20"/>
                <w:color w:val="auto"/>
              </w:rPr>
            </w:pPr>
            <w:r>
              <w:rPr>
                <w:rFonts w:ascii="Arial" w:cs="Arial" w:eastAsia="Arial" w:hAnsi="Arial"/>
                <w:sz w:val="18"/>
                <w:szCs w:val="18"/>
                <w:color w:val="auto"/>
              </w:rPr>
              <w:t>Costs of contract revenues - depreciation</w:t>
            </w: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540" w:type="dxa"/>
            <w:vAlign w:val="bottom"/>
          </w:tcPr>
          <w:p>
            <w:pPr>
              <w:jc w:val="right"/>
              <w:ind w:right="14"/>
              <w:spacing w:after="0"/>
              <w:rPr>
                <w:sz w:val="20"/>
                <w:szCs w:val="20"/>
                <w:color w:val="auto"/>
              </w:rPr>
            </w:pPr>
            <w:r>
              <w:rPr>
                <w:rFonts w:ascii="Arial" w:cs="Arial" w:eastAsia="Arial" w:hAnsi="Arial"/>
                <w:sz w:val="16"/>
                <w:szCs w:val="16"/>
                <w:color w:val="auto"/>
              </w:rPr>
              <w:t>—</w:t>
            </w:r>
          </w:p>
        </w:tc>
      </w:tr>
      <w:tr>
        <w:trPr>
          <w:trHeight w:val="227"/>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Costs of contract revenues - other</w:t>
            </w:r>
          </w:p>
        </w:tc>
        <w:tc>
          <w:tcPr>
            <w:tcW w:w="10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5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7</w:t>
            </w:r>
          </w:p>
        </w:tc>
      </w:tr>
      <w:tr>
        <w:trPr>
          <w:trHeight w:val="226"/>
        </w:trPr>
        <w:tc>
          <w:tcPr>
            <w:tcW w:w="3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0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637</w:t>
            </w:r>
          </w:p>
        </w:tc>
      </w:tr>
      <w:tr>
        <w:trPr>
          <w:trHeight w:val="221"/>
        </w:trPr>
        <w:tc>
          <w:tcPr>
            <w:tcW w:w="3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Environmental &amp; Infrastructure</w:t>
            </w:r>
          </w:p>
        </w:tc>
        <w:tc>
          <w:tcPr>
            <w:tcW w:w="10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540" w:type="dxa"/>
            <w:vAlign w:val="bottom"/>
            <w:shd w:val="clear" w:color="auto" w:fill="CFF0FC"/>
          </w:tcPr>
          <w:p>
            <w:pPr>
              <w:jc w:val="right"/>
              <w:ind w:right="14"/>
              <w:spacing w:after="0"/>
              <w:rPr>
                <w:sz w:val="20"/>
                <w:szCs w:val="20"/>
                <w:color w:val="auto"/>
              </w:rPr>
            </w:pPr>
            <w:r>
              <w:rPr>
                <w:rFonts w:ascii="Arial" w:cs="Arial" w:eastAsia="Arial" w:hAnsi="Arial"/>
                <w:sz w:val="18"/>
                <w:szCs w:val="18"/>
                <w:b w:val="1"/>
                <w:bCs w:val="1"/>
                <w:color w:val="auto"/>
              </w:rPr>
              <w:t>644</w:t>
            </w:r>
          </w:p>
        </w:tc>
      </w:tr>
      <w:tr>
        <w:trPr>
          <w:trHeight w:val="227"/>
        </w:trPr>
        <w:tc>
          <w:tcPr>
            <w:tcW w:w="3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540" w:type="dxa"/>
            <w:vAlign w:val="bottom"/>
          </w:tcPr>
          <w:p>
            <w:pPr>
              <w:spacing w:after="0"/>
              <w:rPr>
                <w:sz w:val="19"/>
                <w:szCs w:val="19"/>
                <w:color w:val="auto"/>
              </w:rPr>
            </w:pPr>
          </w:p>
        </w:tc>
      </w:tr>
      <w:tr>
        <w:trPr>
          <w:trHeight w:val="227"/>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Costs of contract revenues - depreciation</w:t>
            </w:r>
          </w:p>
        </w:tc>
        <w:tc>
          <w:tcPr>
            <w:tcW w:w="10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5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6,859</w:t>
            </w:r>
          </w:p>
        </w:tc>
      </w:tr>
      <w:tr>
        <w:trPr>
          <w:trHeight w:val="226"/>
        </w:trPr>
        <w:tc>
          <w:tcPr>
            <w:tcW w:w="3980" w:type="dxa"/>
            <w:vAlign w:val="bottom"/>
          </w:tcPr>
          <w:p>
            <w:pPr>
              <w:spacing w:after="0"/>
              <w:rPr>
                <w:sz w:val="20"/>
                <w:szCs w:val="20"/>
                <w:color w:val="auto"/>
              </w:rPr>
            </w:pPr>
            <w:r>
              <w:rPr>
                <w:rFonts w:ascii="Arial" w:cs="Arial" w:eastAsia="Arial" w:hAnsi="Arial"/>
                <w:sz w:val="18"/>
                <w:szCs w:val="18"/>
                <w:color w:val="auto"/>
              </w:rPr>
              <w:t>Costs of contract revenues - other</w:t>
            </w: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540" w:type="dxa"/>
            <w:vAlign w:val="bottom"/>
          </w:tcPr>
          <w:p>
            <w:pPr>
              <w:jc w:val="right"/>
              <w:ind w:right="14"/>
              <w:spacing w:after="0"/>
              <w:rPr>
                <w:sz w:val="20"/>
                <w:szCs w:val="20"/>
                <w:color w:val="auto"/>
              </w:rPr>
            </w:pPr>
            <w:r>
              <w:rPr>
                <w:rFonts w:ascii="Arial" w:cs="Arial" w:eastAsia="Arial" w:hAnsi="Arial"/>
                <w:sz w:val="16"/>
                <w:szCs w:val="16"/>
                <w:color w:val="auto"/>
              </w:rPr>
              <w:t>16,109</w:t>
            </w:r>
          </w:p>
        </w:tc>
      </w:tr>
      <w:tr>
        <w:trPr>
          <w:trHeight w:val="227"/>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0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5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1,826</w:t>
            </w:r>
          </w:p>
        </w:tc>
      </w:tr>
      <w:tr>
        <w:trPr>
          <w:trHeight w:val="226"/>
        </w:trPr>
        <w:tc>
          <w:tcPr>
            <w:tcW w:w="3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on sale of assets—net</w:t>
            </w:r>
          </w:p>
        </w:tc>
        <w:tc>
          <w:tcPr>
            <w:tcW w:w="10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4,691</w:t>
            </w:r>
          </w:p>
        </w:tc>
      </w:tr>
      <w:tr>
        <w:trPr>
          <w:trHeight w:val="221"/>
        </w:trPr>
        <w:tc>
          <w:tcPr>
            <w:tcW w:w="3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Consolidated</w:t>
            </w:r>
          </w:p>
        </w:tc>
        <w:tc>
          <w:tcPr>
            <w:tcW w:w="10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540" w:type="dxa"/>
            <w:vAlign w:val="bottom"/>
            <w:shd w:val="clear" w:color="auto" w:fill="CFF0FC"/>
          </w:tcPr>
          <w:p>
            <w:pPr>
              <w:jc w:val="right"/>
              <w:ind w:right="14"/>
              <w:spacing w:after="0"/>
              <w:rPr>
                <w:sz w:val="20"/>
                <w:szCs w:val="20"/>
                <w:color w:val="auto"/>
              </w:rPr>
            </w:pPr>
            <w:r>
              <w:rPr>
                <w:rFonts w:ascii="Arial" w:cs="Arial" w:eastAsia="Arial" w:hAnsi="Arial"/>
                <w:sz w:val="18"/>
                <w:szCs w:val="18"/>
                <w:b w:val="1"/>
                <w:bCs w:val="1"/>
                <w:color w:val="auto"/>
              </w:rPr>
              <w:t>29,485</w:t>
            </w:r>
          </w:p>
        </w:tc>
      </w:tr>
    </w:tbl>
    <w:p>
      <w:pPr>
        <w:spacing w:after="0" w:line="200" w:lineRule="exact"/>
        <w:rPr>
          <w:sz w:val="20"/>
          <w:szCs w:val="20"/>
          <w:color w:val="auto"/>
        </w:rPr>
      </w:pPr>
    </w:p>
    <w:p>
      <w:pPr>
        <w:spacing w:after="0" w:line="214" w:lineRule="exact"/>
        <w:rPr>
          <w:sz w:val="20"/>
          <w:szCs w:val="20"/>
          <w:color w:val="auto"/>
        </w:rPr>
      </w:pPr>
    </w:p>
    <w:p>
      <w:pPr>
        <w:ind w:right="200" w:firstLine="761"/>
        <w:spacing w:after="0" w:line="267" w:lineRule="auto"/>
        <w:rPr>
          <w:sz w:val="20"/>
          <w:szCs w:val="20"/>
          <w:color w:val="auto"/>
        </w:rPr>
      </w:pPr>
      <w:r>
        <w:rPr>
          <w:rFonts w:ascii="Arial" w:cs="Arial" w:eastAsia="Arial" w:hAnsi="Arial"/>
          <w:sz w:val="18"/>
          <w:szCs w:val="18"/>
          <w:color w:val="auto"/>
        </w:rPr>
        <w:t>The Company accrued rent expense of $5,930 and severance expense of $1,567 at December 31, 2017. Both of these items are included in accrued expenses at December 31, 2017 and are expected to be settled in 2018.</w:t>
      </w:r>
    </w:p>
    <w:p>
      <w:pPr>
        <w:spacing w:after="0" w:line="200" w:lineRule="exact"/>
        <w:rPr>
          <w:sz w:val="20"/>
          <w:szCs w:val="20"/>
          <w:color w:val="auto"/>
        </w:rPr>
      </w:pPr>
    </w:p>
    <w:p>
      <w:pPr>
        <w:spacing w:after="0" w:line="374" w:lineRule="exact"/>
        <w:rPr>
          <w:sz w:val="20"/>
          <w:szCs w:val="20"/>
          <w:color w:val="auto"/>
        </w:rPr>
      </w:pPr>
    </w:p>
    <w:p>
      <w:pPr>
        <w:ind w:left="260" w:right="7720" w:hanging="253"/>
        <w:spacing w:after="0" w:line="374" w:lineRule="auto"/>
        <w:tabs>
          <w:tab w:leader="none" w:pos="268"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Commercial commitments</w:t>
      </w:r>
    </w:p>
    <w:p>
      <w:pPr>
        <w:spacing w:after="0" w:line="1"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Performance and bid bonds are customarily required for dredging and marine construction projects, as well as some environmental &amp; infrastructure projects. The Company has bonding agreements with Argonaut Insurance Company, Berkley Insurance Company, Chubb Surety and Liberty Mutual Insurance Company under which the Company can obtain performance, bid and payment bonds. The Company also has outstanding bonds with Travelers Casualty and Surety Company of America and Zurich American Insurance Company (“Zurich”). Bid bonds are generally obtained for a percentage of bid value and amounts outstanding typically range from $1,000 to $10,000. At December 31, 2017, the Company had outstanding performance bonds with a notional amount of approximately $1,340,846, of which $41,085 relates to projects from the Company’s historical environmental &amp; infrastructure businesses. The revenue value remaining in backlog related to the projects of continuing operations totaled approximately $515,332.</w:t>
      </w:r>
    </w:p>
    <w:p>
      <w:pPr>
        <w:spacing w:after="0" w:line="167" w:lineRule="exact"/>
        <w:rPr>
          <w:sz w:val="20"/>
          <w:szCs w:val="20"/>
          <w:color w:val="auto"/>
        </w:rPr>
      </w:pPr>
    </w:p>
    <w:p>
      <w:pPr>
        <w:ind w:right="100" w:firstLine="518"/>
        <w:spacing w:after="0" w:line="250" w:lineRule="auto"/>
        <w:rPr>
          <w:sz w:val="20"/>
          <w:szCs w:val="20"/>
          <w:color w:val="auto"/>
        </w:rPr>
      </w:pPr>
      <w:r>
        <w:rPr>
          <w:rFonts w:ascii="Arial" w:cs="Arial" w:eastAsia="Arial" w:hAnsi="Arial"/>
          <w:sz w:val="18"/>
          <w:szCs w:val="18"/>
          <w:color w:val="auto"/>
        </w:rPr>
        <w:t>In connection with the sale of our historical demolition business, the Company was obligated to keep in place the surety bonds on pending demolition projects for the period required under the respective contract for a project and issued Zurich a letter of credit related to this exposure. In February 2017, the Company was notified by Zurich of an alleged default triggered on a historical demolition surety performance bond in the aggregate of approximately $20,000 for failure of the contractor to perform in accordance with the terms of a project. In May 2017, Zurich drew upon the letter of credit in the amount of $20,881. In order to fund the draw on the letter of credit, the Company had to increase the borrowings on its revolving credit facility. As the outstanding letters of credit previously reduced the Company’s availability under the revolving credit facility, the draw down on the Company’s letter of credit does not impact its liquidity or capital availability.</w:t>
      </w:r>
    </w:p>
    <w:p>
      <w:pPr>
        <w:spacing w:after="0" w:line="198" w:lineRule="exact"/>
        <w:rPr>
          <w:sz w:val="20"/>
          <w:szCs w:val="20"/>
          <w:color w:val="auto"/>
        </w:rPr>
      </w:pPr>
    </w:p>
    <w:p>
      <w:pPr>
        <w:ind w:firstLine="518"/>
        <w:spacing w:after="0" w:line="252" w:lineRule="auto"/>
        <w:rPr>
          <w:sz w:val="20"/>
          <w:szCs w:val="20"/>
          <w:color w:val="auto"/>
        </w:rPr>
      </w:pPr>
      <w:r>
        <w:rPr>
          <w:rFonts w:ascii="Arial" w:cs="Arial" w:eastAsia="Arial" w:hAnsi="Arial"/>
          <w:sz w:val="18"/>
          <w:szCs w:val="18"/>
          <w:color w:val="auto"/>
        </w:rPr>
        <w:t>Pursuant to the terms of sale of our historical demolition business, the Company received an indemnification from the buyer for losses resulting from the bonding arrangement. The Company intends to aggressively pursue enforcement of the indemnification provisions if the buyer of the historical demolition business is found to be in default of its obligations. The Company cannot estimate the amount or range of recoveries related to the indemnification or resolution of the Company’s responsibilities under the surety bond. The surety bond claim impact has been included in discontinued operations and is discussed in Note 17, Business Combinations and Dispositions.</w:t>
      </w:r>
    </w:p>
    <w:p>
      <w:pPr>
        <w:spacing w:after="0" w:line="193" w:lineRule="exact"/>
        <w:rPr>
          <w:sz w:val="20"/>
          <w:szCs w:val="20"/>
          <w:color w:val="auto"/>
        </w:rPr>
      </w:pPr>
    </w:p>
    <w:p>
      <w:pPr>
        <w:ind w:right="780" w:firstLine="518"/>
        <w:spacing w:after="0" w:line="267" w:lineRule="auto"/>
        <w:rPr>
          <w:sz w:val="20"/>
          <w:szCs w:val="20"/>
          <w:color w:val="auto"/>
        </w:rPr>
      </w:pPr>
      <w:r>
        <w:rPr>
          <w:rFonts w:ascii="Arial" w:cs="Arial" w:eastAsia="Arial" w:hAnsi="Arial"/>
          <w:sz w:val="18"/>
          <w:szCs w:val="18"/>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340" w:right="259" w:bottom="1440" w:gutter="0" w:footer="0" w:header="0"/>
        </w:sectPr>
      </w:pPr>
    </w:p>
    <w:bookmarkStart w:id="85" w:name="page86"/>
    <w:bookmarkEnd w:id="85"/>
    <w:p>
      <w:pPr>
        <w:ind w:right="40"/>
        <w:spacing w:after="0" w:line="267" w:lineRule="auto"/>
        <w:rPr>
          <w:sz w:val="20"/>
          <w:szCs w:val="20"/>
          <w:color w:val="auto"/>
        </w:rPr>
      </w:pPr>
      <w:r>
        <w:rPr>
          <w:rFonts w:ascii="Arial" w:cs="Arial" w:eastAsia="Arial" w:hAnsi="Arial"/>
          <w:sz w:val="18"/>
          <w:szCs w:val="18"/>
          <w:color w:val="auto"/>
        </w:rPr>
        <w:t>warranty period. Generally, any potential liability of the Company is mitigated by insurance, shared responsibilities with consortium partners, and/or recourse to owner-provided specifications.</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Legal proceedings and other contingencies</w:t>
      </w:r>
    </w:p>
    <w:p>
      <w:pPr>
        <w:spacing w:after="0" w:line="113"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191"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Various legal actions, claims, assessments and other contingencies arising in the ordinary course of business are pending against the Company and certain of its subsidiaries.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 accrual when it is probable a liability has been incurred and the amount of loss can be reasonably estimated. The Company does not believe any of these proceedings, individually or in the aggregate, would be expected to have a material effect on results of operations, cash flows or financial condition.</w:t>
      </w:r>
    </w:p>
    <w:p>
      <w:pPr>
        <w:spacing w:after="0" w:line="169" w:lineRule="exact"/>
        <w:rPr>
          <w:sz w:val="20"/>
          <w:szCs w:val="20"/>
          <w:color w:val="auto"/>
        </w:rPr>
      </w:pPr>
    </w:p>
    <w:p>
      <w:pPr>
        <w:ind w:right="100" w:firstLine="518"/>
        <w:spacing w:after="0" w:line="254" w:lineRule="auto"/>
        <w:rPr>
          <w:sz w:val="20"/>
          <w:szCs w:val="20"/>
          <w:color w:val="auto"/>
        </w:rPr>
      </w:pPr>
      <w:r>
        <w:rPr>
          <w:rFonts w:ascii="Arial" w:cs="Arial" w:eastAsia="Arial" w:hAnsi="Arial"/>
          <w:sz w:val="18"/>
          <w:szCs w:val="18"/>
          <w:color w:val="auto"/>
        </w:rPr>
        <w:t>On April 23, 2014, the Company completed the sale of NASDI, LLC (“NASDI”) and Yankee Environmental Services, LLC (“Yankee”), which together comprised the Company’s historical demolition business, to a privately owned demolition company. Under the terms of the divestiture, the Company retained certain pre-closing liabilities relating to the disposed business. Certain of these liabilities and a legal action brought by the Company to enforce the buyer’s obligations under the sale agreement are described below.</w:t>
      </w:r>
    </w:p>
    <w:p>
      <w:pPr>
        <w:spacing w:after="0" w:line="191" w:lineRule="exact"/>
        <w:rPr>
          <w:sz w:val="20"/>
          <w:szCs w:val="20"/>
          <w:color w:val="auto"/>
        </w:rPr>
      </w:pPr>
    </w:p>
    <w:p>
      <w:pPr>
        <w:ind w:right="40" w:firstLine="518"/>
        <w:spacing w:after="0" w:line="251" w:lineRule="auto"/>
        <w:rPr>
          <w:sz w:val="20"/>
          <w:szCs w:val="20"/>
          <w:color w:val="auto"/>
        </w:rPr>
      </w:pPr>
      <w:r>
        <w:rPr>
          <w:rFonts w:ascii="Arial" w:cs="Arial" w:eastAsia="Arial" w:hAnsi="Arial"/>
          <w:sz w:val="18"/>
          <w:szCs w:val="18"/>
          <w:color w:val="auto"/>
        </w:rPr>
        <w:t>On January 14, 2015, the Company and our subsidiary, NASDI Holdings, LLC, brought an action in the Delaware Court of Chancery to enforce the terms of the Company's agreement to sell NASDI and Yankee. Under the terms of the agreement, the Company received cash of $5,309 and retained the right to receive additional proceeds based upon future collections of outstanding accounts receivable and work in process existing at the date of close. The Company seeks specific performance of buyer’s obligation to collect and to remit the additional proceeds, and other related relief. Defendants have filed counterclaims alleging that the Company misrepresented the quality of its contracts and receivables prior to the sale. The Company denies defendants’ allegations and intends to vigorously defend against the counterclaims.</w:t>
      </w:r>
    </w:p>
    <w:p>
      <w:pPr>
        <w:spacing w:after="0" w:line="195" w:lineRule="exact"/>
        <w:rPr>
          <w:sz w:val="20"/>
          <w:szCs w:val="20"/>
          <w:color w:val="auto"/>
        </w:rPr>
      </w:pPr>
    </w:p>
    <w:p>
      <w:pPr>
        <w:ind w:right="40" w:firstLine="518"/>
        <w:spacing w:after="0" w:line="331" w:lineRule="auto"/>
        <w:rPr>
          <w:sz w:val="20"/>
          <w:szCs w:val="20"/>
          <w:color w:val="auto"/>
        </w:rPr>
      </w:pPr>
      <w:r>
        <w:rPr>
          <w:rFonts w:ascii="Arial" w:cs="Arial" w:eastAsia="Arial" w:hAnsi="Arial"/>
          <w:sz w:val="16"/>
          <w:szCs w:val="16"/>
          <w:color w:val="auto"/>
        </w:rPr>
        <w:t>The Company has not accrued any amounts with respect to the above matters as the Company does not believe, based on information currently known to it, that a loss relating to these matters is probable, and an estimate of a range of potential losses relating to these matters cannot reasonably be made.</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Lease obligations</w:t>
      </w:r>
    </w:p>
    <w:p>
      <w:pPr>
        <w:spacing w:after="0" w:line="113" w:lineRule="exact"/>
        <w:rPr>
          <w:sz w:val="20"/>
          <w:szCs w:val="20"/>
          <w:color w:val="auto"/>
        </w:rPr>
      </w:pPr>
    </w:p>
    <w:p>
      <w:pPr>
        <w:ind w:right="160" w:firstLine="518"/>
        <w:spacing w:after="0" w:line="267" w:lineRule="auto"/>
        <w:rPr>
          <w:sz w:val="20"/>
          <w:szCs w:val="20"/>
          <w:color w:val="auto"/>
        </w:rPr>
      </w:pPr>
      <w:r>
        <w:rPr>
          <w:rFonts w:ascii="Arial" w:cs="Arial" w:eastAsia="Arial" w:hAnsi="Arial"/>
          <w:sz w:val="17"/>
          <w:szCs w:val="17"/>
          <w:color w:val="auto"/>
        </w:rPr>
        <w:t>The Company leases certain operating equipment and office facilities under long-term operating leases expiring at various dates through 2024. The equipment leases contain renewal or purchase options that specify prices at the then fair value upon the expiration of the lease terms. The leases also contain default provisions that are triggered by an acceleration of debt maturity under the terms of the Company’s Credit Agreement, or, in certain instances, cross default to other equipment leases and certain lease arrangements require that the Company maintain certain financial ratios comparable to those required by its Credit Agreement. Additionally, the leases typically contain provisions whereby the Company indemnifies the lessors for the tax treatment attributable to such leases based on the tax rules in place at lease inception. The tax indemnifications do not have a contractual dollar limit. To date, no lessors have asserted any claims against the Company under these tax indemnification provisions.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operating lease payments at December 31, 2017,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30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2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21,310</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420" w:type="dxa"/>
            <w:vAlign w:val="bottom"/>
            <w:gridSpan w:val="2"/>
          </w:tcPr>
          <w:p>
            <w:pPr>
              <w:ind w:left="2300"/>
              <w:spacing w:after="0"/>
              <w:rPr>
                <w:sz w:val="20"/>
                <w:szCs w:val="20"/>
                <w:color w:val="auto"/>
              </w:rPr>
            </w:pPr>
            <w:r>
              <w:rPr>
                <w:rFonts w:ascii="Arial" w:cs="Arial" w:eastAsia="Arial" w:hAnsi="Arial"/>
                <w:sz w:val="18"/>
                <w:szCs w:val="18"/>
                <w:color w:val="auto"/>
              </w:rPr>
              <w:t>2019</w:t>
            </w:r>
          </w:p>
        </w:tc>
        <w:tc>
          <w:tcPr>
            <w:tcW w:w="2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17,119</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30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4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14,365</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420" w:type="dxa"/>
            <w:vAlign w:val="bottom"/>
            <w:gridSpan w:val="2"/>
          </w:tcPr>
          <w:p>
            <w:pPr>
              <w:ind w:left="2300"/>
              <w:spacing w:after="0"/>
              <w:rPr>
                <w:sz w:val="20"/>
                <w:szCs w:val="20"/>
                <w:color w:val="auto"/>
              </w:rPr>
            </w:pPr>
            <w:r>
              <w:rPr>
                <w:rFonts w:ascii="Arial" w:cs="Arial" w:eastAsia="Arial" w:hAnsi="Arial"/>
                <w:sz w:val="18"/>
                <w:szCs w:val="18"/>
                <w:color w:val="auto"/>
              </w:rPr>
              <w:t>2021</w:t>
            </w:r>
          </w:p>
        </w:tc>
        <w:tc>
          <w:tcPr>
            <w:tcW w:w="2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12,500</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30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4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8,773</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420" w:type="dxa"/>
            <w:vAlign w:val="bottom"/>
            <w:gridSpan w:val="2"/>
          </w:tcPr>
          <w:p>
            <w:pPr>
              <w:ind w:left="2300"/>
              <w:spacing w:after="0"/>
              <w:rPr>
                <w:sz w:val="20"/>
                <w:szCs w:val="20"/>
                <w:color w:val="auto"/>
              </w:rPr>
            </w:pPr>
            <w:r>
              <w:rPr>
                <w:rFonts w:ascii="Arial" w:cs="Arial" w:eastAsia="Arial" w:hAnsi="Arial"/>
                <w:sz w:val="18"/>
                <w:szCs w:val="18"/>
                <w:color w:val="auto"/>
              </w:rPr>
              <w:t>Thereafter</w:t>
            </w:r>
          </w:p>
        </w:tc>
        <w:tc>
          <w:tcPr>
            <w:tcW w:w="2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8,408</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300" w:type="dxa"/>
            <w:vAlign w:val="bottom"/>
          </w:tcPr>
          <w:p>
            <w:pPr>
              <w:spacing w:after="0"/>
              <w:rPr>
                <w:sz w:val="19"/>
                <w:szCs w:val="19"/>
                <w:color w:val="auto"/>
              </w:rPr>
            </w:pPr>
          </w:p>
        </w:tc>
        <w:tc>
          <w:tcPr>
            <w:tcW w:w="3120" w:type="dxa"/>
            <w:vAlign w:val="bottom"/>
            <w:tcBorders>
              <w:top w:val="single" w:sz="8" w:color="CFF0FC"/>
            </w:tcBorders>
            <w:shd w:val="clear" w:color="auto" w:fill="CFF0FC"/>
          </w:tcPr>
          <w:p>
            <w:pPr>
              <w:spacing w:after="0"/>
              <w:rPr>
                <w:sz w:val="19"/>
                <w:szCs w:val="19"/>
                <w:color w:val="auto"/>
              </w:rPr>
            </w:pPr>
          </w:p>
        </w:tc>
        <w:tc>
          <w:tcPr>
            <w:tcW w:w="24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right w:val="single" w:sz="8" w:color="CFF0FC"/>
            </w:tcBorders>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20" w:type="dxa"/>
            <w:vAlign w:val="bottom"/>
            <w:gridSpan w:val="2"/>
          </w:tcPr>
          <w:p>
            <w:pPr>
              <w:ind w:left="2300"/>
              <w:spacing w:after="0"/>
              <w:rPr>
                <w:sz w:val="20"/>
                <w:szCs w:val="20"/>
                <w:color w:val="auto"/>
              </w:rPr>
            </w:pPr>
            <w:r>
              <w:rPr>
                <w:rFonts w:ascii="Arial" w:cs="Arial" w:eastAsia="Arial" w:hAnsi="Arial"/>
                <w:sz w:val="18"/>
                <w:szCs w:val="18"/>
                <w:color w:val="auto"/>
                <w:w w:val="94"/>
              </w:rPr>
              <w:t>Total minimum operating lease payments</w:t>
            </w:r>
          </w:p>
        </w:tc>
        <w:tc>
          <w:tcPr>
            <w:tcW w:w="2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82,475</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60" w:type="dxa"/>
            <w:vAlign w:val="bottom"/>
            <w:vMerge w:val="restart"/>
          </w:tcPr>
          <w:p>
            <w:pPr>
              <w:jc w:val="right"/>
              <w:ind w:right="1991"/>
              <w:spacing w:after="0"/>
              <w:rPr>
                <w:sz w:val="20"/>
                <w:szCs w:val="20"/>
                <w:color w:val="auto"/>
              </w:rPr>
            </w:pPr>
            <w:r>
              <w:rPr>
                <w:rFonts w:ascii="Arial" w:cs="Arial" w:eastAsia="Arial" w:hAnsi="Arial"/>
                <w:sz w:val="18"/>
                <w:szCs w:val="18"/>
                <w:color w:val="auto"/>
              </w:rPr>
              <w:t>84</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23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00" w:type="dxa"/>
            <w:vAlign w:val="bottom"/>
            <w:tcBorders>
              <w:bottom w:val="single" w:sz="8" w:color="9A9A9A"/>
            </w:tcBorders>
          </w:tcPr>
          <w:p>
            <w:pPr>
              <w:spacing w:after="0"/>
              <w:rPr>
                <w:sz w:val="9"/>
                <w:szCs w:val="9"/>
                <w:color w:val="auto"/>
              </w:rPr>
            </w:pPr>
          </w:p>
        </w:tc>
        <w:tc>
          <w:tcPr>
            <w:tcW w:w="3120" w:type="dxa"/>
            <w:vAlign w:val="bottom"/>
            <w:tcBorders>
              <w:bottom w:val="single" w:sz="8" w:color="9A9A9A"/>
            </w:tcBorders>
          </w:tcPr>
          <w:p>
            <w:pPr>
              <w:spacing w:after="0"/>
              <w:rPr>
                <w:sz w:val="9"/>
                <w:szCs w:val="9"/>
                <w:color w:val="auto"/>
              </w:rPr>
            </w:pPr>
          </w:p>
        </w:tc>
        <w:tc>
          <w:tcPr>
            <w:tcW w:w="24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40" w:right="219" w:bottom="1440" w:gutter="0" w:footer="0" w:header="0"/>
        </w:sectPr>
      </w:pPr>
    </w:p>
    <w:bookmarkStart w:id="86" w:name="page87"/>
    <w:bookmarkEnd w:id="86"/>
    <w:p>
      <w:pPr>
        <w:ind w:left="520"/>
        <w:spacing w:after="0"/>
        <w:rPr>
          <w:sz w:val="20"/>
          <w:szCs w:val="20"/>
          <w:color w:val="auto"/>
        </w:rPr>
      </w:pPr>
      <w:r>
        <w:rPr>
          <w:rFonts w:ascii="Arial" w:cs="Arial" w:eastAsia="Arial" w:hAnsi="Arial"/>
          <w:sz w:val="16"/>
          <w:szCs w:val="16"/>
          <w:color w:val="auto"/>
        </w:rPr>
        <w:t>Total rent expense under long-term operating lease arrangements for the years ended December 31, 2017, 2016 and 2015 was $27,218, $21,061 and</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$21,697, respectively. This excludes expenses for equipment and facilities rented on a short-term, as-needed basis. For more information about charges to rent</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expense during 2017 related to the Company’s restructuring refer to Note 13, Restructuring Charges.</w:t>
      </w:r>
    </w:p>
    <w:p>
      <w:pPr>
        <w:spacing w:after="0" w:line="389" w:lineRule="exact"/>
        <w:rPr>
          <w:sz w:val="20"/>
          <w:szCs w:val="20"/>
          <w:color w:val="auto"/>
        </w:rPr>
      </w:pPr>
    </w:p>
    <w:p>
      <w:pPr>
        <w:ind w:left="520" w:right="9540" w:hanging="513"/>
        <w:spacing w:after="0" w:line="481" w:lineRule="auto"/>
        <w:tabs>
          <w:tab w:leader="none" w:pos="268" w:val="left"/>
        </w:tabs>
        <w:numPr>
          <w:ilvl w:val="0"/>
          <w:numId w:val="2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INVESTMENTS </w:t>
      </w:r>
      <w:r>
        <w:rPr>
          <w:rFonts w:ascii="Arial" w:cs="Arial" w:eastAsia="Arial" w:hAnsi="Arial"/>
          <w:sz w:val="14"/>
          <w:szCs w:val="14"/>
          <w:i w:val="1"/>
          <w:iCs w:val="1"/>
          <w:color w:val="auto"/>
        </w:rPr>
        <w:t>Amboy Aggregates</w:t>
      </w:r>
    </w:p>
    <w:p>
      <w:pPr>
        <w:spacing w:after="0" w:line="1" w:lineRule="exact"/>
        <w:rPr>
          <w:sz w:val="20"/>
          <w:szCs w:val="20"/>
          <w:color w:val="auto"/>
        </w:rPr>
      </w:pPr>
    </w:p>
    <w:p>
      <w:pPr>
        <w:ind w:right="300" w:firstLine="518"/>
        <w:spacing w:after="0" w:line="279" w:lineRule="auto"/>
        <w:rPr>
          <w:sz w:val="20"/>
          <w:szCs w:val="20"/>
          <w:color w:val="auto"/>
        </w:rPr>
      </w:pPr>
      <w:r>
        <w:rPr>
          <w:rFonts w:ascii="Arial" w:cs="Arial" w:eastAsia="Arial" w:hAnsi="Arial"/>
          <w:sz w:val="17"/>
          <w:szCs w:val="17"/>
          <w:color w:val="auto"/>
        </w:rPr>
        <w:t>The Company and a New Jersey aggregates company each owned 50% of Amboy Aggregates (“Amboy”). Amboy was formed in December 1984 to mine sand from the entrance channel to New York Harbor to provide sand and aggregate for use in road and building construction and for clean land fill. Amboy sold its interest in a stone import business and its holdings in land during 2014. Amboy was dissolved in 2017.</w:t>
      </w:r>
    </w:p>
    <w:p>
      <w:pPr>
        <w:spacing w:after="0" w:line="17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Company accounts for this investment under the equity method. The following is summarized financial information for this dissolved entity:</w:t>
      </w:r>
    </w:p>
    <w:p>
      <w:pPr>
        <w:spacing w:after="0" w:line="76" w:lineRule="exact"/>
        <w:rPr>
          <w:sz w:val="20"/>
          <w:szCs w:val="20"/>
          <w:color w:val="auto"/>
        </w:rPr>
      </w:pPr>
    </w:p>
    <w:tbl>
      <w:tblPr>
        <w:tblLayout w:type="fixed"/>
        <w:tblInd w:w="1160" w:type="dxa"/>
        <w:tblCellMar>
          <w:top w:w="0" w:type="dxa"/>
          <w:left w:w="0" w:type="dxa"/>
          <w:bottom w:w="0" w:type="dxa"/>
          <w:right w:w="0" w:type="dxa"/>
        </w:tblCellMar>
      </w:tblPr>
      <w:tr>
        <w:trPr>
          <w:trHeight w:val="169"/>
        </w:trPr>
        <w:tc>
          <w:tcPr>
            <w:tcW w:w="538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r>
      <w:tr>
        <w:trPr>
          <w:trHeight w:val="22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800" w:type="dxa"/>
            <w:vAlign w:val="bottom"/>
            <w:shd w:val="clear" w:color="auto" w:fill="CFF0FC"/>
          </w:tcPr>
          <w:p>
            <w:pPr>
              <w:jc w:val="right"/>
              <w:ind w:right="648"/>
              <w:spacing w:after="0"/>
              <w:rPr>
                <w:sz w:val="20"/>
                <w:szCs w:val="20"/>
                <w:color w:val="auto"/>
              </w:rPr>
            </w:pPr>
            <w:r>
              <w:rPr>
                <w:rFonts w:ascii="Arial" w:cs="Arial" w:eastAsia="Arial" w:hAnsi="Arial"/>
                <w:sz w:val="14"/>
                <w:szCs w:val="14"/>
                <w:color w:val="auto"/>
                <w:w w:val="76"/>
              </w:rPr>
              <w:t>$</w:t>
            </w:r>
          </w:p>
        </w:tc>
        <w:tc>
          <w:tcPr>
            <w:tcW w:w="124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   $</w:t>
            </w:r>
          </w:p>
        </w:tc>
        <w:tc>
          <w:tcPr>
            <w:tcW w:w="80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FF0FC"/>
          </w:tcPr>
          <w:p>
            <w:pPr>
              <w:spacing w:after="0"/>
              <w:rPr>
                <w:sz w:val="19"/>
                <w:szCs w:val="19"/>
                <w:color w:val="auto"/>
              </w:rPr>
            </w:pPr>
          </w:p>
        </w:tc>
      </w:tr>
      <w:tr>
        <w:trPr>
          <w:trHeight w:val="226"/>
        </w:trPr>
        <w:tc>
          <w:tcPr>
            <w:tcW w:w="5380" w:type="dxa"/>
            <w:vAlign w:val="bottom"/>
          </w:tcPr>
          <w:p>
            <w:pPr>
              <w:spacing w:after="0"/>
              <w:rPr>
                <w:sz w:val="20"/>
                <w:szCs w:val="20"/>
                <w:color w:val="auto"/>
              </w:rPr>
            </w:pPr>
            <w:r>
              <w:rPr>
                <w:rFonts w:ascii="Arial" w:cs="Arial" w:eastAsia="Arial" w:hAnsi="Arial"/>
                <w:sz w:val="18"/>
                <w:szCs w:val="18"/>
                <w:color w:val="auto"/>
              </w:rPr>
              <w:t>Gross profit (loss)</w:t>
            </w:r>
          </w:p>
        </w:tc>
        <w:tc>
          <w:tcPr>
            <w:tcW w:w="800" w:type="dxa"/>
            <w:vAlign w:val="bottom"/>
          </w:tcPr>
          <w:p>
            <w:pPr>
              <w:spacing w:after="0"/>
              <w:rPr>
                <w:sz w:val="19"/>
                <w:szCs w:val="19"/>
                <w:color w:val="auto"/>
              </w:rPr>
            </w:pPr>
          </w:p>
        </w:tc>
        <w:tc>
          <w:tcPr>
            <w:tcW w:w="124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758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(1,363)</w:t>
            </w:r>
          </w:p>
        </w:tc>
      </w:tr>
      <w:tr>
        <w:trPr>
          <w:trHeight w:val="227"/>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continuing operations</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89"/>
              </w:rPr>
              <w:t>34</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758</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(3,152)</w:t>
            </w:r>
          </w:p>
        </w:tc>
      </w:tr>
      <w:tr>
        <w:trPr>
          <w:trHeight w:val="225"/>
        </w:trPr>
        <w:tc>
          <w:tcPr>
            <w:tcW w:w="5380" w:type="dxa"/>
            <w:vAlign w:val="bottom"/>
          </w:tcPr>
          <w:p>
            <w:pPr>
              <w:spacing w:after="0"/>
              <w:rPr>
                <w:sz w:val="20"/>
                <w:szCs w:val="20"/>
                <w:color w:val="auto"/>
              </w:rPr>
            </w:pPr>
            <w:r>
              <w:rPr>
                <w:rFonts w:ascii="Arial" w:cs="Arial" w:eastAsia="Arial" w:hAnsi="Arial"/>
                <w:sz w:val="18"/>
                <w:szCs w:val="18"/>
                <w:color w:val="auto"/>
              </w:rPr>
              <w:t>Net income (loss)</w:t>
            </w:r>
          </w:p>
        </w:tc>
        <w:tc>
          <w:tcPr>
            <w:tcW w:w="800" w:type="dxa"/>
            <w:vAlign w:val="bottom"/>
          </w:tcPr>
          <w:p>
            <w:pPr>
              <w:spacing w:after="0"/>
              <w:rPr>
                <w:sz w:val="19"/>
                <w:szCs w:val="19"/>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w w:val="89"/>
              </w:rPr>
              <w:t>34</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758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(3,152)</w:t>
            </w:r>
          </w:p>
        </w:tc>
      </w:tr>
    </w:tbl>
    <w:p>
      <w:pPr>
        <w:spacing w:after="0" w:line="33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TerraSea Environmental Solutions</w:t>
      </w:r>
    </w:p>
    <w:p>
      <w:pPr>
        <w:spacing w:after="0" w:line="113" w:lineRule="exact"/>
        <w:rPr>
          <w:sz w:val="20"/>
          <w:szCs w:val="20"/>
          <w:color w:val="auto"/>
        </w:rPr>
      </w:pPr>
    </w:p>
    <w:p>
      <w:pPr>
        <w:ind w:right="40" w:firstLine="518"/>
        <w:spacing w:after="0" w:line="295" w:lineRule="auto"/>
        <w:rPr>
          <w:sz w:val="20"/>
          <w:szCs w:val="20"/>
          <w:color w:val="auto"/>
        </w:rPr>
      </w:pPr>
      <w:r>
        <w:rPr>
          <w:rFonts w:ascii="Arial" w:cs="Arial" w:eastAsia="Arial" w:hAnsi="Arial"/>
          <w:sz w:val="16"/>
          <w:szCs w:val="16"/>
          <w:color w:val="auto"/>
        </w:rPr>
        <w:t>The Company owned 50% of TerraSea Environmental Solutions (“TerraSea”) as a joint venture. TerraSea was engaged in the environmental services business through its ability to remediate contaminated soil and dredged sediment treatment. At December 31, 2016, the Company had net advances to TerraSea of $24,696, which are recorded in other current assets. The Company had an accumulated deficit in joint ventures, which represents losses recognized to date in excess of our investment in TerraSea, of $17,016 at December 31, 2016, which is presented in accrued expenses.</w:t>
      </w:r>
    </w:p>
    <w:p>
      <w:pPr>
        <w:spacing w:after="0" w:line="56"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During the second quarter of 2017, the Company and the joint venture partner agreed to a final resolution of the net advances through additional funding of the joint venture. The Company recorded additional losses of $1,458 related to this joint venture during the year ended December 31, 2017. TerraSea was dissolved in 2017.</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Company accounts for this investment under the equity method. The following is summarized financial information for this dissolved entity:</w:t>
      </w:r>
    </w:p>
    <w:p>
      <w:pPr>
        <w:spacing w:after="0" w:line="289" w:lineRule="exact"/>
        <w:rPr>
          <w:sz w:val="20"/>
          <w:szCs w:val="20"/>
          <w:color w:val="auto"/>
        </w:rPr>
      </w:pPr>
    </w:p>
    <w:tbl>
      <w:tblPr>
        <w:tblLayout w:type="fixed"/>
        <w:tblInd w:w="1160" w:type="dxa"/>
        <w:tblCellMar>
          <w:top w:w="0" w:type="dxa"/>
          <w:left w:w="0" w:type="dxa"/>
          <w:bottom w:w="0" w:type="dxa"/>
          <w:right w:w="0" w:type="dxa"/>
        </w:tblCellMar>
      </w:tblPr>
      <w:tr>
        <w:trPr>
          <w:trHeight w:val="169"/>
        </w:trPr>
        <w:tc>
          <w:tcPr>
            <w:tcW w:w="624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r>
      <w:tr>
        <w:trPr>
          <w:trHeight w:val="220"/>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900" w:type="dxa"/>
            <w:vAlign w:val="bottom"/>
            <w:shd w:val="clear" w:color="auto" w:fill="CFF0FC"/>
          </w:tcPr>
          <w:p>
            <w:pPr>
              <w:jc w:val="right"/>
              <w:ind w:right="720"/>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   $</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6,960</w:t>
            </w:r>
          </w:p>
        </w:tc>
        <w:tc>
          <w:tcPr>
            <w:tcW w:w="80" w:type="dxa"/>
            <w:vAlign w:val="bottom"/>
            <w:shd w:val="clear" w:color="auto" w:fill="CFF0FC"/>
          </w:tcPr>
          <w:p>
            <w:pPr>
              <w:spacing w:after="0"/>
              <w:rPr>
                <w:sz w:val="19"/>
                <w:szCs w:val="19"/>
                <w:color w:val="auto"/>
              </w:rPr>
            </w:pPr>
          </w:p>
        </w:tc>
      </w:tr>
      <w:tr>
        <w:trPr>
          <w:trHeight w:val="226"/>
        </w:trPr>
        <w:tc>
          <w:tcPr>
            <w:tcW w:w="6240" w:type="dxa"/>
            <w:vAlign w:val="bottom"/>
          </w:tcPr>
          <w:p>
            <w:pPr>
              <w:spacing w:after="0"/>
              <w:rPr>
                <w:sz w:val="20"/>
                <w:szCs w:val="20"/>
                <w:color w:val="auto"/>
              </w:rPr>
            </w:pPr>
            <w:r>
              <w:rPr>
                <w:rFonts w:ascii="Arial" w:cs="Arial" w:eastAsia="Arial" w:hAnsi="Arial"/>
                <w:sz w:val="18"/>
                <w:szCs w:val="18"/>
                <w:color w:val="auto"/>
              </w:rPr>
              <w:t>Gross loss</w:t>
            </w:r>
          </w:p>
        </w:tc>
        <w:tc>
          <w:tcPr>
            <w:tcW w:w="90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(183)</w:t>
            </w:r>
          </w:p>
        </w:tc>
        <w:tc>
          <w:tcPr>
            <w:tcW w:w="3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(3,800)</w:t>
            </w:r>
          </w:p>
        </w:tc>
      </w:tr>
      <w:tr>
        <w:trPr>
          <w:trHeight w:val="227"/>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9"/>
              </w:rPr>
              <w:t>(183)</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(3,800)</w:t>
            </w: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RELATED-PARTY TRANSACTIONS</w:t>
      </w:r>
    </w:p>
    <w:p>
      <w:pPr>
        <w:spacing w:after="0" w:line="226" w:lineRule="exact"/>
        <w:rPr>
          <w:sz w:val="20"/>
          <w:szCs w:val="20"/>
          <w:color w:val="auto"/>
        </w:rPr>
      </w:pPr>
    </w:p>
    <w:p>
      <w:pPr>
        <w:ind w:right="380" w:firstLine="518"/>
        <w:spacing w:after="0" w:line="331" w:lineRule="auto"/>
        <w:rPr>
          <w:sz w:val="20"/>
          <w:szCs w:val="20"/>
          <w:color w:val="auto"/>
        </w:rPr>
      </w:pPr>
      <w:r>
        <w:rPr>
          <w:rFonts w:ascii="Arial" w:cs="Arial" w:eastAsia="Arial" w:hAnsi="Arial"/>
          <w:sz w:val="16"/>
          <w:szCs w:val="16"/>
          <w:color w:val="auto"/>
        </w:rPr>
        <w:t>The Company’s Environmental &amp; Infrastructure Segment operated out of two facilities owned by the former owner of Terra Contracting, LLC until November 11, 2016, when the lease was terminated. The Company paid $195 and $243 on rent on these properties in 2016 and 2015, respectively.</w:t>
      </w:r>
    </w:p>
    <w:p>
      <w:pPr>
        <w:spacing w:after="0" w:line="26"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Further, the Company’s Environmental &amp; Infrastructure Segment operated out of two facilities owned by Magnus Real Estate Group, LLC, which was owned by the former owners of Magnus Pacific Corporation (“Magnus”). In 2017, 2016 and 2015, the Company paid rent of $263, $506 and $402, respectively, for these two properties. In March 2017, one of the properties was sold to a non-related party.</w:t>
      </w:r>
    </w:p>
    <w:p>
      <w:pPr>
        <w:spacing w:after="0" w:line="169" w:lineRule="exact"/>
        <w:rPr>
          <w:sz w:val="20"/>
          <w:szCs w:val="20"/>
          <w:color w:val="auto"/>
        </w:rPr>
      </w:pPr>
    </w:p>
    <w:p>
      <w:pPr>
        <w:ind w:left="520" w:right="7060" w:hanging="513"/>
        <w:spacing w:after="0" w:line="374" w:lineRule="auto"/>
        <w:tabs>
          <w:tab w:leader="none" w:pos="268"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COMBINATIONS AND DISPOSITIONS </w:t>
      </w:r>
      <w:r>
        <w:rPr>
          <w:rFonts w:ascii="Arial" w:cs="Arial" w:eastAsia="Arial" w:hAnsi="Arial"/>
          <w:sz w:val="18"/>
          <w:szCs w:val="18"/>
          <w:i w:val="1"/>
          <w:iCs w:val="1"/>
          <w:color w:val="auto"/>
        </w:rPr>
        <w:t>Discontinued operations</w:t>
      </w:r>
    </w:p>
    <w:p>
      <w:pPr>
        <w:spacing w:after="0" w:line="1"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On April 23, 2014, the Company entered into an agreement and completed the sale of NASDI, LLC and Yankee Environmental Services, LLC, its two former subsidiaries that comprised the historical demolition business. Under the terms of the agreement, the Company received cash of $5,309 and retained the right to receive additional proceeds based upon future collections of outstanding accounts receivable and work in process existing at the date of close, including recovery of outstanding claims for additional</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67" w:right="259" w:bottom="1440" w:gutter="0" w:footer="0" w:header="0"/>
        </w:sectPr>
      </w:pPr>
    </w:p>
    <w:bookmarkStart w:id="87" w:name="page88"/>
    <w:bookmarkEnd w:id="87"/>
    <w:p>
      <w:pPr>
        <w:ind w:right="400"/>
        <w:spacing w:after="0" w:line="252" w:lineRule="auto"/>
        <w:rPr>
          <w:sz w:val="20"/>
          <w:szCs w:val="20"/>
          <w:color w:val="auto"/>
        </w:rPr>
      </w:pPr>
      <w:r>
        <w:rPr>
          <w:rFonts w:ascii="Arial" w:cs="Arial" w:eastAsia="Arial" w:hAnsi="Arial"/>
          <w:sz w:val="18"/>
          <w:szCs w:val="18"/>
          <w:color w:val="auto"/>
        </w:rPr>
        <w:t>compensation from customers, and net of future payments of accounts payable existing at the date of close, including any future payments of obligations associated with outstanding claims. The amount and timing of the working capital settlement and the amount and timing of the realization of additional net proceeds may be impacted by the litigation with the buyer of the historical demolition business (see Note 14, Commitment and Contingencies). However, management believes that the ultimate resolution of these matters will not be material to the Company’s consolidated financial position or results of operations.</w:t>
      </w:r>
    </w:p>
    <w:p>
      <w:pPr>
        <w:spacing w:after="0" w:line="8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As discussed in Note 14, the Company was notified by Zurich of an alleged default triggered on a historical demolition surety performance bond in the aggregate of approximately $20,000 for failure of the contractor to perform in accordance with the terms of a project. Zurich could be obligated to reimburse the loss, damage and expense that may arise from the alleged default. The Company estimated its exposure to a surety bond claim, including associated expense to be $20,900 and has recorded this amount in discontinued operations for the year ended December 31, 2017 as follow:</w:t>
      </w:r>
    </w:p>
    <w:p>
      <w:pPr>
        <w:spacing w:after="0" w:line="247" w:lineRule="exact"/>
        <w:rPr>
          <w:sz w:val="20"/>
          <w:szCs w:val="20"/>
          <w:color w:val="auto"/>
        </w:rPr>
      </w:pPr>
    </w:p>
    <w:tbl>
      <w:tblPr>
        <w:tblLayout w:type="fixed"/>
        <w:tblInd w:w="1160" w:type="dxa"/>
        <w:tblCellMar>
          <w:top w:w="0" w:type="dxa"/>
          <w:left w:w="0" w:type="dxa"/>
          <w:bottom w:w="0" w:type="dxa"/>
          <w:right w:w="0" w:type="dxa"/>
        </w:tblCellMar>
      </w:tblPr>
      <w:tr>
        <w:trPr>
          <w:trHeight w:val="169"/>
        </w:trPr>
        <w:tc>
          <w:tcPr>
            <w:tcW w:w="748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480" w:type="dxa"/>
            <w:vAlign w:val="bottom"/>
            <w:vMerge w:val="continue"/>
          </w:tcPr>
          <w:p>
            <w:pPr>
              <w:spacing w:after="0"/>
              <w:rPr>
                <w:sz w:val="19"/>
                <w:szCs w:val="19"/>
                <w:color w:val="auto"/>
              </w:rPr>
            </w:pPr>
          </w:p>
        </w:tc>
        <w:tc>
          <w:tcPr>
            <w:tcW w:w="400" w:type="dxa"/>
            <w:vAlign w:val="bottom"/>
          </w:tcPr>
          <w:p>
            <w:pPr>
              <w:jc w:val="right"/>
              <w:ind w:right="211"/>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74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480" w:type="dxa"/>
            <w:vAlign w:val="bottom"/>
          </w:tcPr>
          <w:p>
            <w:pPr>
              <w:spacing w:after="0"/>
              <w:rPr>
                <w:sz w:val="20"/>
                <w:szCs w:val="20"/>
                <w:color w:val="auto"/>
              </w:rPr>
            </w:pPr>
            <w:r>
              <w:rPr>
                <w:rFonts w:ascii="Arial" w:cs="Arial" w:eastAsia="Arial" w:hAnsi="Arial"/>
                <w:sz w:val="18"/>
                <w:szCs w:val="18"/>
                <w:color w:val="auto"/>
              </w:rPr>
              <w:t>Loss before income taxes from discontinued operations</w:t>
            </w:r>
          </w:p>
        </w:tc>
        <w:tc>
          <w:tcPr>
            <w:tcW w:w="400" w:type="dxa"/>
            <w:vAlign w:val="bottom"/>
          </w:tcPr>
          <w:p>
            <w:pPr>
              <w:jc w:val="right"/>
              <w:ind w:right="211"/>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(20,900)</w:t>
            </w:r>
          </w:p>
        </w:tc>
        <w:tc>
          <w:tcPr>
            <w:tcW w:w="0" w:type="dxa"/>
            <w:vAlign w:val="bottom"/>
          </w:tcPr>
          <w:p>
            <w:pPr>
              <w:spacing w:after="0"/>
              <w:rPr>
                <w:sz w:val="1"/>
                <w:szCs w:val="1"/>
                <w:color w:val="auto"/>
              </w:rPr>
            </w:pPr>
          </w:p>
        </w:tc>
      </w:tr>
      <w:tr>
        <w:trPr>
          <w:trHeight w:val="227"/>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4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480" w:type="dxa"/>
            <w:vAlign w:val="bottom"/>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400" w:type="dxa"/>
            <w:vAlign w:val="bottom"/>
          </w:tcPr>
          <w:p>
            <w:pPr>
              <w:jc w:val="right"/>
              <w:ind w:right="211"/>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(12,697)</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Magnus Pacific acquisition</w:t>
      </w:r>
    </w:p>
    <w:p>
      <w:pPr>
        <w:spacing w:after="0" w:line="113" w:lineRule="exact"/>
        <w:rPr>
          <w:sz w:val="20"/>
          <w:szCs w:val="20"/>
          <w:color w:val="auto"/>
        </w:rPr>
      </w:pPr>
    </w:p>
    <w:p>
      <w:pPr>
        <w:jc w:val="both"/>
        <w:ind w:right="200" w:firstLine="518"/>
        <w:spacing w:after="0" w:line="257" w:lineRule="auto"/>
        <w:rPr>
          <w:sz w:val="20"/>
          <w:szCs w:val="20"/>
          <w:color w:val="auto"/>
        </w:rPr>
      </w:pPr>
      <w:r>
        <w:rPr>
          <w:rFonts w:ascii="Arial" w:cs="Arial" w:eastAsia="Arial" w:hAnsi="Arial"/>
          <w:sz w:val="18"/>
          <w:szCs w:val="18"/>
          <w:color w:val="auto"/>
        </w:rPr>
        <w:t>On November 4, 2014, the Company acquired Magnus, a California corporation, for an aggregate purchase price of approximately $40 million. Under the terms of the acquisition, the aggregate purchase price is satisfied by payment of $25,000 paid at closing, the issuance of a promissory note and an earnout payment.</w:t>
      </w:r>
    </w:p>
    <w:p>
      <w:pPr>
        <w:spacing w:after="0" w:line="82" w:lineRule="exact"/>
        <w:rPr>
          <w:sz w:val="20"/>
          <w:szCs w:val="20"/>
          <w:color w:val="auto"/>
        </w:rPr>
      </w:pPr>
    </w:p>
    <w:p>
      <w:pPr>
        <w:ind w:right="40" w:firstLine="518"/>
        <w:spacing w:after="0" w:line="285" w:lineRule="auto"/>
        <w:rPr>
          <w:sz w:val="20"/>
          <w:szCs w:val="20"/>
          <w:color w:val="auto"/>
        </w:rPr>
      </w:pPr>
      <w:r>
        <w:rPr>
          <w:rFonts w:ascii="Arial" w:cs="Arial" w:eastAsia="Arial" w:hAnsi="Arial"/>
          <w:sz w:val="16"/>
          <w:szCs w:val="16"/>
          <w:color w:val="auto"/>
        </w:rPr>
        <w:t>Magnus did not reach the minimum EBITDA threshold for 2015 designated in the secured promissory note; therefore, during 2015, the Company reduced the remaining fair value to zero. Under the terms of the acquisition, as amended, the maximum potential aggregate earnout (the “Earnout Payment”) is $11,400 and will be determined based on the attainment of an average Adjusted EBITDA target of Magnus, now referred to as Great Lakes E&amp;I, for the years ending December 31, 2017, December 31, 2018 and December 31, 2019. The Earnout Payment may be paid in cash or shares of the Company’s common stock, at the Company’s option. The Company remeasures the fair value of the contingent Earnout Payment based on projections of the earnings target for the business. Based on the Company’s current projections, Great Lakes E&amp;I is not expected to reach the minimum Adjusted EBITDA threshold designated in the amended share purchase agreement. Accordingly, during the third quarter of 2016, the Company reduced the remaining fair value of $8,940 to zero and the corresponding change was reflected in general and administrative expenses and interest expense.</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w:t>
      </w:r>
    </w:p>
    <w:p>
      <w:pPr>
        <w:spacing w:after="0" w:line="220" w:lineRule="exact"/>
        <w:rPr>
          <w:sz w:val="20"/>
          <w:szCs w:val="20"/>
          <w:color w:val="auto"/>
        </w:rPr>
      </w:pPr>
    </w:p>
    <w:p>
      <w:pPr>
        <w:ind w:right="340" w:firstLine="518"/>
        <w:spacing w:after="0" w:line="257" w:lineRule="auto"/>
        <w:rPr>
          <w:sz w:val="20"/>
          <w:szCs w:val="20"/>
          <w:color w:val="auto"/>
        </w:rPr>
      </w:pPr>
      <w:r>
        <w:rPr>
          <w:rFonts w:ascii="Arial" w:cs="Arial" w:eastAsia="Arial" w:hAnsi="Arial"/>
          <w:sz w:val="18"/>
          <w:szCs w:val="18"/>
          <w:color w:val="auto"/>
        </w:rPr>
        <w:t>During the fourth quarter of 2016, the Company sold assets associated with certain service lines of the environmental &amp; infrastructure segment’s business, excluding assets supporting the remediation service line. In connection with the sale, the Company recorded a $2,758 loss to (gain) loss on sale of assets—net for the year ended December 31, 2016.</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18. SEGMENT INFORMATION</w:t>
      </w:r>
    </w:p>
    <w:p>
      <w:pPr>
        <w:spacing w:after="0" w:line="119" w:lineRule="exact"/>
        <w:rPr>
          <w:sz w:val="20"/>
          <w:szCs w:val="20"/>
          <w:color w:val="auto"/>
        </w:rPr>
      </w:pPr>
    </w:p>
    <w:p>
      <w:pPr>
        <w:jc w:val="both"/>
        <w:ind w:right="100" w:firstLine="518"/>
        <w:spacing w:after="0" w:line="365" w:lineRule="auto"/>
        <w:rPr>
          <w:sz w:val="20"/>
          <w:szCs w:val="20"/>
          <w:color w:val="auto"/>
        </w:rPr>
      </w:pPr>
      <w:r>
        <w:rPr>
          <w:rFonts w:ascii="Arial" w:cs="Arial" w:eastAsia="Arial" w:hAnsi="Arial"/>
          <w:sz w:val="14"/>
          <w:szCs w:val="14"/>
          <w:color w:val="auto"/>
        </w:rPr>
        <w:t>The Company and its subsidiaries currently operate in two reportable segments: dredging and environmental &amp; infrastructure. The Company’s financial reporting systems present various data for management to run the business, including profit and loss statements prepared according to the segments presented. Management uses operating income to evaluate performance between the two segments. Segment information for 2017, 2016 and 2015, is provided as follows:</w:t>
      </w:r>
    </w:p>
    <w:p>
      <w:pPr>
        <w:spacing w:after="0" w:line="122" w:lineRule="exact"/>
        <w:rPr>
          <w:sz w:val="20"/>
          <w:szCs w:val="20"/>
          <w:color w:val="auto"/>
        </w:rPr>
      </w:pPr>
    </w:p>
    <w:tbl>
      <w:tblPr>
        <w:tblLayout w:type="fixed"/>
        <w:tblInd w:w="1160" w:type="dxa"/>
        <w:tblCellMar>
          <w:top w:w="0" w:type="dxa"/>
          <w:left w:w="0" w:type="dxa"/>
          <w:bottom w:w="0" w:type="dxa"/>
          <w:right w:w="0" w:type="dxa"/>
        </w:tblCellMar>
      </w:tblPr>
      <w:tr>
        <w:trPr>
          <w:trHeight w:val="169"/>
        </w:trPr>
        <w:tc>
          <w:tcPr>
            <w:tcW w:w="5380" w:type="dxa"/>
            <w:vAlign w:val="bottom"/>
            <w:vMerge w:val="restart"/>
          </w:tcPr>
          <w:p>
            <w:pPr>
              <w:spacing w:after="0"/>
              <w:rPr>
                <w:sz w:val="20"/>
                <w:szCs w:val="20"/>
                <w:color w:val="auto"/>
              </w:rPr>
            </w:pPr>
            <w:r>
              <w:rPr>
                <w:rFonts w:ascii="Arial" w:cs="Arial" w:eastAsia="Arial" w:hAnsi="Arial"/>
                <w:sz w:val="18"/>
                <w:szCs w:val="18"/>
                <w:color w:val="auto"/>
              </w:rPr>
              <w:t>Dredging:</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3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Contract revenues</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592,159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637,468</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681,255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80" w:type="dxa"/>
            <w:vAlign w:val="bottom"/>
          </w:tcPr>
          <w:p>
            <w:pPr>
              <w:ind w:left="240"/>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(13,353)</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34,108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64,073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55,962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54,826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50,556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8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878,458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912,880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872,297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Property and equipment—net</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396,925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399,479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397,468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80" w:type="dxa"/>
            <w:vAlign w:val="bottom"/>
          </w:tcPr>
          <w:p>
            <w:pPr>
              <w:ind w:left="2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76,576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76,576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76,576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Investment in joint ventures</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80" w:type="dxa"/>
            <w:vAlign w:val="bottom"/>
          </w:tcPr>
          <w:p>
            <w:pPr>
              <w:ind w:left="24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63,912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84,263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Environmental &amp; infrastructure:</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80" w:type="dxa"/>
            <w:vAlign w:val="bottom"/>
          </w:tcPr>
          <w:p>
            <w:pPr>
              <w:ind w:left="240"/>
              <w:spacing w:after="0"/>
              <w:rPr>
                <w:sz w:val="20"/>
                <w:szCs w:val="20"/>
                <w:color w:val="auto"/>
              </w:rPr>
            </w:pPr>
            <w:r>
              <w:rPr>
                <w:rFonts w:ascii="Arial" w:cs="Arial" w:eastAsia="Arial" w:hAnsi="Arial"/>
                <w:sz w:val="18"/>
                <w:szCs w:val="18"/>
                <w:color w:val="auto"/>
              </w:rPr>
              <w:t>Contract revenues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112,607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133,637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181,710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(10,172)</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(19,428)</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(41,114)</w:t>
            </w:r>
          </w:p>
        </w:tc>
        <w:tc>
          <w:tcPr>
            <w:tcW w:w="0" w:type="dxa"/>
            <w:vAlign w:val="bottom"/>
          </w:tcPr>
          <w:p>
            <w:pPr>
              <w:spacing w:after="0"/>
              <w:rPr>
                <w:sz w:val="1"/>
                <w:szCs w:val="1"/>
                <w:color w:val="auto"/>
              </w:rPr>
            </w:pPr>
          </w:p>
        </w:tc>
      </w:tr>
      <w:tr>
        <w:trPr>
          <w:trHeight w:val="226"/>
        </w:trPr>
        <w:tc>
          <w:tcPr>
            <w:tcW w:w="53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4,558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8,197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78,806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81,166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127,907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80" w:type="dxa"/>
            <w:vAlign w:val="bottom"/>
          </w:tcPr>
          <w:p>
            <w:pPr>
              <w:ind w:left="240"/>
              <w:spacing w:after="0"/>
              <w:rPr>
                <w:sz w:val="20"/>
                <w:szCs w:val="20"/>
                <w:color w:val="auto"/>
              </w:rPr>
            </w:pPr>
            <w:r>
              <w:rPr>
                <w:rFonts w:ascii="Arial" w:cs="Arial" w:eastAsia="Arial" w:hAnsi="Arial"/>
                <w:sz w:val="18"/>
                <w:szCs w:val="18"/>
                <w:color w:val="auto"/>
              </w:rPr>
              <w:t>Property and equipment—net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10,369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13,529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32,742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80" w:type="dxa"/>
            <w:vAlign w:val="bottom"/>
          </w:tcPr>
          <w:p>
            <w:pPr>
              <w:ind w:left="240"/>
              <w:spacing w:after="0"/>
              <w:rPr>
                <w:sz w:val="20"/>
                <w:szCs w:val="20"/>
                <w:color w:val="auto"/>
              </w:rPr>
            </w:pPr>
            <w:r>
              <w:rPr>
                <w:rFonts w:ascii="Arial" w:cs="Arial" w:eastAsia="Arial" w:hAnsi="Arial"/>
                <w:sz w:val="18"/>
                <w:szCs w:val="18"/>
                <w:color w:val="auto"/>
              </w:rPr>
              <w:t>Investment in joint ventures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2,714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4,353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80" w:type="dxa"/>
            <w:vAlign w:val="bottom"/>
          </w:tcPr>
          <w:p>
            <w:pPr>
              <w:spacing w:after="0"/>
              <w:rPr>
                <w:sz w:val="20"/>
                <w:szCs w:val="20"/>
                <w:color w:val="auto"/>
              </w:rPr>
            </w:pPr>
            <w:r>
              <w:rPr>
                <w:rFonts w:ascii="Arial" w:cs="Arial" w:eastAsia="Arial" w:hAnsi="Arial"/>
                <w:sz w:val="18"/>
                <w:szCs w:val="18"/>
                <w:color w:val="auto"/>
              </w:rPr>
              <w:t>Intersegment:</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Contract revenues</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(2,263)</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(3,520)</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(6,087)</w:t>
            </w:r>
          </w:p>
        </w:tc>
        <w:tc>
          <w:tcPr>
            <w:tcW w:w="0" w:type="dxa"/>
            <w:vAlign w:val="bottom"/>
          </w:tcPr>
          <w:p>
            <w:pPr>
              <w:spacing w:after="0"/>
              <w:rPr>
                <w:sz w:val="1"/>
                <w:szCs w:val="1"/>
                <w:color w:val="auto"/>
              </w:rPr>
            </w:pPr>
          </w:p>
        </w:tc>
      </w:tr>
      <w:tr>
        <w:trPr>
          <w:trHeight w:val="226"/>
        </w:trPr>
        <w:tc>
          <w:tcPr>
            <w:tcW w:w="538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(124,907)</w:t>
            </w: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(100,458)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(102,080)</w:t>
            </w:r>
          </w:p>
        </w:tc>
        <w:tc>
          <w:tcPr>
            <w:tcW w:w="0" w:type="dxa"/>
            <w:vAlign w:val="bottom"/>
          </w:tcPr>
          <w:p>
            <w:pPr>
              <w:spacing w:after="0"/>
              <w:rPr>
                <w:sz w:val="1"/>
                <w:szCs w:val="1"/>
                <w:color w:val="auto"/>
              </w:rPr>
            </w:pPr>
          </w:p>
        </w:tc>
      </w:tr>
      <w:tr>
        <w:trPr>
          <w:trHeight w:val="227"/>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80" w:type="dxa"/>
            <w:vAlign w:val="bottom"/>
          </w:tcPr>
          <w:p>
            <w:pPr>
              <w:ind w:left="240"/>
              <w:spacing w:after="0"/>
              <w:rPr>
                <w:sz w:val="20"/>
                <w:szCs w:val="20"/>
                <w:color w:val="auto"/>
              </w:rPr>
            </w:pPr>
            <w:r>
              <w:rPr>
                <w:rFonts w:ascii="Arial" w:cs="Arial" w:eastAsia="Arial" w:hAnsi="Arial"/>
                <w:sz w:val="18"/>
                <w:szCs w:val="18"/>
                <w:color w:val="auto"/>
              </w:rPr>
              <w:t>Contract revenues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702,503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767,585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856,878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(23,525)</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14,680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22,959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60,520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63,023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64,585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832,357</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893,588</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898,124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80" w:type="dxa"/>
            <w:vAlign w:val="bottom"/>
          </w:tcPr>
          <w:p>
            <w:pPr>
              <w:ind w:left="240"/>
              <w:spacing w:after="0"/>
              <w:rPr>
                <w:sz w:val="20"/>
                <w:szCs w:val="20"/>
                <w:color w:val="auto"/>
              </w:rPr>
            </w:pPr>
            <w:r>
              <w:rPr>
                <w:rFonts w:ascii="Arial" w:cs="Arial" w:eastAsia="Arial" w:hAnsi="Arial"/>
                <w:sz w:val="18"/>
                <w:szCs w:val="18"/>
                <w:color w:val="auto"/>
              </w:rPr>
              <w:t>Property and equipment—net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407,294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413,008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430,210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83,576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83,576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83,576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80" w:type="dxa"/>
            <w:vAlign w:val="bottom"/>
          </w:tcPr>
          <w:p>
            <w:pPr>
              <w:ind w:left="240"/>
              <w:spacing w:after="0"/>
              <w:rPr>
                <w:sz w:val="20"/>
                <w:szCs w:val="20"/>
                <w:color w:val="auto"/>
              </w:rPr>
            </w:pPr>
            <w:r>
              <w:rPr>
                <w:rFonts w:ascii="Arial" w:cs="Arial" w:eastAsia="Arial" w:hAnsi="Arial"/>
                <w:sz w:val="18"/>
                <w:szCs w:val="18"/>
                <w:color w:val="auto"/>
              </w:rPr>
              <w:t>Investment in joint ventures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2,714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4,734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66,068</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85,212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89,279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classifies the revenue related to its dredging projects into the following types of work:</w:t>
      </w:r>
    </w:p>
    <w:p>
      <w:pPr>
        <w:spacing w:after="0" w:line="289" w:lineRule="exact"/>
        <w:rPr>
          <w:sz w:val="20"/>
          <w:szCs w:val="20"/>
          <w:color w:val="auto"/>
        </w:rPr>
      </w:pPr>
    </w:p>
    <w:tbl>
      <w:tblPr>
        <w:tblLayout w:type="fixed"/>
        <w:tblInd w:w="1160" w:type="dxa"/>
        <w:tblCellMar>
          <w:top w:w="0" w:type="dxa"/>
          <w:left w:w="0" w:type="dxa"/>
          <w:bottom w:w="0" w:type="dxa"/>
          <w:right w:w="0" w:type="dxa"/>
        </w:tblCellMar>
      </w:tblPr>
      <w:tr>
        <w:trPr>
          <w:trHeight w:val="169"/>
        </w:trPr>
        <w:tc>
          <w:tcPr>
            <w:tcW w:w="53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r>
      <w:tr>
        <w:trPr>
          <w:trHeight w:val="22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Capital dredging — U.S.</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185,113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219,914</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207,058</w:t>
            </w:r>
          </w:p>
        </w:tc>
        <w:tc>
          <w:tcPr>
            <w:tcW w:w="80" w:type="dxa"/>
            <w:vAlign w:val="bottom"/>
            <w:shd w:val="clear" w:color="auto" w:fill="CFF0FC"/>
          </w:tcPr>
          <w:p>
            <w:pPr>
              <w:spacing w:after="0"/>
              <w:rPr>
                <w:sz w:val="19"/>
                <w:szCs w:val="19"/>
                <w:color w:val="auto"/>
              </w:rPr>
            </w:pPr>
          </w:p>
        </w:tc>
      </w:tr>
      <w:tr>
        <w:trPr>
          <w:trHeight w:val="226"/>
        </w:trPr>
        <w:tc>
          <w:tcPr>
            <w:tcW w:w="5380" w:type="dxa"/>
            <w:vAlign w:val="bottom"/>
          </w:tcPr>
          <w:p>
            <w:pPr>
              <w:spacing w:after="0"/>
              <w:rPr>
                <w:sz w:val="20"/>
                <w:szCs w:val="20"/>
                <w:color w:val="auto"/>
              </w:rPr>
            </w:pPr>
            <w:r>
              <w:rPr>
                <w:rFonts w:ascii="Arial" w:cs="Arial" w:eastAsia="Arial" w:hAnsi="Arial"/>
                <w:sz w:val="18"/>
                <w:szCs w:val="18"/>
                <w:color w:val="auto"/>
              </w:rPr>
              <w:t>Capital dredging — foreign</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42,306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59,413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139,945</w:t>
            </w:r>
          </w:p>
        </w:tc>
        <w:tc>
          <w:tcPr>
            <w:tcW w:w="80" w:type="dxa"/>
            <w:vAlign w:val="bottom"/>
          </w:tcPr>
          <w:p>
            <w:pPr>
              <w:spacing w:after="0"/>
              <w:rPr>
                <w:sz w:val="19"/>
                <w:szCs w:val="19"/>
                <w:color w:val="auto"/>
              </w:rPr>
            </w:pPr>
          </w:p>
        </w:tc>
      </w:tr>
      <w:tr>
        <w:trPr>
          <w:trHeight w:val="227"/>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Coastal protection dredging</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191,070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215,041</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184,060</w:t>
            </w:r>
          </w:p>
        </w:tc>
        <w:tc>
          <w:tcPr>
            <w:tcW w:w="80" w:type="dxa"/>
            <w:vAlign w:val="bottom"/>
            <w:shd w:val="clear" w:color="auto" w:fill="CFF0FC"/>
          </w:tcPr>
          <w:p>
            <w:pPr>
              <w:spacing w:after="0"/>
              <w:rPr>
                <w:sz w:val="19"/>
                <w:szCs w:val="19"/>
                <w:color w:val="auto"/>
              </w:rPr>
            </w:pPr>
          </w:p>
        </w:tc>
      </w:tr>
      <w:tr>
        <w:trPr>
          <w:trHeight w:val="226"/>
        </w:trPr>
        <w:tc>
          <w:tcPr>
            <w:tcW w:w="5380" w:type="dxa"/>
            <w:vAlign w:val="bottom"/>
          </w:tcPr>
          <w:p>
            <w:pPr>
              <w:spacing w:after="0"/>
              <w:rPr>
                <w:sz w:val="20"/>
                <w:szCs w:val="20"/>
                <w:color w:val="auto"/>
              </w:rPr>
            </w:pPr>
            <w:r>
              <w:rPr>
                <w:rFonts w:ascii="Arial" w:cs="Arial" w:eastAsia="Arial" w:hAnsi="Arial"/>
                <w:sz w:val="18"/>
                <w:szCs w:val="18"/>
                <w:color w:val="auto"/>
              </w:rPr>
              <w:t>Maintenance dredging</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134,923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92,274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120,055</w:t>
            </w:r>
          </w:p>
        </w:tc>
        <w:tc>
          <w:tcPr>
            <w:tcW w:w="80" w:type="dxa"/>
            <w:vAlign w:val="bottom"/>
          </w:tcPr>
          <w:p>
            <w:pPr>
              <w:spacing w:after="0"/>
              <w:rPr>
                <w:sz w:val="19"/>
                <w:szCs w:val="19"/>
                <w:color w:val="auto"/>
              </w:rPr>
            </w:pPr>
          </w:p>
        </w:tc>
      </w:tr>
      <w:tr>
        <w:trPr>
          <w:trHeight w:val="227"/>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Rivers &amp; lakes</w:t>
            </w: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38,747</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50,826</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30,137</w:t>
            </w:r>
          </w:p>
        </w:tc>
        <w:tc>
          <w:tcPr>
            <w:tcW w:w="80" w:type="dxa"/>
            <w:vAlign w:val="bottom"/>
            <w:shd w:val="clear" w:color="auto" w:fill="CFF0FC"/>
          </w:tcPr>
          <w:p>
            <w:pPr>
              <w:spacing w:after="0"/>
              <w:rPr>
                <w:sz w:val="19"/>
                <w:szCs w:val="19"/>
                <w:color w:val="auto"/>
              </w:rPr>
            </w:pPr>
          </w:p>
        </w:tc>
      </w:tr>
      <w:tr>
        <w:trPr>
          <w:trHeight w:val="219"/>
        </w:trPr>
        <w:tc>
          <w:tcPr>
            <w:tcW w:w="5380" w:type="dxa"/>
            <w:vAlign w:val="bottom"/>
          </w:tcPr>
          <w:p>
            <w:pPr>
              <w:spacing w:after="0"/>
              <w:rPr>
                <w:sz w:val="20"/>
                <w:szCs w:val="20"/>
                <w:color w:val="auto"/>
              </w:rPr>
            </w:pPr>
            <w:r>
              <w:rPr>
                <w:rFonts w:ascii="Arial" w:cs="Arial" w:eastAsia="Arial" w:hAnsi="Arial"/>
                <w:sz w:val="18"/>
                <w:szCs w:val="18"/>
                <w:color w:val="auto"/>
              </w:rPr>
              <w:t>Total dredging</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592,159</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637,468</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681,255</w:t>
            </w:r>
          </w:p>
        </w:tc>
        <w:tc>
          <w:tcPr>
            <w:tcW w:w="8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derived revenues and gross profit from foreign project operations for the years ended December 31, 2017, 2016, and 2015,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60" w:type="dxa"/>
            <w:vAlign w:val="bottom"/>
          </w:tcPr>
          <w:p>
            <w:pPr>
              <w:spacing w:after="0"/>
              <w:rPr>
                <w:sz w:val="14"/>
                <w:szCs w:val="14"/>
                <w:color w:val="auto"/>
              </w:rPr>
            </w:pPr>
          </w:p>
        </w:tc>
        <w:tc>
          <w:tcPr>
            <w:tcW w:w="3160" w:type="dxa"/>
            <w:vAlign w:val="bottom"/>
            <w:tcBorders>
              <w:bottom w:val="single" w:sz="8" w:color="CFF0FC"/>
            </w:tcBorders>
          </w:tcPr>
          <w:p>
            <w:pPr>
              <w:spacing w:after="0"/>
              <w:rPr>
                <w:sz w:val="14"/>
                <w:szCs w:val="14"/>
                <w:color w:val="auto"/>
              </w:rPr>
            </w:pPr>
          </w:p>
        </w:tc>
        <w:tc>
          <w:tcPr>
            <w:tcW w:w="22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revenues</w:t>
            </w:r>
          </w:p>
        </w:tc>
        <w:tc>
          <w:tcPr>
            <w:tcW w:w="246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42,306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59,413</w:t>
            </w:r>
          </w:p>
        </w:tc>
        <w:tc>
          <w:tcPr>
            <w:tcW w:w="20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139,945</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20" w:type="dxa"/>
            <w:vAlign w:val="bottom"/>
            <w:gridSpan w:val="2"/>
          </w:tcPr>
          <w:p>
            <w:pPr>
              <w:ind w:left="1160"/>
              <w:spacing w:after="0"/>
              <w:rPr>
                <w:sz w:val="20"/>
                <w:szCs w:val="20"/>
                <w:color w:val="auto"/>
              </w:rPr>
            </w:pPr>
            <w:r>
              <w:rPr>
                <w:rFonts w:ascii="Arial" w:cs="Arial" w:eastAsia="Arial" w:hAnsi="Arial"/>
                <w:sz w:val="18"/>
                <w:szCs w:val="18"/>
                <w:color w:val="auto"/>
              </w:rPr>
              <w:t>Costs of contract revenues</w:t>
            </w:r>
          </w:p>
        </w:tc>
        <w:tc>
          <w:tcPr>
            <w:tcW w:w="2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(73,958)</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(66,729)</w:t>
            </w: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(105,951)</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1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profit</w:t>
            </w:r>
          </w:p>
        </w:tc>
        <w:tc>
          <w:tcPr>
            <w:tcW w:w="2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160" w:type="dxa"/>
            <w:vAlign w:val="bottom"/>
          </w:tcPr>
          <w:p>
            <w:pPr>
              <w:spacing w:after="0"/>
              <w:rPr>
                <w:sz w:val="19"/>
                <w:szCs w:val="19"/>
                <w:color w:val="auto"/>
              </w:rPr>
            </w:pPr>
          </w:p>
        </w:tc>
        <w:tc>
          <w:tcPr>
            <w:tcW w:w="3160" w:type="dxa"/>
            <w:vAlign w:val="bottom"/>
            <w:vMerge w:val="continue"/>
            <w:shd w:val="clear" w:color="auto" w:fill="CFF0FC"/>
          </w:tcPr>
          <w:p>
            <w:pPr>
              <w:spacing w:after="0"/>
              <w:rPr>
                <w:sz w:val="19"/>
                <w:szCs w:val="19"/>
                <w:color w:val="auto"/>
              </w:rPr>
            </w:pPr>
          </w:p>
        </w:tc>
        <w:tc>
          <w:tcPr>
            <w:tcW w:w="2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(31,652)</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0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(7,316)</w:t>
            </w: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33,994</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160" w:type="dxa"/>
            <w:vAlign w:val="bottom"/>
            <w:tcBorders>
              <w:top w:val="single" w:sz="8" w:color="CFF0FC"/>
            </w:tcBorders>
          </w:tcPr>
          <w:p>
            <w:pPr>
              <w:spacing w:after="0" w:line="20" w:lineRule="exact"/>
              <w:rPr>
                <w:sz w:val="1"/>
                <w:szCs w:val="1"/>
                <w:color w:val="auto"/>
              </w:rPr>
            </w:pPr>
          </w:p>
        </w:tc>
        <w:tc>
          <w:tcPr>
            <w:tcW w:w="2220" w:type="dxa"/>
            <w:vAlign w:val="bottom"/>
            <w:tcBorders>
              <w:top w:val="single" w:sz="8" w:color="CFF0FC"/>
              <w:bottom w:val="single" w:sz="8" w:color="CFF0FC"/>
            </w:tcBorders>
            <w:vMerge w:val="restart"/>
          </w:tcPr>
          <w:p>
            <w:pPr>
              <w:jc w:val="right"/>
              <w:ind w:right="651"/>
              <w:spacing w:after="0"/>
              <w:rPr>
                <w:sz w:val="20"/>
                <w:szCs w:val="20"/>
                <w:color w:val="auto"/>
              </w:rPr>
            </w:pPr>
            <w:r>
              <w:rPr>
                <w:rFonts w:ascii="Arial" w:cs="Arial" w:eastAsia="Arial" w:hAnsi="Arial"/>
                <w:sz w:val="18"/>
                <w:szCs w:val="18"/>
                <w:color w:val="auto"/>
              </w:rPr>
              <w:t>87</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11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c>
          <w:tcPr>
            <w:tcW w:w="22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9" w:name="page90"/>
    <w:bookmarkEnd w:id="89"/>
    <w:p>
      <w:pPr>
        <w:ind w:right="280" w:firstLine="518"/>
        <w:spacing w:after="0" w:line="254" w:lineRule="auto"/>
        <w:rPr>
          <w:sz w:val="20"/>
          <w:szCs w:val="20"/>
          <w:color w:val="auto"/>
        </w:rPr>
      </w:pPr>
      <w:r>
        <w:rPr>
          <w:rFonts w:ascii="Arial" w:cs="Arial" w:eastAsia="Arial" w:hAnsi="Arial"/>
          <w:sz w:val="18"/>
          <w:szCs w:val="18"/>
          <w:color w:val="auto"/>
        </w:rPr>
        <w:t>In 2017, 2016 and 2015, foreign revenues were primarily from work done in the Middle East. The majority of the Company’s long-lived assets are marine vessels and related equipment. At any point in time, the Company may employ certain assets outside of the U.S., as needed, to perform work on the Company’s foreign projects. As of December 31, 2017 and 2016, long-lived assets with a net book value of $47,563 and $63,729, respectively, were located outside of the U.S.</w:t>
      </w:r>
    </w:p>
    <w:p>
      <w:pPr>
        <w:spacing w:after="0" w:line="191" w:lineRule="exact"/>
        <w:rPr>
          <w:sz w:val="20"/>
          <w:szCs w:val="20"/>
          <w:color w:val="auto"/>
        </w:rPr>
      </w:pPr>
    </w:p>
    <w:p>
      <w:pPr>
        <w:ind w:firstLine="518"/>
        <w:spacing w:after="0" w:line="250" w:lineRule="auto"/>
        <w:rPr>
          <w:sz w:val="20"/>
          <w:szCs w:val="20"/>
          <w:color w:val="auto"/>
        </w:rPr>
      </w:pPr>
      <w:r>
        <w:rPr>
          <w:rFonts w:ascii="Arial" w:cs="Arial" w:eastAsia="Arial" w:hAnsi="Arial"/>
          <w:sz w:val="18"/>
          <w:szCs w:val="18"/>
          <w:color w:val="auto"/>
        </w:rPr>
        <w:t>The Company’s primary customer is the U.S. Army Corps of Engineers (the “Corps”), which has responsibility for federally funded projects related to waterway navigation and flood control. In 2017, 2016 and 2015, 53.6%, 53.4% and 51.0%, respectively, of contract revenues were earned from contracts with federal government agencies, including the Corps, as well as other federal entities such as the U.S. Coast Guard and U.S. Navy. At December 31, 2017 and 2016, approximately 34.7% and 39.9%, respectively, of accounts receivable, including contract revenues in excess of billings and retainage, were due on contracts with federal government agencies. The Company depends on its ability to continue to obtain federal government contracts, and indirectly, on the amount of federal funding for new and current government dredging projects. Therefore, the Company’s operations can be influenced by the level and timing of federal funding.</w:t>
      </w:r>
    </w:p>
    <w:p>
      <w:pPr>
        <w:spacing w:after="0" w:line="198" w:lineRule="exact"/>
        <w:rPr>
          <w:sz w:val="20"/>
          <w:szCs w:val="20"/>
          <w:color w:val="auto"/>
        </w:rPr>
      </w:pPr>
    </w:p>
    <w:p>
      <w:pPr>
        <w:ind w:right="80" w:firstLine="518"/>
        <w:spacing w:after="0" w:line="251" w:lineRule="auto"/>
        <w:rPr>
          <w:sz w:val="20"/>
          <w:szCs w:val="20"/>
          <w:color w:val="auto"/>
        </w:rPr>
      </w:pPr>
      <w:r>
        <w:rPr>
          <w:rFonts w:ascii="Arial" w:cs="Arial" w:eastAsia="Arial" w:hAnsi="Arial"/>
          <w:sz w:val="18"/>
          <w:szCs w:val="18"/>
          <w:color w:val="auto"/>
        </w:rPr>
        <w:t>The Company recognized an overall loss on a remediation project of $5,934 which if applied to the initial year of the contract would have decreased gross profit by nearly the entire amount of the loss in the year ended December 31, 2016. The Company recognized an overall loss on a remediation project of $7,260 which if applied to the initial year of the contract would have decreased gross profit by nearly the entire amount of the loss in the year ended December 31, 2015. The Company recognized a loss on a landfill project of $7,446 on which the change in estimate to the gross profit percentage in the year resulted in a cumulative net impact on the project margin, which decreased gross profit by extensively the entire amount of the loss in the year ended December 31, 2015. The project was completed in 2016.</w:t>
      </w:r>
    </w:p>
    <w:p>
      <w:pPr>
        <w:spacing w:after="0" w:line="195" w:lineRule="exact"/>
        <w:rPr>
          <w:sz w:val="20"/>
          <w:szCs w:val="20"/>
          <w:color w:val="auto"/>
        </w:rPr>
      </w:pPr>
    </w:p>
    <w:p>
      <w:pPr>
        <w:ind w:firstLine="518"/>
        <w:spacing w:after="0" w:line="252" w:lineRule="auto"/>
        <w:rPr>
          <w:sz w:val="20"/>
          <w:szCs w:val="20"/>
          <w:color w:val="auto"/>
        </w:rPr>
      </w:pPr>
      <w:r>
        <w:rPr>
          <w:rFonts w:ascii="Arial" w:cs="Arial" w:eastAsia="Arial" w:hAnsi="Arial"/>
          <w:sz w:val="18"/>
          <w:szCs w:val="18"/>
          <w:color w:val="auto"/>
        </w:rPr>
        <w:t>Revenue from foreign projects has been concentrated in the Middle East which comprised less than 10% in 2017 and 2016 and 14.7% of total revenue in 2015. At December 31, 2017 and 2016, less than 10% and approximately 13.0%, respectively, of total accounts receivable, including retainage and contract revenues in excess of billings, were due on contracts in the Middle East. There is a dependence on future projects in the Middle East, as vessels are currently located there. However, some of the vessels located in Middle East can be moved back to the U.S. or all can be moved to other international markets as opportunities arise.</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SUBSIDIARY GUARANTORS</w:t>
      </w:r>
    </w:p>
    <w:p>
      <w:pPr>
        <w:spacing w:after="0" w:line="119" w:lineRule="exact"/>
        <w:rPr>
          <w:sz w:val="20"/>
          <w:szCs w:val="20"/>
          <w:color w:val="auto"/>
        </w:rPr>
      </w:pPr>
    </w:p>
    <w:p>
      <w:pPr>
        <w:jc w:val="both"/>
        <w:ind w:right="140" w:firstLine="518"/>
        <w:spacing w:after="0" w:line="257" w:lineRule="auto"/>
        <w:rPr>
          <w:sz w:val="20"/>
          <w:szCs w:val="20"/>
          <w:color w:val="auto"/>
        </w:rPr>
      </w:pPr>
      <w:r>
        <w:rPr>
          <w:rFonts w:ascii="Arial" w:cs="Arial" w:eastAsia="Arial" w:hAnsi="Arial"/>
          <w:sz w:val="18"/>
          <w:szCs w:val="18"/>
          <w:color w:val="auto"/>
        </w:rPr>
        <w:t>The Company’s long-term debt at December 31, 2017 includes $325,000 of 8.000% senior notes due May 15, 2022. The Company’s obligations under these senior unsecured notes are guaranteed by certain of the Company’s 100% owned domestic subsidiaries. Such guarantees are full, unconditional and joint and several.</w:t>
      </w:r>
    </w:p>
    <w:p>
      <w:pPr>
        <w:spacing w:after="0" w:line="188"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In connection with the 8% Senior Notes issued in May 2017, certain of the Company’s 100% owned domestic subsidiaries were released as subsidiary guarantors of the debt. Accordingly, the 2016 and 2015 financial information included below has been recast to reflect the release of these entities as subsidiary guarantors.</w:t>
      </w:r>
    </w:p>
    <w:p>
      <w:pPr>
        <w:spacing w:after="0" w:line="188" w:lineRule="exact"/>
        <w:rPr>
          <w:sz w:val="20"/>
          <w:szCs w:val="20"/>
          <w:color w:val="auto"/>
        </w:rPr>
      </w:pPr>
    </w:p>
    <w:p>
      <w:pPr>
        <w:ind w:right="540" w:firstLine="518"/>
        <w:spacing w:after="0" w:line="331" w:lineRule="auto"/>
        <w:rPr>
          <w:sz w:val="20"/>
          <w:szCs w:val="20"/>
          <w:color w:val="auto"/>
        </w:rPr>
      </w:pPr>
      <w:r>
        <w:rPr>
          <w:rFonts w:ascii="Arial" w:cs="Arial" w:eastAsia="Arial" w:hAnsi="Arial"/>
          <w:sz w:val="16"/>
          <w:szCs w:val="16"/>
          <w:color w:val="auto"/>
        </w:rPr>
        <w:t>The following supplemental financial information sets forth for the Company’s subsidiary guarantors (on a combined basis), the Company’s non-guarantor subsidiaries (on a combined basis) and Great Lakes Dredge &amp; Dock Corporation, exclusive of its subsidiaries (“GLDD Corporation”):</w:t>
      </w:r>
    </w:p>
    <w:p>
      <w:pPr>
        <w:spacing w:after="0" w:line="26" w:lineRule="exact"/>
        <w:rPr>
          <w:sz w:val="20"/>
          <w:szCs w:val="20"/>
          <w:color w:val="auto"/>
        </w:rPr>
      </w:pPr>
    </w:p>
    <w:p>
      <w:pPr>
        <w:ind w:left="1020" w:hanging="507"/>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balance sheets as of December 31, 2017 and 2016;</w:t>
      </w:r>
    </w:p>
    <w:p>
      <w:pPr>
        <w:spacing w:after="0" w:line="139" w:lineRule="exact"/>
        <w:rPr>
          <w:rFonts w:ascii="Arial" w:cs="Arial" w:eastAsia="Arial" w:hAnsi="Arial"/>
          <w:sz w:val="18"/>
          <w:szCs w:val="18"/>
          <w:color w:val="auto"/>
        </w:rPr>
      </w:pPr>
    </w:p>
    <w:p>
      <w:pPr>
        <w:ind w:left="1020" w:hanging="507"/>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statements of operations and comprehensive income (loss) for the years ended December 31, 2017, 2016 and 2015; and</w:t>
      </w:r>
    </w:p>
    <w:p>
      <w:pPr>
        <w:spacing w:after="0" w:line="139" w:lineRule="exact"/>
        <w:rPr>
          <w:rFonts w:ascii="Arial" w:cs="Arial" w:eastAsia="Arial" w:hAnsi="Arial"/>
          <w:sz w:val="18"/>
          <w:szCs w:val="18"/>
          <w:color w:val="auto"/>
        </w:rPr>
      </w:pPr>
    </w:p>
    <w:p>
      <w:pPr>
        <w:ind w:left="1020" w:hanging="507"/>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statements of cash flows for the years ended December 31, 2017, 2016 and 2015.</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67" w:right="259" w:bottom="1440" w:gutter="0" w:footer="0" w:header="0"/>
        </w:sectPr>
      </w:pPr>
    </w:p>
    <w:bookmarkStart w:id="90" w:name="page91"/>
    <w:bookmarkEnd w:id="90"/>
    <w:p>
      <w:pPr>
        <w:jc w:val="center"/>
        <w:ind w:right="20"/>
        <w:spacing w:after="0"/>
        <w:rPr>
          <w:sz w:val="20"/>
          <w:szCs w:val="20"/>
          <w:color w:val="auto"/>
        </w:rPr>
      </w:pPr>
      <w:r>
        <w:rPr>
          <w:rFonts w:ascii="Arial" w:cs="Arial" w:eastAsia="Arial" w:hAnsi="Arial"/>
          <w:sz w:val="14"/>
          <w:szCs w:val="14"/>
          <w:b w:val="1"/>
          <w:bCs w:val="1"/>
          <w:color w:val="auto"/>
        </w:rPr>
        <w:t>GREAT LAKES DREDGE &amp; DOCK CORPORATION AND SUBSIDIARIES</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CONDENSED CONSOLIDATING BALANCE SHEET</w:t>
      </w:r>
    </w:p>
    <w:p>
      <w:pPr>
        <w:jc w:val="center"/>
        <w:ind w:right="20"/>
        <w:spacing w:after="0"/>
        <w:rPr>
          <w:sz w:val="20"/>
          <w:szCs w:val="20"/>
          <w:color w:val="auto"/>
        </w:rPr>
      </w:pPr>
      <w:r>
        <w:rPr>
          <w:rFonts w:ascii="Arial" w:cs="Arial" w:eastAsia="Arial" w:hAnsi="Arial"/>
          <w:sz w:val="14"/>
          <w:szCs w:val="14"/>
          <w:b w:val="1"/>
          <w:bCs w:val="1"/>
          <w:color w:val="auto"/>
        </w:rPr>
        <w:t>AS OF DECEMBER 31, 2017</w:t>
      </w:r>
    </w:p>
    <w:p>
      <w:pPr>
        <w:jc w:val="center"/>
        <w:ind w:right="20"/>
        <w:spacing w:after="0"/>
        <w:rPr>
          <w:sz w:val="20"/>
          <w:szCs w:val="20"/>
          <w:color w:val="auto"/>
        </w:rPr>
      </w:pPr>
      <w:r>
        <w:rPr>
          <w:rFonts w:ascii="Arial" w:cs="Arial" w:eastAsia="Arial" w:hAnsi="Arial"/>
          <w:sz w:val="14"/>
          <w:szCs w:val="14"/>
          <w:b w:val="1"/>
          <w:bCs w:val="1"/>
          <w:color w:val="auto"/>
        </w:rPr>
        <w:t>(In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4"/>
                <w:szCs w:val="14"/>
                <w:color w:val="auto"/>
              </w:rPr>
            </w:pPr>
          </w:p>
        </w:tc>
        <w:tc>
          <w:tcPr>
            <w:tcW w:w="1000" w:type="dxa"/>
            <w:vAlign w:val="bottom"/>
          </w:tcPr>
          <w:p>
            <w:pPr>
              <w:jc w:val="right"/>
              <w:ind w:right="172"/>
              <w:spacing w:after="0"/>
              <w:rPr>
                <w:sz w:val="20"/>
                <w:szCs w:val="20"/>
                <w:color w:val="auto"/>
              </w:rPr>
            </w:pPr>
            <w:r>
              <w:rPr>
                <w:rFonts w:ascii="Arial" w:cs="Arial" w:eastAsia="Arial" w:hAnsi="Arial"/>
                <w:sz w:val="14"/>
                <w:szCs w:val="14"/>
                <w:b w:val="1"/>
                <w:bCs w:val="1"/>
                <w:color w:val="auto"/>
              </w:rPr>
              <w:t>Subsidiary</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Non-Guarantor</w:t>
            </w: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6"/>
              </w:rPr>
              <w:t>GLDD Corporation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8"/>
              </w:rPr>
              <w:t>Eliminations</w:t>
            </w:r>
          </w:p>
        </w:tc>
        <w:tc>
          <w:tcPr>
            <w:tcW w:w="80" w:type="dxa"/>
            <w:vAlign w:val="bottom"/>
          </w:tcPr>
          <w:p>
            <w:pPr>
              <w:spacing w:after="0"/>
              <w:rPr>
                <w:sz w:val="14"/>
                <w:szCs w:val="14"/>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7"/>
              </w:rPr>
              <w:t>Consolidated Totals</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132"/>
              <w:spacing w:after="0"/>
              <w:rPr>
                <w:sz w:val="20"/>
                <w:szCs w:val="20"/>
                <w:color w:val="auto"/>
              </w:rPr>
            </w:pPr>
            <w:r>
              <w:rPr>
                <w:rFonts w:ascii="Arial" w:cs="Arial" w:eastAsia="Arial" w:hAnsi="Arial"/>
                <w:sz w:val="14"/>
                <w:szCs w:val="14"/>
                <w:b w:val="1"/>
                <w:bCs w:val="1"/>
                <w:color w:val="auto"/>
              </w:rPr>
              <w:t>Guarantors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Subsidiaries</w:t>
            </w:r>
          </w:p>
        </w:tc>
        <w:tc>
          <w:tcPr>
            <w:tcW w:w="12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right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15,794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15,852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 — net</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75,431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Borders>
              <w:right w:val="single" w:sz="8" w:color="CFF0FC"/>
            </w:tcBorders>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75,533</w:t>
            </w:r>
          </w:p>
        </w:tc>
        <w:tc>
          <w:tcPr>
            <w:tcW w:w="100" w:type="dxa"/>
            <w:vAlign w:val="bottom"/>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Contract revenues in excess of billings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90,788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90,788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34,600</w:t>
            </w:r>
          </w:p>
        </w:tc>
        <w:tc>
          <w:tcPr>
            <w:tcW w:w="100" w:type="dxa"/>
            <w:vAlign w:val="bottom"/>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5,183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38,731</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1,497</w:t>
            </w:r>
          </w:p>
        </w:tc>
        <w:tc>
          <w:tcPr>
            <w:tcW w:w="200" w:type="dxa"/>
            <w:vAlign w:val="bottom"/>
            <w:tcBorders>
              <w:right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40,228</w:t>
            </w:r>
          </w:p>
        </w:tc>
        <w:tc>
          <w:tcPr>
            <w:tcW w:w="100" w:type="dxa"/>
            <w:vAlign w:val="bottom"/>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30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260,527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1,637</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262,184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20" w:type="dxa"/>
            <w:vAlign w:val="bottom"/>
            <w:gridSpan w:val="2"/>
          </w:tcPr>
          <w:p>
            <w:pPr>
              <w:spacing w:after="0"/>
              <w:rPr>
                <w:sz w:val="20"/>
                <w:szCs w:val="20"/>
                <w:color w:val="auto"/>
              </w:rPr>
            </w:pPr>
            <w:r>
              <w:rPr>
                <w:rFonts w:ascii="Arial" w:cs="Arial" w:eastAsia="Arial" w:hAnsi="Arial"/>
                <w:sz w:val="18"/>
                <w:szCs w:val="18"/>
                <w:color w:val="auto"/>
              </w:rPr>
              <w:t>PROPERTY AND EQUIPMENT—Net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407,293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407,294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83,576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83,576</w:t>
            </w:r>
          </w:p>
        </w:tc>
        <w:tc>
          <w:tcPr>
            <w:tcW w:w="100" w:type="dxa"/>
            <w:vAlign w:val="bottom"/>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20" w:type="dxa"/>
            <w:vAlign w:val="bottom"/>
            <w:gridSpan w:val="2"/>
          </w:tcPr>
          <w:p>
            <w:pPr>
              <w:spacing w:after="0"/>
              <w:rPr>
                <w:sz w:val="20"/>
                <w:szCs w:val="20"/>
                <w:color w:val="auto"/>
              </w:rPr>
            </w:pPr>
            <w:r>
              <w:rPr>
                <w:rFonts w:ascii="Arial" w:cs="Arial" w:eastAsia="Arial" w:hAnsi="Arial"/>
                <w:sz w:val="18"/>
                <w:szCs w:val="18"/>
                <w:color w:val="auto"/>
              </w:rPr>
              <w:t>OTHER INTANGIBLE ASSETS—Net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337</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INVENTORIES — Noncurrent</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54,023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54,023</w:t>
            </w:r>
          </w:p>
        </w:tc>
        <w:tc>
          <w:tcPr>
            <w:tcW w:w="100" w:type="dxa"/>
            <w:vAlign w:val="bottom"/>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20" w:type="dxa"/>
            <w:vAlign w:val="bottom"/>
            <w:gridSpan w:val="2"/>
          </w:tcPr>
          <w:p>
            <w:pPr>
              <w:spacing w:after="0"/>
              <w:rPr>
                <w:sz w:val="20"/>
                <w:szCs w:val="20"/>
                <w:color w:val="auto"/>
              </w:rPr>
            </w:pPr>
            <w:r>
              <w:rPr>
                <w:rFonts w:ascii="Arial" w:cs="Arial" w:eastAsia="Arial" w:hAnsi="Arial"/>
                <w:sz w:val="18"/>
                <w:szCs w:val="18"/>
                <w:color w:val="auto"/>
              </w:rPr>
              <w:t>INVESTMENTS IN JOINT VENTURES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2,555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ASSETS HELD FOR SALE— Noncurrent</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8,530</w:t>
            </w:r>
          </w:p>
        </w:tc>
        <w:tc>
          <w:tcPr>
            <w:tcW w:w="100" w:type="dxa"/>
            <w:vAlign w:val="bottom"/>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20" w:type="dxa"/>
            <w:vAlign w:val="bottom"/>
            <w:gridSpan w:val="2"/>
          </w:tcPr>
          <w:p>
            <w:pPr>
              <w:spacing w:after="0"/>
              <w:rPr>
                <w:sz w:val="20"/>
                <w:szCs w:val="20"/>
                <w:color w:val="auto"/>
              </w:rPr>
            </w:pPr>
            <w:r>
              <w:rPr>
                <w:rFonts w:ascii="Arial" w:cs="Arial" w:eastAsia="Arial" w:hAnsi="Arial"/>
                <w:sz w:val="18"/>
                <w:szCs w:val="18"/>
                <w:color w:val="auto"/>
              </w:rPr>
              <w:t>RECEIVABLES FROM AFFILIATES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45,375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6,754</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170,323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(222,452)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INVESTMENTS IN SUBSIDIARIES</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511,435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(511,435)</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7,971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5,156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430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870,421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8,889</w:t>
            </w:r>
          </w:p>
        </w:tc>
        <w:tc>
          <w:tcPr>
            <w:tcW w:w="200" w:type="dxa"/>
            <w:vAlign w:val="bottom"/>
            <w:tcBorders>
              <w:right w:val="single" w:sz="8" w:color="CFF0FC"/>
            </w:tcBorders>
            <w:shd w:val="clear" w:color="auto" w:fill="CFF0FC"/>
          </w:tcPr>
          <w:p>
            <w:pPr>
              <w:spacing w:after="0"/>
              <w:rPr>
                <w:sz w:val="19"/>
                <w:szCs w:val="19"/>
                <w:color w:val="auto"/>
              </w:rPr>
            </w:pPr>
          </w:p>
        </w:tc>
        <w:tc>
          <w:tcPr>
            <w:tcW w:w="3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686,934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(733,887)</w:t>
            </w:r>
          </w:p>
        </w:tc>
        <w:tc>
          <w:tcPr>
            <w:tcW w:w="4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832,357</w:t>
            </w:r>
          </w:p>
        </w:tc>
        <w:tc>
          <w:tcPr>
            <w:tcW w:w="100" w:type="dxa"/>
            <w:vAlign w:val="bottom"/>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87,379</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200" w:type="dxa"/>
            <w:vAlign w:val="bottom"/>
            <w:tcBorders>
              <w:right w:val="single" w:sz="8" w:color="CFF0FC"/>
            </w:tcBorders>
            <w:shd w:val="clear" w:color="auto" w:fill="CFF0FC"/>
          </w:tcPr>
          <w:p>
            <w:pPr>
              <w:spacing w:after="0"/>
              <w:rPr>
                <w:sz w:val="19"/>
                <w:szCs w:val="19"/>
                <w:color w:val="auto"/>
              </w:rPr>
            </w:pPr>
          </w:p>
        </w:tc>
        <w:tc>
          <w:tcPr>
            <w:tcW w:w="3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87,659</w:t>
            </w:r>
          </w:p>
        </w:tc>
        <w:tc>
          <w:tcPr>
            <w:tcW w:w="100" w:type="dxa"/>
            <w:vAlign w:val="bottom"/>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50,382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1,312</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4,524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56,218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Billings in excess of contract revenues</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3,615</w:t>
            </w:r>
          </w:p>
        </w:tc>
        <w:tc>
          <w:tcPr>
            <w:tcW w:w="100" w:type="dxa"/>
            <w:vAlign w:val="bottom"/>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2,758</w:t>
            </w:r>
          </w:p>
        </w:tc>
        <w:tc>
          <w:tcPr>
            <w:tcW w:w="100" w:type="dxa"/>
            <w:vAlign w:val="bottom"/>
            <w:tcBorders>
              <w:bottom w:val="single" w:sz="8" w:color="CFF0FC"/>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142,922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1,592</w:t>
            </w:r>
          </w:p>
        </w:tc>
        <w:tc>
          <w:tcPr>
            <w:tcW w:w="200" w:type="dxa"/>
            <w:vAlign w:val="bottom"/>
            <w:tcBorders>
              <w:right w:val="single" w:sz="8" w:color="CFF0FC"/>
            </w:tcBorders>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150,250</w:t>
            </w:r>
          </w:p>
        </w:tc>
        <w:tc>
          <w:tcPr>
            <w:tcW w:w="100" w:type="dxa"/>
            <w:vAlign w:val="bottom"/>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2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333,141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333,141</w:t>
            </w:r>
          </w:p>
        </w:tc>
        <w:tc>
          <w:tcPr>
            <w:tcW w:w="100" w:type="dxa"/>
            <w:vAlign w:val="bottom"/>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2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95,000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25,561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25,561</w:t>
            </w:r>
          </w:p>
        </w:tc>
        <w:tc>
          <w:tcPr>
            <w:tcW w:w="100" w:type="dxa"/>
            <w:vAlign w:val="bottom"/>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20" w:type="dxa"/>
            <w:vAlign w:val="bottom"/>
            <w:gridSpan w:val="2"/>
          </w:tcPr>
          <w:p>
            <w:pPr>
              <w:spacing w:after="0"/>
              <w:rPr>
                <w:sz w:val="20"/>
                <w:szCs w:val="20"/>
                <w:color w:val="auto"/>
              </w:rPr>
            </w:pPr>
            <w:r>
              <w:rPr>
                <w:rFonts w:ascii="Arial" w:cs="Arial" w:eastAsia="Arial" w:hAnsi="Arial"/>
                <w:sz w:val="18"/>
                <w:szCs w:val="18"/>
                <w:color w:val="auto"/>
              </w:rPr>
              <w:t>PAYABLES TO AFFILIATES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161,979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54,442</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6,031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(222,452)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INVESTMENTS IN SUBSIDIARIES</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41,358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(41,358)</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6,940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vMerge w:val="restart"/>
            <w:shd w:val="clear" w:color="auto" w:fill="CFF0FC"/>
          </w:tcPr>
          <w:p>
            <w:pPr>
              <w:ind w:left="48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30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353,199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56,034</w:t>
            </w:r>
          </w:p>
        </w:tc>
        <w:tc>
          <w:tcPr>
            <w:tcW w:w="200" w:type="dxa"/>
            <w:vAlign w:val="bottom"/>
            <w:tcBorders>
              <w:right w:val="single" w:sz="8" w:color="CFF0FC"/>
            </w:tcBorders>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465,638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(263,810)</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611,061</w:t>
            </w:r>
          </w:p>
        </w:tc>
        <w:tc>
          <w:tcPr>
            <w:tcW w:w="100" w:type="dxa"/>
            <w:vAlign w:val="bottom"/>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2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TOTAL EQUITY</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517,222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(47,145)</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221,296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(470,077)</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221,296</w:t>
            </w:r>
          </w:p>
        </w:tc>
        <w:tc>
          <w:tcPr>
            <w:tcW w:w="100" w:type="dxa"/>
            <w:vAlign w:val="bottom"/>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320" w:type="dxa"/>
            <w:vAlign w:val="bottom"/>
            <w:gridSpan w:val="2"/>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870,421</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8,889</w:t>
            </w:r>
          </w:p>
        </w:tc>
        <w:tc>
          <w:tcPr>
            <w:tcW w:w="20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686,934</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(733,887)</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832,357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43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43" w:right="219" w:bottom="1440" w:gutter="0" w:footer="0" w:header="0"/>
        </w:sectPr>
      </w:pPr>
    </w:p>
    <w:bookmarkStart w:id="91" w:name="page92"/>
    <w:bookmarkEnd w:id="91"/>
    <w:p>
      <w:pPr>
        <w:jc w:val="center"/>
        <w:ind w:right="20"/>
        <w:spacing w:after="0"/>
        <w:rPr>
          <w:sz w:val="20"/>
          <w:szCs w:val="20"/>
          <w:color w:val="auto"/>
        </w:rPr>
      </w:pPr>
      <w:r>
        <w:rPr>
          <w:rFonts w:ascii="Arial" w:cs="Arial" w:eastAsia="Arial" w:hAnsi="Arial"/>
          <w:sz w:val="14"/>
          <w:szCs w:val="14"/>
          <w:b w:val="1"/>
          <w:bCs w:val="1"/>
          <w:color w:val="auto"/>
        </w:rPr>
        <w:t>GREAT LAKES DREDGE &amp; DOCK CORPORATION AND SUBSIDIARIES</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CONDENSED CONSOLIDATING BALANCE SHEET</w:t>
      </w:r>
    </w:p>
    <w:p>
      <w:pPr>
        <w:jc w:val="center"/>
        <w:ind w:right="20"/>
        <w:spacing w:after="0"/>
        <w:rPr>
          <w:sz w:val="20"/>
          <w:szCs w:val="20"/>
          <w:color w:val="auto"/>
        </w:rPr>
      </w:pPr>
      <w:r>
        <w:rPr>
          <w:rFonts w:ascii="Arial" w:cs="Arial" w:eastAsia="Arial" w:hAnsi="Arial"/>
          <w:sz w:val="14"/>
          <w:szCs w:val="14"/>
          <w:b w:val="1"/>
          <w:bCs w:val="1"/>
          <w:color w:val="auto"/>
        </w:rPr>
        <w:t>AS OF DECEMBER 31, 2016</w:t>
      </w:r>
    </w:p>
    <w:p>
      <w:pPr>
        <w:jc w:val="center"/>
        <w:ind w:right="20"/>
        <w:spacing w:after="0"/>
        <w:rPr>
          <w:sz w:val="20"/>
          <w:szCs w:val="20"/>
          <w:color w:val="auto"/>
        </w:rPr>
      </w:pPr>
      <w:r>
        <w:rPr>
          <w:rFonts w:ascii="Arial" w:cs="Arial" w:eastAsia="Arial" w:hAnsi="Arial"/>
          <w:sz w:val="14"/>
          <w:szCs w:val="14"/>
          <w:b w:val="1"/>
          <w:bCs w:val="1"/>
          <w:color w:val="auto"/>
        </w:rPr>
        <w:t>(In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292"/>
              <w:spacing w:after="0"/>
              <w:rPr>
                <w:sz w:val="20"/>
                <w:szCs w:val="20"/>
                <w:color w:val="auto"/>
              </w:rPr>
            </w:pPr>
            <w:r>
              <w:rPr>
                <w:rFonts w:ascii="Arial" w:cs="Arial" w:eastAsia="Arial" w:hAnsi="Arial"/>
                <w:sz w:val="14"/>
                <w:szCs w:val="14"/>
                <w:b w:val="1"/>
                <w:bCs w:val="1"/>
                <w:color w:val="auto"/>
              </w:rPr>
              <w:t>Subsidiary</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132"/>
              <w:spacing w:after="0"/>
              <w:rPr>
                <w:sz w:val="20"/>
                <w:szCs w:val="20"/>
                <w:color w:val="auto"/>
              </w:rPr>
            </w:pPr>
            <w:r>
              <w:rPr>
                <w:rFonts w:ascii="Arial" w:cs="Arial" w:eastAsia="Arial" w:hAnsi="Arial"/>
                <w:sz w:val="14"/>
                <w:szCs w:val="14"/>
                <w:b w:val="1"/>
                <w:bCs w:val="1"/>
                <w:color w:val="auto"/>
                <w:w w:val="94"/>
              </w:rPr>
              <w:t>Non-Guarantor</w:t>
            </w:r>
          </w:p>
        </w:tc>
        <w:tc>
          <w:tcPr>
            <w:tcW w:w="100" w:type="dxa"/>
            <w:vAlign w:val="bottom"/>
            <w:shd w:val="clear" w:color="auto" w:fill="CFF0FC"/>
          </w:tcPr>
          <w:p>
            <w:pPr>
              <w:spacing w:after="0"/>
              <w:rPr>
                <w:sz w:val="14"/>
                <w:szCs w:val="14"/>
                <w:color w:val="auto"/>
              </w:rPr>
            </w:pPr>
          </w:p>
        </w:tc>
        <w:tc>
          <w:tcPr>
            <w:tcW w:w="1340" w:type="dxa"/>
            <w:vAlign w:val="bottom"/>
            <w:gridSpan w:val="2"/>
            <w:vMerge w:val="restart"/>
            <w:shd w:val="clear" w:color="auto" w:fill="CFF0FC"/>
          </w:tcPr>
          <w:p>
            <w:pPr>
              <w:ind w:left="20"/>
              <w:spacing w:after="0"/>
              <w:rPr>
                <w:sz w:val="20"/>
                <w:szCs w:val="20"/>
                <w:color w:val="auto"/>
              </w:rPr>
            </w:pPr>
            <w:r>
              <w:rPr>
                <w:rFonts w:ascii="Arial" w:cs="Arial" w:eastAsia="Arial" w:hAnsi="Arial"/>
                <w:sz w:val="14"/>
                <w:szCs w:val="14"/>
                <w:b w:val="1"/>
                <w:bCs w:val="1"/>
                <w:color w:val="auto"/>
              </w:rPr>
              <w:t>GLDD Corporation</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vMerge w:val="restart"/>
            <w:shd w:val="clear" w:color="auto" w:fill="CFF0FC"/>
          </w:tcPr>
          <w:p>
            <w:pPr>
              <w:jc w:val="right"/>
              <w:ind w:right="212"/>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shd w:val="clear" w:color="auto" w:fill="CFF0FC"/>
          </w:tcPr>
          <w:p>
            <w:pPr>
              <w:spacing w:after="0"/>
              <w:rPr>
                <w:sz w:val="14"/>
                <w:szCs w:val="14"/>
                <w:color w:val="auto"/>
              </w:rPr>
            </w:pPr>
          </w:p>
        </w:tc>
        <w:tc>
          <w:tcPr>
            <w:tcW w:w="1320" w:type="dxa"/>
            <w:vAlign w:val="bottom"/>
            <w:gridSpan w:val="2"/>
            <w:vMerge w:val="restart"/>
            <w:shd w:val="clear" w:color="auto" w:fill="CFF0FC"/>
          </w:tcPr>
          <w:p>
            <w:pPr>
              <w:spacing w:after="0"/>
              <w:rPr>
                <w:sz w:val="20"/>
                <w:szCs w:val="20"/>
                <w:color w:val="auto"/>
              </w:rPr>
            </w:pPr>
            <w:r>
              <w:rPr>
                <w:rFonts w:ascii="Arial" w:cs="Arial" w:eastAsia="Arial" w:hAnsi="Arial"/>
                <w:sz w:val="14"/>
                <w:szCs w:val="14"/>
                <w:b w:val="1"/>
                <w:bCs w:val="1"/>
                <w:color w:val="auto"/>
                <w:w w:val="97"/>
              </w:rPr>
              <w:t>Consolidated Totals</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00" w:type="dxa"/>
            <w:vAlign w:val="bottom"/>
            <w:vMerge w:val="continue"/>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ind w:right="25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ind w:right="232"/>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gridSpan w:val="2"/>
            <w:vMerge w:val="continue"/>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gridSpan w:val="2"/>
            <w:vMerge w:val="continue"/>
            <w:shd w:val="clear" w:color="auto" w:fill="CFF0FC"/>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3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10,414</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751</w:t>
            </w:r>
          </w:p>
        </w:tc>
        <w:tc>
          <w:tcPr>
            <w:tcW w:w="4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11,167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Accounts receivable — net</w:t>
            </w:r>
          </w:p>
        </w:tc>
        <w:tc>
          <w:tcPr>
            <w:tcW w:w="16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75,412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14,242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88,091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Contract revenues in excess of billings</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91,478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3,534</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95,012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37,137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37,137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12,287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12,407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60,844</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2,568</w:t>
            </w: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63,412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287,572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21,215</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(1,563)</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307,226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2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EQUIPMENT—Net</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407,516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5,492</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413,008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83,576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83,576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OTHER INTANGIBLE ASSETS—Net</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1,067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1,499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20" w:type="dxa"/>
            <w:vAlign w:val="bottom"/>
            <w:gridSpan w:val="2"/>
          </w:tcPr>
          <w:p>
            <w:pPr>
              <w:spacing w:after="0"/>
              <w:rPr>
                <w:sz w:val="20"/>
                <w:szCs w:val="20"/>
                <w:color w:val="auto"/>
              </w:rPr>
            </w:pPr>
            <w:r>
              <w:rPr>
                <w:rFonts w:ascii="Arial" w:cs="Arial" w:eastAsia="Arial" w:hAnsi="Arial"/>
                <w:sz w:val="18"/>
                <w:szCs w:val="18"/>
                <w:color w:val="auto"/>
              </w:rPr>
              <w:t>INVENTORIES — Noncurrent</w:t>
            </w:r>
          </w:p>
        </w:tc>
        <w:tc>
          <w:tcPr>
            <w:tcW w:w="16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52,602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52,602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INVESTMENTS IN JOINT VENTURES</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4,685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4,734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20" w:type="dxa"/>
            <w:vAlign w:val="bottom"/>
            <w:gridSpan w:val="2"/>
          </w:tcPr>
          <w:p>
            <w:pPr>
              <w:spacing w:after="0"/>
              <w:rPr>
                <w:sz w:val="20"/>
                <w:szCs w:val="20"/>
                <w:color w:val="auto"/>
              </w:rPr>
            </w:pPr>
            <w:r>
              <w:rPr>
                <w:rFonts w:ascii="Arial" w:cs="Arial" w:eastAsia="Arial" w:hAnsi="Arial"/>
                <w:sz w:val="18"/>
                <w:szCs w:val="18"/>
                <w:color w:val="auto"/>
              </w:rPr>
              <w:t>ASSETS HELD FOR SALE— Noncurrent</w:t>
            </w:r>
          </w:p>
        </w:tc>
        <w:tc>
          <w:tcPr>
            <w:tcW w:w="16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8,390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9,299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RECEIVABLES FROM AFFILIATES</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58,284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16,807</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82,340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(157,431)</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20" w:type="dxa"/>
            <w:vAlign w:val="bottom"/>
            <w:gridSpan w:val="2"/>
          </w:tcPr>
          <w:p>
            <w:pPr>
              <w:spacing w:after="0"/>
              <w:rPr>
                <w:sz w:val="20"/>
                <w:szCs w:val="20"/>
                <w:color w:val="auto"/>
              </w:rPr>
            </w:pPr>
            <w:r>
              <w:rPr>
                <w:rFonts w:ascii="Arial" w:cs="Arial" w:eastAsia="Arial" w:hAnsi="Arial"/>
                <w:sz w:val="18"/>
                <w:szCs w:val="18"/>
                <w:color w:val="auto"/>
              </w:rPr>
              <w:t>INVESTMENTS IN SUBSIDIARIES</w:t>
            </w:r>
          </w:p>
        </w:tc>
        <w:tc>
          <w:tcPr>
            <w:tcW w:w="16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636,216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(636,216)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14,692</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6,951</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21,644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4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918,384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44,905</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725,509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(795,210)</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893,588</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43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101,795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2,879</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(1,506)</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103,185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55,940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3,222</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9,881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69,043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Billings in excess of contract revenues</w:t>
            </w:r>
          </w:p>
        </w:tc>
        <w:tc>
          <w:tcPr>
            <w:tcW w:w="16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4,699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5,141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portion of long term-debt</w:t>
            </w: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1,015</w:t>
            </w: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1,145</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2,465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30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162,739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7,615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11,043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179,834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286,291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286,291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104,111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104,111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2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(1,833)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70,282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68,449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PAYABLES TO AFFILIATES</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80,769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70,921</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5,741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(157,431)</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20" w:type="dxa"/>
            <w:vAlign w:val="bottom"/>
            <w:gridSpan w:val="2"/>
          </w:tcPr>
          <w:p>
            <w:pPr>
              <w:spacing w:after="0"/>
              <w:rPr>
                <w:sz w:val="20"/>
                <w:szCs w:val="20"/>
                <w:color w:val="auto"/>
              </w:rPr>
            </w:pPr>
            <w:r>
              <w:rPr>
                <w:rFonts w:ascii="Arial" w:cs="Arial" w:eastAsia="Arial" w:hAnsi="Arial"/>
                <w:sz w:val="18"/>
                <w:szCs w:val="18"/>
                <w:color w:val="auto"/>
              </w:rPr>
              <w:t>INVESTMENTS IN SUBSIDIARIES</w:t>
            </w:r>
          </w:p>
        </w:tc>
        <w:tc>
          <w:tcPr>
            <w:tcW w:w="16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32,000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(32,000)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5,925</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937</w:t>
            </w: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7,013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30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279,600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79,473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477,619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(190,994)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645,698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20" w:type="dxa"/>
            <w:vAlign w:val="bottom"/>
            <w:gridSpan w:val="2"/>
          </w:tcPr>
          <w:p>
            <w:pPr>
              <w:spacing w:after="0"/>
              <w:rPr>
                <w:sz w:val="20"/>
                <w:szCs w:val="20"/>
                <w:color w:val="auto"/>
              </w:rPr>
            </w:pPr>
            <w:r>
              <w:rPr>
                <w:rFonts w:ascii="Arial" w:cs="Arial" w:eastAsia="Arial" w:hAnsi="Arial"/>
                <w:sz w:val="18"/>
                <w:szCs w:val="18"/>
                <w:color w:val="auto"/>
              </w:rPr>
              <w:t>TOTAL EQUITY</w:t>
            </w:r>
          </w:p>
        </w:tc>
        <w:tc>
          <w:tcPr>
            <w:tcW w:w="16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638,784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(34,568)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247,890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(604,216)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247,890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430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918,384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44,905</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725,509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(795,210)</w:t>
            </w:r>
          </w:p>
        </w:tc>
        <w:tc>
          <w:tcPr>
            <w:tcW w:w="4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893,588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89"/>
              </w:rPr>
              <w:t>90</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43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44" w:right="219" w:bottom="1440" w:gutter="0" w:footer="0" w:header="0"/>
        </w:sectPr>
      </w:pPr>
    </w:p>
    <w:bookmarkStart w:id="92" w:name="page93"/>
    <w:bookmarkEnd w:id="92"/>
    <w:p>
      <w:pPr>
        <w:jc w:val="center"/>
        <w:ind w:right="140"/>
        <w:spacing w:after="0"/>
        <w:rPr>
          <w:sz w:val="20"/>
          <w:szCs w:val="20"/>
          <w:color w:val="auto"/>
        </w:rPr>
      </w:pPr>
      <w:r>
        <w:rPr>
          <w:rFonts w:ascii="Arial" w:cs="Arial" w:eastAsia="Arial" w:hAnsi="Arial"/>
          <w:sz w:val="14"/>
          <w:szCs w:val="14"/>
          <w:b w:val="1"/>
          <w:bCs w:val="1"/>
          <w:color w:val="auto"/>
        </w:rPr>
        <w:t>GREAT LAKES DREDGE &amp; DOCK CORPORATION AND SUBSIDIARIES</w:t>
      </w:r>
    </w:p>
    <w:p>
      <w:pPr>
        <w:spacing w:after="0" w:line="14"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CONDENSED CONSOLIDATING STATEMENT OF OPERATIONS AND COMPREHENSIVE LOSS</w:t>
      </w:r>
    </w:p>
    <w:p>
      <w:pPr>
        <w:jc w:val="center"/>
        <w:ind w:right="140"/>
        <w:spacing w:after="0"/>
        <w:rPr>
          <w:sz w:val="20"/>
          <w:szCs w:val="20"/>
          <w:color w:val="auto"/>
        </w:rPr>
      </w:pPr>
      <w:r>
        <w:rPr>
          <w:rFonts w:ascii="Arial" w:cs="Arial" w:eastAsia="Arial" w:hAnsi="Arial"/>
          <w:sz w:val="14"/>
          <w:szCs w:val="14"/>
          <w:b w:val="1"/>
          <w:bCs w:val="1"/>
          <w:color w:val="auto"/>
        </w:rPr>
        <w:t>FOR THE YEAR ENDED DECEMBER 31, 2017</w:t>
      </w:r>
    </w:p>
    <w:p>
      <w:pPr>
        <w:jc w:val="center"/>
        <w:ind w:right="140"/>
        <w:spacing w:after="0"/>
        <w:rPr>
          <w:sz w:val="20"/>
          <w:szCs w:val="20"/>
          <w:color w:val="auto"/>
        </w:rPr>
      </w:pPr>
      <w:r>
        <w:rPr>
          <w:rFonts w:ascii="Arial" w:cs="Arial" w:eastAsia="Arial" w:hAnsi="Arial"/>
          <w:sz w:val="14"/>
          <w:szCs w:val="14"/>
          <w:b w:val="1"/>
          <w:bCs w:val="1"/>
          <w:color w:val="auto"/>
        </w:rPr>
        <w:t>(In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GLDD Corporation</w:t>
            </w:r>
          </w:p>
        </w:tc>
        <w:tc>
          <w:tcPr>
            <w:tcW w:w="100" w:type="dxa"/>
            <w:vAlign w:val="bottom"/>
            <w:vMerge w:val="restart"/>
          </w:tcPr>
          <w:p>
            <w:pPr>
              <w:spacing w:after="0"/>
              <w:rPr>
                <w:sz w:val="14"/>
                <w:szCs w:val="14"/>
                <w:color w:val="auto"/>
              </w:rPr>
            </w:pP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8"/>
              </w:rPr>
              <w:t>Eliminations</w:t>
            </w:r>
          </w:p>
        </w:tc>
        <w:tc>
          <w:tcPr>
            <w:tcW w:w="1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9"/>
              </w:rPr>
              <w:t>Consolidated Totals</w:t>
            </w:r>
          </w:p>
        </w:tc>
        <w:tc>
          <w:tcPr>
            <w:tcW w:w="10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699,607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(2,267)</w:t>
            </w:r>
          </w:p>
        </w:tc>
        <w:tc>
          <w:tcPr>
            <w:tcW w:w="4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702,503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0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(647,467)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(7,420)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2,267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(652,620)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0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52,140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(2,257)</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49,883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00" w:type="dxa"/>
            <w:vAlign w:val="bottom"/>
          </w:tcPr>
          <w:p>
            <w:pPr>
              <w:ind w:left="26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67,175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68,331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sale of assets—net</w:t>
            </w: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400" w:type="dxa"/>
            <w:vAlign w:val="bottom"/>
          </w:tcPr>
          <w:p>
            <w:pPr>
              <w:ind w:left="500"/>
              <w:spacing w:after="0"/>
              <w:rPr>
                <w:sz w:val="20"/>
                <w:szCs w:val="20"/>
                <w:color w:val="auto"/>
              </w:rPr>
            </w:pPr>
            <w:r>
              <w:rPr>
                <w:rFonts w:ascii="Arial" w:cs="Arial" w:eastAsia="Arial" w:hAnsi="Arial"/>
                <w:sz w:val="18"/>
                <w:szCs w:val="18"/>
                <w:color w:val="auto"/>
              </w:rPr>
              <w:t>Operating loss</w:t>
            </w:r>
          </w:p>
        </w:tc>
        <w:tc>
          <w:tcPr>
            <w:tcW w:w="1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(19,836)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(3,689)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(23,525)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00" w:type="dxa"/>
            <w:vAlign w:val="bottom"/>
          </w:tcPr>
          <w:p>
            <w:pPr>
              <w:spacing w:after="0"/>
              <w:rPr>
                <w:sz w:val="20"/>
                <w:szCs w:val="20"/>
                <w:color w:val="auto"/>
              </w:rPr>
            </w:pPr>
            <w:r>
              <w:rPr>
                <w:rFonts w:ascii="Arial" w:cs="Arial" w:eastAsia="Arial" w:hAnsi="Arial"/>
                <w:sz w:val="18"/>
                <w:szCs w:val="18"/>
                <w:color w:val="auto"/>
              </w:rPr>
              <w:t>Interest income (expense)—net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(966)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(26,134)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(26,046)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(loss) of subsidiaries</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(26,973)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26,935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0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1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(1,484)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18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3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(2,330)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00" w:type="dxa"/>
            <w:vAlign w:val="bottom"/>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w w:val="91"/>
              </w:rPr>
              <w:t>Loss from continuing operations before income taxes</w:t>
            </w: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0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(21,468)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(4,203)</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(55,437)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26,935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(54,173)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 benefit</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36,874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35,610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Loss from continuing operations</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(22,718)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(4,217)</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(18,563)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26,935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(18,563)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00" w:type="dxa"/>
            <w:vAlign w:val="bottom"/>
          </w:tcPr>
          <w:p>
            <w:pPr>
              <w:spacing w:after="0"/>
              <w:rPr>
                <w:sz w:val="20"/>
                <w:szCs w:val="20"/>
                <w:color w:val="auto"/>
              </w:rPr>
            </w:pPr>
            <w:r>
              <w:rPr>
                <w:rFonts w:ascii="Arial" w:cs="Arial" w:eastAsia="Arial" w:hAnsi="Arial"/>
                <w:sz w:val="18"/>
                <w:szCs w:val="18"/>
                <w:color w:val="auto"/>
                <w:w w:val="99"/>
              </w:rPr>
              <w:t>Loss from discontinued operations, net of income taxes</w:t>
            </w:r>
          </w:p>
        </w:tc>
        <w:tc>
          <w:tcPr>
            <w:tcW w:w="1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(20,900)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(12,697)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20,900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(12,697)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4400" w:type="dxa"/>
            <w:vAlign w:val="bottom"/>
          </w:tcPr>
          <w:p>
            <w:pPr>
              <w:ind w:left="500"/>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(43,618)</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(4,217)</w:t>
            </w:r>
          </w:p>
        </w:tc>
        <w:tc>
          <w:tcPr>
            <w:tcW w:w="120" w:type="dxa"/>
            <w:vAlign w:val="bottom"/>
          </w:tcPr>
          <w:p>
            <w:pPr>
              <w:spacing w:after="0"/>
              <w:rPr>
                <w:sz w:val="23"/>
                <w:szCs w:val="23"/>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(31,260)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47,835</w:t>
            </w:r>
          </w:p>
        </w:tc>
        <w:tc>
          <w:tcPr>
            <w:tcW w:w="100" w:type="dxa"/>
            <w:vAlign w:val="bottom"/>
          </w:tcPr>
          <w:p>
            <w:pPr>
              <w:spacing w:after="0"/>
              <w:rPr>
                <w:sz w:val="23"/>
                <w:szCs w:val="23"/>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(31,260)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44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400" w:type="dxa"/>
            <w:vAlign w:val="bottom"/>
          </w:tcPr>
          <w:p>
            <w:pPr>
              <w:spacing w:after="0"/>
              <w:rPr>
                <w:sz w:val="20"/>
                <w:szCs w:val="20"/>
                <w:color w:val="auto"/>
              </w:rPr>
            </w:pPr>
            <w:r>
              <w:rPr>
                <w:rFonts w:ascii="Arial" w:cs="Arial" w:eastAsia="Arial" w:hAnsi="Arial"/>
                <w:sz w:val="18"/>
                <w:szCs w:val="18"/>
                <w:color w:val="auto"/>
              </w:rPr>
              <w:t>Comprehensive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(42,429)</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(4,258)</w:t>
            </w:r>
          </w:p>
        </w:tc>
        <w:tc>
          <w:tcPr>
            <w:tcW w:w="12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(30,112)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46,687</w:t>
            </w:r>
          </w:p>
        </w:tc>
        <w:tc>
          <w:tcPr>
            <w:tcW w:w="10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(30,112)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3"/>
        </w:trPr>
        <w:tc>
          <w:tcPr>
            <w:tcW w:w="4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44" w:right="219" w:bottom="1440" w:gutter="0" w:footer="0" w:header="0"/>
        </w:sectPr>
      </w:pPr>
    </w:p>
    <w:bookmarkStart w:id="93" w:name="page94"/>
    <w:bookmarkEnd w:id="93"/>
    <w:p>
      <w:pPr>
        <w:jc w:val="center"/>
        <w:ind w:right="120"/>
        <w:spacing w:after="0"/>
        <w:rPr>
          <w:sz w:val="20"/>
          <w:szCs w:val="20"/>
          <w:color w:val="auto"/>
        </w:rPr>
      </w:pPr>
      <w:r>
        <w:rPr>
          <w:rFonts w:ascii="Arial" w:cs="Arial" w:eastAsia="Arial" w:hAnsi="Arial"/>
          <w:sz w:val="14"/>
          <w:szCs w:val="14"/>
          <w:b w:val="1"/>
          <w:bCs w:val="1"/>
          <w:color w:val="auto"/>
        </w:rPr>
        <w:t>GREAT LAKES DREDGE &amp; DOCK CORPORATION AND SUBSIDIARIES</w:t>
      </w:r>
    </w:p>
    <w:p>
      <w:pPr>
        <w:spacing w:after="0" w:line="14"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CONDENSED CONSOLIDATING STATEMENT OF OPERATIONS AND COMPREHENSIVE INCOME (LOSS)</w:t>
      </w:r>
    </w:p>
    <w:p>
      <w:pPr>
        <w:jc w:val="center"/>
        <w:ind w:right="120"/>
        <w:spacing w:after="0"/>
        <w:rPr>
          <w:sz w:val="20"/>
          <w:szCs w:val="20"/>
          <w:color w:val="auto"/>
        </w:rPr>
      </w:pPr>
      <w:r>
        <w:rPr>
          <w:rFonts w:ascii="Arial" w:cs="Arial" w:eastAsia="Arial" w:hAnsi="Arial"/>
          <w:sz w:val="14"/>
          <w:szCs w:val="14"/>
          <w:b w:val="1"/>
          <w:bCs w:val="1"/>
          <w:color w:val="auto"/>
        </w:rPr>
        <w:t>FOR THE YEAR ENDED DECEMBER 31, 2016</w:t>
      </w:r>
    </w:p>
    <w:p>
      <w:pPr>
        <w:jc w:val="center"/>
        <w:ind w:right="120"/>
        <w:spacing w:after="0"/>
        <w:rPr>
          <w:sz w:val="20"/>
          <w:szCs w:val="20"/>
          <w:color w:val="auto"/>
        </w:rPr>
      </w:pPr>
      <w:r>
        <w:rPr>
          <w:rFonts w:ascii="Arial" w:cs="Arial" w:eastAsia="Arial" w:hAnsi="Arial"/>
          <w:sz w:val="14"/>
          <w:szCs w:val="14"/>
          <w:b w:val="1"/>
          <w:bCs w:val="1"/>
          <w:color w:val="auto"/>
        </w:rPr>
        <w:t>(In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GLDD Corporation</w:t>
            </w:r>
          </w:p>
        </w:tc>
        <w:tc>
          <w:tcPr>
            <w:tcW w:w="100" w:type="dxa"/>
            <w:vAlign w:val="bottom"/>
            <w:vMerge w:val="restart"/>
          </w:tcPr>
          <w:p>
            <w:pPr>
              <w:spacing w:after="0"/>
              <w:rPr>
                <w:sz w:val="14"/>
                <w:szCs w:val="14"/>
                <w:color w:val="auto"/>
              </w:rPr>
            </w:pP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8"/>
              </w:rPr>
              <w:t>Eliminations</w:t>
            </w:r>
          </w:p>
        </w:tc>
        <w:tc>
          <w:tcPr>
            <w:tcW w:w="1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9"/>
              </w:rPr>
              <w:t>Consolidated Totals</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00" w:type="dxa"/>
            <w:vAlign w:val="bottom"/>
            <w:vMerge w:val="restart"/>
          </w:tcPr>
          <w:p>
            <w:pPr>
              <w:spacing w:after="0"/>
              <w:rPr>
                <w:sz w:val="20"/>
                <w:szCs w:val="20"/>
                <w:color w:val="auto"/>
              </w:rPr>
            </w:pPr>
            <w:r>
              <w:rPr>
                <w:rFonts w:ascii="Arial" w:cs="Arial" w:eastAsia="Arial" w:hAnsi="Arial"/>
                <w:sz w:val="18"/>
                <w:szCs w:val="18"/>
                <w:color w:val="auto"/>
              </w:rPr>
              <w:t>Contract revenues</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40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726,239</w:t>
            </w:r>
          </w:p>
        </w:tc>
        <w:tc>
          <w:tcPr>
            <w:tcW w:w="12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44,086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(2,740)</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767,585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Costs of contract revenues</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(622,158)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(61,779)</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(681,197)</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50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4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104,081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(17,693)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86,388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0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51,678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Loss on sale of assets—net</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3,040</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3,135</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gridSpan w:val="2"/>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49,363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(34,732)</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(expense)—net</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(1,497)</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(23,395)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(22,907)</w:t>
            </w:r>
          </w:p>
        </w:tc>
        <w:tc>
          <w:tcPr>
            <w:tcW w:w="0" w:type="dxa"/>
            <w:vAlign w:val="bottom"/>
          </w:tcPr>
          <w:p>
            <w:pPr>
              <w:spacing w:after="0"/>
              <w:rPr>
                <w:sz w:val="1"/>
                <w:szCs w:val="1"/>
                <w:color w:val="auto"/>
              </w:rPr>
            </w:pPr>
          </w:p>
        </w:tc>
      </w:tr>
      <w:tr>
        <w:trPr>
          <w:trHeight w:val="226"/>
        </w:trPr>
        <w:tc>
          <w:tcPr>
            <w:tcW w:w="4400" w:type="dxa"/>
            <w:vAlign w:val="bottom"/>
          </w:tcPr>
          <w:p>
            <w:pPr>
              <w:spacing w:after="0"/>
              <w:rPr>
                <w:sz w:val="20"/>
                <w:szCs w:val="20"/>
                <w:color w:val="auto"/>
              </w:rPr>
            </w:pPr>
            <w:r>
              <w:rPr>
                <w:rFonts w:ascii="Arial" w:cs="Arial" w:eastAsia="Arial" w:hAnsi="Arial"/>
                <w:sz w:val="18"/>
                <w:szCs w:val="18"/>
                <w:color w:val="auto"/>
              </w:rPr>
              <w:t>Equity in earnings (loss) of subsidiaries</w:t>
            </w:r>
          </w:p>
        </w:tc>
        <w:tc>
          <w:tcPr>
            <w:tcW w:w="1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(31,488)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21,175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Equity in loss of joint ventures</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(2,365)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(2,365)</w:t>
            </w:r>
          </w:p>
        </w:tc>
        <w:tc>
          <w:tcPr>
            <w:tcW w:w="0" w:type="dxa"/>
            <w:vAlign w:val="bottom"/>
          </w:tcPr>
          <w:p>
            <w:pPr>
              <w:spacing w:after="0"/>
              <w:rPr>
                <w:sz w:val="1"/>
                <w:szCs w:val="1"/>
                <w:color w:val="auto"/>
              </w:rPr>
            </w:pPr>
          </w:p>
        </w:tc>
      </w:tr>
      <w:tr>
        <w:trPr>
          <w:trHeight w:val="226"/>
        </w:trPr>
        <w:tc>
          <w:tcPr>
            <w:tcW w:w="4400" w:type="dxa"/>
            <w:vAlign w:val="bottom"/>
          </w:tcPr>
          <w:p>
            <w:pPr>
              <w:spacing w:after="0"/>
              <w:rPr>
                <w:sz w:val="20"/>
                <w:szCs w:val="20"/>
                <w:color w:val="auto"/>
              </w:rPr>
            </w:pPr>
            <w:r>
              <w:rPr>
                <w:rFonts w:ascii="Arial" w:cs="Arial" w:eastAsia="Arial" w:hAnsi="Arial"/>
                <w:sz w:val="18"/>
                <w:szCs w:val="18"/>
                <w:color w:val="auto"/>
              </w:rPr>
              <w:t>Other expense</w:t>
            </w:r>
          </w:p>
        </w:tc>
        <w:tc>
          <w:tcPr>
            <w:tcW w:w="1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(2,626)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(3,377)</w:t>
            </w:r>
          </w:p>
        </w:tc>
        <w:tc>
          <w:tcPr>
            <w:tcW w:w="0" w:type="dxa"/>
            <w:vAlign w:val="bottom"/>
          </w:tcPr>
          <w:p>
            <w:pPr>
              <w:spacing w:after="0"/>
              <w:rPr>
                <w:sz w:val="1"/>
                <w:szCs w:val="1"/>
                <w:color w:val="auto"/>
              </w:rPr>
            </w:pPr>
          </w:p>
        </w:tc>
      </w:tr>
      <w:tr>
        <w:trPr>
          <w:trHeight w:val="20"/>
        </w:trPr>
        <w:tc>
          <w:tcPr>
            <w:tcW w:w="440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Income (loss) before income taxes</w:t>
            </w: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0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14,869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(36,980)</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(13,033)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21,175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(13,969)</w:t>
            </w:r>
          </w:p>
        </w:tc>
        <w:tc>
          <w:tcPr>
            <w:tcW w:w="0" w:type="dxa"/>
            <w:vAlign w:val="bottom"/>
          </w:tcPr>
          <w:p>
            <w:pPr>
              <w:spacing w:after="0"/>
              <w:rPr>
                <w:sz w:val="1"/>
                <w:szCs w:val="1"/>
                <w:color w:val="auto"/>
              </w:rPr>
            </w:pPr>
          </w:p>
        </w:tc>
      </w:tr>
      <w:tr>
        <w:trPr>
          <w:trHeight w:val="227"/>
        </w:trPr>
        <w:tc>
          <w:tcPr>
            <w:tcW w:w="4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 benefit</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15,949</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(37,124)</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(8,177)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21,175</w:t>
            </w:r>
          </w:p>
        </w:tc>
        <w:tc>
          <w:tcPr>
            <w:tcW w:w="1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(8,177)</w:t>
            </w:r>
          </w:p>
        </w:tc>
        <w:tc>
          <w:tcPr>
            <w:tcW w:w="0" w:type="dxa"/>
            <w:vAlign w:val="bottom"/>
          </w:tcPr>
          <w:p>
            <w:pPr>
              <w:spacing w:after="0"/>
              <w:rPr>
                <w:sz w:val="1"/>
                <w:szCs w:val="1"/>
                <w:color w:val="auto"/>
              </w:rPr>
            </w:pPr>
          </w:p>
        </w:tc>
      </w:tr>
      <w:tr>
        <w:trPr>
          <w:trHeight w:val="20"/>
        </w:trPr>
        <w:tc>
          <w:tcPr>
            <w:tcW w:w="44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16,279</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(36,616)</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(7,339)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20,337</w:t>
            </w:r>
          </w:p>
        </w:tc>
        <w:tc>
          <w:tcPr>
            <w:tcW w:w="1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(7,339)</w:t>
            </w:r>
          </w:p>
        </w:tc>
        <w:tc>
          <w:tcPr>
            <w:tcW w:w="0" w:type="dxa"/>
            <w:vAlign w:val="bottom"/>
          </w:tcPr>
          <w:p>
            <w:pPr>
              <w:spacing w:after="0"/>
              <w:rPr>
                <w:sz w:val="1"/>
                <w:szCs w:val="1"/>
                <w:color w:val="auto"/>
              </w:rPr>
            </w:pPr>
          </w:p>
        </w:tc>
      </w:tr>
      <w:tr>
        <w:trPr>
          <w:trHeight w:val="20"/>
        </w:trPr>
        <w:tc>
          <w:tcPr>
            <w:tcW w:w="44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3" w:right="239" w:bottom="1440" w:gutter="0" w:footer="0" w:header="0"/>
        </w:sectPr>
      </w:pPr>
    </w:p>
    <w:bookmarkStart w:id="94" w:name="page95"/>
    <w:bookmarkEnd w:id="94"/>
    <w:p>
      <w:pPr>
        <w:jc w:val="center"/>
        <w:ind w:right="140"/>
        <w:spacing w:after="0"/>
        <w:rPr>
          <w:sz w:val="20"/>
          <w:szCs w:val="20"/>
          <w:color w:val="auto"/>
        </w:rPr>
      </w:pPr>
      <w:r>
        <w:rPr>
          <w:rFonts w:ascii="Arial" w:cs="Arial" w:eastAsia="Arial" w:hAnsi="Arial"/>
          <w:sz w:val="14"/>
          <w:szCs w:val="14"/>
          <w:b w:val="1"/>
          <w:bCs w:val="1"/>
          <w:color w:val="auto"/>
        </w:rPr>
        <w:t>GREAT LAKES DREDGE &amp; DOCK CORPORATION AND SUBSIDIARIES</w:t>
      </w:r>
    </w:p>
    <w:p>
      <w:pPr>
        <w:spacing w:after="0" w:line="14"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CONDENSED CONSOLIDATING STATEMENT OF OPERATIONS AND COMPREHENSIVE INCOME (LOSS)</w:t>
      </w:r>
    </w:p>
    <w:p>
      <w:pPr>
        <w:jc w:val="center"/>
        <w:ind w:right="140"/>
        <w:spacing w:after="0"/>
        <w:rPr>
          <w:sz w:val="20"/>
          <w:szCs w:val="20"/>
          <w:color w:val="auto"/>
        </w:rPr>
      </w:pPr>
      <w:r>
        <w:rPr>
          <w:rFonts w:ascii="Arial" w:cs="Arial" w:eastAsia="Arial" w:hAnsi="Arial"/>
          <w:sz w:val="14"/>
          <w:szCs w:val="14"/>
          <w:b w:val="1"/>
          <w:bCs w:val="1"/>
          <w:color w:val="auto"/>
        </w:rPr>
        <w:t>FOR THE YEAR ENDED DECEMBER 31, 2015</w:t>
      </w:r>
    </w:p>
    <w:p>
      <w:pPr>
        <w:jc w:val="center"/>
        <w:ind w:right="140"/>
        <w:spacing w:after="0"/>
        <w:rPr>
          <w:sz w:val="20"/>
          <w:szCs w:val="20"/>
          <w:color w:val="auto"/>
        </w:rPr>
      </w:pPr>
      <w:r>
        <w:rPr>
          <w:rFonts w:ascii="Arial" w:cs="Arial" w:eastAsia="Arial" w:hAnsi="Arial"/>
          <w:sz w:val="14"/>
          <w:szCs w:val="14"/>
          <w:b w:val="1"/>
          <w:bCs w:val="1"/>
          <w:color w:val="auto"/>
        </w:rPr>
        <w:t>(In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GLDD Corporation</w:t>
            </w:r>
          </w:p>
        </w:tc>
        <w:tc>
          <w:tcPr>
            <w:tcW w:w="100" w:type="dxa"/>
            <w:vAlign w:val="bottom"/>
            <w:vMerge w:val="restart"/>
          </w:tcPr>
          <w:p>
            <w:pPr>
              <w:spacing w:after="0"/>
              <w:rPr>
                <w:sz w:val="14"/>
                <w:szCs w:val="14"/>
                <w:color w:val="auto"/>
              </w:rPr>
            </w:pP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8"/>
              </w:rPr>
              <w:t>Eliminations</w:t>
            </w:r>
          </w:p>
        </w:tc>
        <w:tc>
          <w:tcPr>
            <w:tcW w:w="1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9"/>
              </w:rPr>
              <w:t>Consolidated Totals</w:t>
            </w:r>
          </w:p>
        </w:tc>
        <w:tc>
          <w:tcPr>
            <w:tcW w:w="10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778,337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86,666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(8,125)</w:t>
            </w:r>
          </w:p>
        </w:tc>
        <w:tc>
          <w:tcPr>
            <w:tcW w:w="4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856,878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0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(670,973)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(98,107)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(760,955)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0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107,364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(11,441)</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95,923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00" w:type="dxa"/>
            <w:vAlign w:val="bottom"/>
          </w:tcPr>
          <w:p>
            <w:pPr>
              <w:ind w:left="26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58,682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71,069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 of goodwill</w:t>
            </w:r>
          </w:p>
        </w:tc>
        <w:tc>
          <w:tcPr>
            <w:tcW w:w="18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00" w:type="dxa"/>
            <w:vAlign w:val="bottom"/>
          </w:tcPr>
          <w:p>
            <w:pPr>
              <w:ind w:left="260"/>
              <w:spacing w:after="0"/>
              <w:rPr>
                <w:sz w:val="20"/>
                <w:szCs w:val="20"/>
                <w:color w:val="auto"/>
              </w:rPr>
            </w:pPr>
            <w:r>
              <w:rPr>
                <w:rFonts w:ascii="Arial" w:cs="Arial" w:eastAsia="Arial" w:hAnsi="Arial"/>
                <w:sz w:val="18"/>
                <w:szCs w:val="18"/>
                <w:color w:val="auto"/>
              </w:rPr>
              <w:t>(Gain) loss on sale of assets—net</w:t>
            </w:r>
          </w:p>
        </w:tc>
        <w:tc>
          <w:tcPr>
            <w:tcW w:w="1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0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49,567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(26,608)</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22,959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(expense)—net</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(1,398)</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(23,839)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(24,365)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00" w:type="dxa"/>
            <w:vAlign w:val="bottom"/>
          </w:tcPr>
          <w:p>
            <w:pPr>
              <w:spacing w:after="0"/>
              <w:rPr>
                <w:sz w:val="20"/>
                <w:szCs w:val="20"/>
                <w:color w:val="auto"/>
              </w:rPr>
            </w:pPr>
            <w:r>
              <w:rPr>
                <w:rFonts w:ascii="Arial" w:cs="Arial" w:eastAsia="Arial" w:hAnsi="Arial"/>
                <w:sz w:val="18"/>
                <w:szCs w:val="18"/>
                <w:color w:val="auto"/>
              </w:rPr>
              <w:t>Equity in earnings of subsidiaries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(16,316)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(loss) of joint ventures</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(6,221)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00" w:type="dxa"/>
            <w:vAlign w:val="bottom"/>
          </w:tcPr>
          <w:p>
            <w:pPr>
              <w:spacing w:after="0"/>
              <w:rPr>
                <w:sz w:val="20"/>
                <w:szCs w:val="20"/>
                <w:color w:val="auto"/>
              </w:rPr>
            </w:pPr>
            <w:r>
              <w:rPr>
                <w:rFonts w:ascii="Arial" w:cs="Arial" w:eastAsia="Arial" w:hAnsi="Arial"/>
                <w:sz w:val="18"/>
                <w:szCs w:val="18"/>
                <w:color w:val="auto"/>
              </w:rPr>
              <w:t>Other income (loss)</w:t>
            </w:r>
          </w:p>
        </w:tc>
        <w:tc>
          <w:tcPr>
            <w:tcW w:w="1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(3,180)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Income (loss) before income taxes</w:t>
            </w: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0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41,072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(25,885)</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(7,557)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(16,316)</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(8,686)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 benefit</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(512)</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42,713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(26,397)</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(6,189)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(16,316)</w:t>
            </w:r>
          </w:p>
        </w:tc>
        <w:tc>
          <w:tcPr>
            <w:tcW w:w="4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42,713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(27,646)</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(7,438)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(15,067)</w:t>
            </w:r>
          </w:p>
        </w:tc>
        <w:tc>
          <w:tcPr>
            <w:tcW w:w="4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6"/>
        </w:trPr>
        <w:tc>
          <w:tcPr>
            <w:tcW w:w="4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95" w:name="page96"/>
    <w:bookmarkEnd w:id="95"/>
    <w:p>
      <w:pPr>
        <w:jc w:val="center"/>
        <w:ind w:right="-199"/>
        <w:spacing w:after="0"/>
        <w:rPr>
          <w:sz w:val="20"/>
          <w:szCs w:val="20"/>
          <w:color w:val="auto"/>
        </w:rPr>
      </w:pPr>
      <w:r>
        <w:rPr>
          <w:rFonts w:ascii="Arial" w:cs="Arial" w:eastAsia="Arial" w:hAnsi="Arial"/>
          <w:sz w:val="14"/>
          <w:szCs w:val="14"/>
          <w:b w:val="1"/>
          <w:bCs w:val="1"/>
          <w:color w:val="auto"/>
        </w:rPr>
        <w:t>GREAT LAKES DREDGE &amp; DOCK CORPORATION AND SUBSIDIARIES</w:t>
      </w:r>
    </w:p>
    <w:p>
      <w:pPr>
        <w:spacing w:after="0" w:line="14"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CONDENSED CONSOLIDATING STATEMENT OF CASH FLOWS</w:t>
      </w:r>
    </w:p>
    <w:p>
      <w:pPr>
        <w:jc w:val="center"/>
        <w:ind w:right="-199"/>
        <w:spacing w:after="0"/>
        <w:rPr>
          <w:sz w:val="20"/>
          <w:szCs w:val="20"/>
          <w:color w:val="auto"/>
        </w:rPr>
      </w:pPr>
      <w:r>
        <w:rPr>
          <w:rFonts w:ascii="Arial" w:cs="Arial" w:eastAsia="Arial" w:hAnsi="Arial"/>
          <w:sz w:val="14"/>
          <w:szCs w:val="14"/>
          <w:b w:val="1"/>
          <w:bCs w:val="1"/>
          <w:color w:val="auto"/>
        </w:rPr>
        <w:t>FOR THE YEAR ENDED DECEMBER 31, 2017</w:t>
      </w:r>
    </w:p>
    <w:p>
      <w:pPr>
        <w:jc w:val="center"/>
        <w:ind w:right="-199"/>
        <w:spacing w:after="0"/>
        <w:rPr>
          <w:sz w:val="20"/>
          <w:szCs w:val="20"/>
          <w:color w:val="auto"/>
        </w:rPr>
      </w:pPr>
      <w:r>
        <w:rPr>
          <w:rFonts w:ascii="Arial" w:cs="Arial" w:eastAsia="Arial" w:hAnsi="Arial"/>
          <w:sz w:val="14"/>
          <w:szCs w:val="14"/>
          <w:b w:val="1"/>
          <w:bCs w:val="1"/>
          <w:color w:val="auto"/>
        </w:rPr>
        <w:t>(In thousands)</w:t>
      </w:r>
    </w:p>
    <w:p>
      <w:pPr>
        <w:spacing w:after="0" w:line="195" w:lineRule="exact"/>
        <w:rPr>
          <w:sz w:val="20"/>
          <w:szCs w:val="20"/>
          <w:color w:val="auto"/>
        </w:rPr>
      </w:pPr>
    </w:p>
    <w:tbl>
      <w:tblPr>
        <w:tblLayout w:type="fixed"/>
        <w:tblInd w:w="4320" w:type="dxa"/>
        <w:tblCellMar>
          <w:top w:w="0" w:type="dxa"/>
          <w:left w:w="0" w:type="dxa"/>
          <w:bottom w:w="0" w:type="dxa"/>
          <w:right w:w="0" w:type="dxa"/>
        </w:tblCellMar>
      </w:tblPr>
      <w:tr>
        <w:trPr>
          <w:trHeight w:val="161"/>
        </w:trPr>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Subsidiary</w:t>
            </w:r>
          </w:p>
        </w:tc>
        <w:tc>
          <w:tcPr>
            <w:tcW w:w="13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Non-Guarantor</w:t>
            </w:r>
          </w:p>
        </w:tc>
        <w:tc>
          <w:tcPr>
            <w:tcW w:w="134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6"/>
              </w:rPr>
              <w:t>GLDD Corporation</w:t>
            </w:r>
          </w:p>
        </w:tc>
        <w:tc>
          <w:tcPr>
            <w:tcW w:w="100" w:type="dxa"/>
            <w:vAlign w:val="bottom"/>
            <w:vMerge w:val="restart"/>
          </w:tcPr>
          <w:p>
            <w:pPr>
              <w:spacing w:after="0"/>
              <w:rPr>
                <w:sz w:val="14"/>
                <w:szCs w:val="14"/>
                <w:color w:val="auto"/>
              </w:rPr>
            </w:pPr>
          </w:p>
        </w:tc>
        <w:tc>
          <w:tcPr>
            <w:tcW w:w="12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Eliminations</w:t>
            </w:r>
          </w:p>
        </w:tc>
        <w:tc>
          <w:tcPr>
            <w:tcW w:w="220" w:type="dxa"/>
            <w:vAlign w:val="bottom"/>
            <w:vMerge w:val="restart"/>
          </w:tcPr>
          <w:p>
            <w:pPr>
              <w:spacing w:after="0"/>
              <w:rPr>
                <w:sz w:val="14"/>
                <w:szCs w:val="14"/>
                <w:color w:val="auto"/>
              </w:rPr>
            </w:pPr>
          </w:p>
        </w:tc>
        <w:tc>
          <w:tcPr>
            <w:tcW w:w="1220" w:type="dxa"/>
            <w:vAlign w:val="bottom"/>
            <w:vMerge w:val="restart"/>
          </w:tcPr>
          <w:p>
            <w:pPr>
              <w:spacing w:after="0"/>
              <w:rPr>
                <w:sz w:val="20"/>
                <w:szCs w:val="20"/>
                <w:color w:val="auto"/>
              </w:rPr>
            </w:pPr>
            <w:r>
              <w:rPr>
                <w:rFonts w:ascii="Arial" w:cs="Arial" w:eastAsia="Arial" w:hAnsi="Arial"/>
                <w:sz w:val="14"/>
                <w:szCs w:val="14"/>
                <w:b w:val="1"/>
                <w:bCs w:val="1"/>
                <w:color w:val="auto"/>
                <w:w w:val="89"/>
              </w:rPr>
              <w:t>Consolidated Totals</w:t>
            </w:r>
          </w:p>
        </w:tc>
        <w:tc>
          <w:tcPr>
            <w:tcW w:w="0" w:type="dxa"/>
            <w:vAlign w:val="bottom"/>
          </w:tcPr>
          <w:p>
            <w:pPr>
              <w:spacing w:after="0"/>
              <w:rPr>
                <w:sz w:val="1"/>
                <w:szCs w:val="1"/>
                <w:color w:val="auto"/>
              </w:rPr>
            </w:pPr>
          </w:p>
        </w:tc>
      </w:tr>
      <w:tr>
        <w:trPr>
          <w:trHeight w:val="169"/>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Guarantors</w:t>
            </w:r>
          </w:p>
        </w:tc>
        <w:tc>
          <w:tcPr>
            <w:tcW w:w="120" w:type="dxa"/>
            <w:vAlign w:val="bottom"/>
          </w:tcPr>
          <w:p>
            <w:pPr>
              <w:spacing w:after="0"/>
              <w:rPr>
                <w:sz w:val="14"/>
                <w:szCs w:val="14"/>
                <w:color w:val="auto"/>
              </w:rPr>
            </w:pPr>
          </w:p>
        </w:tc>
        <w:tc>
          <w:tcPr>
            <w:tcW w:w="1280" w:type="dxa"/>
            <w:vAlign w:val="bottom"/>
            <w:tcBorders>
              <w:bottom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sectPr>
          <w:pgSz w:w="11900" w:h="16838" w:orient="portrait"/>
          <w:cols w:equalWidth="0" w:num="1">
            <w:col w:w="11200"/>
          </w:cols>
          <w:pgMar w:left="240" w:top="130" w:right="459" w:bottom="1440" w:gutter="0" w:footer="0" w:header="0"/>
        </w:sectPr>
      </w:pPr>
    </w:p>
    <w:p>
      <w:pPr>
        <w:spacing w:after="0"/>
        <w:rPr>
          <w:sz w:val="20"/>
          <w:szCs w:val="20"/>
          <w:color w:val="auto"/>
        </w:rPr>
      </w:pPr>
      <w:r>
        <w:rPr>
          <w:rFonts w:ascii="Arial" w:cs="Arial" w:eastAsia="Arial" w:hAnsi="Arial"/>
          <w:sz w:val="16"/>
          <w:szCs w:val="16"/>
          <w:color w:val="auto"/>
        </w:rPr>
        <w:t>OPERATING ACTIVITIES:</w:t>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cash flows provided by operating activities of</w:t>
      </w:r>
    </w:p>
    <w:p>
      <w:pPr>
        <w:spacing w:after="0" w:line="21" w:lineRule="exact"/>
        <w:rPr>
          <w:sz w:val="20"/>
          <w:szCs w:val="20"/>
          <w:color w:val="auto"/>
        </w:rPr>
      </w:pPr>
    </w:p>
    <w:p>
      <w:pPr>
        <w:ind w:left="380"/>
        <w:spacing w:after="0" w:line="293" w:lineRule="auto"/>
        <w:rPr>
          <w:sz w:val="20"/>
          <w:szCs w:val="20"/>
          <w:color w:val="auto"/>
        </w:rPr>
      </w:pPr>
      <w:r>
        <w:rPr>
          <w:rFonts w:ascii="Arial" w:cs="Arial" w:eastAsia="Arial" w:hAnsi="Arial"/>
          <w:sz w:val="16"/>
          <w:szCs w:val="16"/>
          <w:color w:val="auto"/>
        </w:rPr>
        <w:t>continuing operations $ Net cash flows used in operating activities of discontinued operations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Cash provided by (used in) operating activities</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INVESTING ACTIVITIES:</w:t>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Purchases of property and equipment</w:t>
      </w:r>
    </w:p>
    <w:p>
      <w:pPr>
        <w:spacing w:after="0" w:line="43" w:lineRule="exact"/>
        <w:rPr>
          <w:sz w:val="20"/>
          <w:szCs w:val="20"/>
          <w:color w:val="auto"/>
        </w:rPr>
      </w:pPr>
    </w:p>
    <w:p>
      <w:pPr>
        <w:ind w:left="380" w:right="560"/>
        <w:spacing w:after="0" w:line="295" w:lineRule="auto"/>
        <w:rPr>
          <w:sz w:val="20"/>
          <w:szCs w:val="20"/>
          <w:color w:val="auto"/>
        </w:rPr>
      </w:pPr>
      <w:r>
        <w:rPr>
          <w:rFonts w:ascii="Arial" w:cs="Arial" w:eastAsia="Arial" w:hAnsi="Arial"/>
          <w:sz w:val="16"/>
          <w:szCs w:val="16"/>
          <w:color w:val="auto"/>
        </w:rPr>
        <w:t>Proceeds from dispositions of property and equipment Changes in restricted cash</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change in accounts with affiliates</w:t>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Transfer to parent</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Cash used in investing activities</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FINANCING ACTIVITIES:</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Proceeds from issuance of debt</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Repayments of debt</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7 3/8% senior notes tender premium</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Deferred financing fees</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Taxes paid on settlement of vested share awards</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Net change in accounts with affiliates</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Transfer to parent</w:t>
      </w:r>
    </w:p>
    <w:p>
      <w:pPr>
        <w:spacing w:after="0" w:line="43" w:lineRule="exact"/>
        <w:rPr>
          <w:sz w:val="20"/>
          <w:szCs w:val="20"/>
          <w:color w:val="auto"/>
        </w:rPr>
      </w:pPr>
    </w:p>
    <w:p>
      <w:pPr>
        <w:ind w:left="260" w:right="200"/>
        <w:spacing w:after="0" w:line="269" w:lineRule="auto"/>
        <w:rPr>
          <w:sz w:val="20"/>
          <w:szCs w:val="20"/>
          <w:color w:val="auto"/>
        </w:rPr>
      </w:pPr>
      <w:r>
        <w:rPr>
          <w:rFonts w:ascii="Arial" w:cs="Arial" w:eastAsia="Arial" w:hAnsi="Arial"/>
          <w:sz w:val="16"/>
          <w:szCs w:val="16"/>
          <w:color w:val="auto"/>
        </w:rPr>
        <w:t>Exercise of stock options and purchases from employee stock plans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Borrowings under revolving loans</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Repayments of revolving loans</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Cash provided by (used in) financing activities</w:t>
      </w:r>
    </w:p>
    <w:p>
      <w:pPr>
        <w:spacing w:after="0" w:line="269" w:lineRule="exact"/>
        <w:rPr>
          <w:sz w:val="20"/>
          <w:szCs w:val="20"/>
          <w:color w:val="auto"/>
        </w:rPr>
      </w:pPr>
    </w:p>
    <w:p>
      <w:pPr>
        <w:ind w:left="260" w:right="380"/>
        <w:spacing w:after="0" w:line="287" w:lineRule="auto"/>
        <w:rPr>
          <w:sz w:val="20"/>
          <w:szCs w:val="20"/>
          <w:color w:val="auto"/>
        </w:rPr>
      </w:pPr>
      <w:r>
        <w:rPr>
          <w:rFonts w:ascii="Arial" w:cs="Arial" w:eastAsia="Arial" w:hAnsi="Arial"/>
          <w:sz w:val="16"/>
          <w:szCs w:val="16"/>
          <w:color w:val="auto"/>
        </w:rPr>
        <w:t>Effect of foreign currency exchange rates on cash and cash equivalents</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Net increase (decrease) in cash and cash equivalents</w:t>
      </w:r>
    </w:p>
    <w:p>
      <w:pPr>
        <w:spacing w:after="0" w:line="26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Cash and cash equivalents at beginning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640" w:type="dxa"/>
            <w:vAlign w:val="bottom"/>
          </w:tcPr>
          <w:p>
            <w:pPr>
              <w:jc w:val="right"/>
              <w:ind w:right="60"/>
              <w:spacing w:after="0"/>
              <w:rPr>
                <w:sz w:val="20"/>
                <w:szCs w:val="20"/>
                <w:color w:val="auto"/>
              </w:rPr>
            </w:pPr>
            <w:r>
              <w:rPr>
                <w:rFonts w:ascii="Arial" w:cs="Arial" w:eastAsia="Arial" w:hAnsi="Arial"/>
                <w:sz w:val="16"/>
                <w:szCs w:val="16"/>
                <w:color w:val="auto"/>
                <w:w w:val="98"/>
              </w:rPr>
              <w:t>64,610</w:t>
            </w:r>
          </w:p>
        </w:tc>
        <w:tc>
          <w:tcPr>
            <w:tcW w:w="5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4,910</w:t>
            </w:r>
          </w:p>
        </w:tc>
        <w:tc>
          <w:tcPr>
            <w:tcW w:w="120" w:type="dxa"/>
            <w:vAlign w:val="bottom"/>
          </w:tcPr>
          <w:p>
            <w:pPr>
              <w:spacing w:after="0"/>
              <w:rPr>
                <w:sz w:val="17"/>
                <w:szCs w:val="17"/>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(27,102)</w:t>
            </w:r>
          </w:p>
        </w:tc>
        <w:tc>
          <w:tcPr>
            <w:tcW w:w="4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80" w:type="dxa"/>
            <w:vAlign w:val="bottom"/>
            <w:gridSpan w:val="3"/>
          </w:tcPr>
          <w:p>
            <w:pPr>
              <w:ind w:left="620"/>
              <w:spacing w:after="0"/>
              <w:rPr>
                <w:sz w:val="20"/>
                <w:szCs w:val="20"/>
                <w:color w:val="auto"/>
              </w:rPr>
            </w:pPr>
            <w:r>
              <w:rPr>
                <w:rFonts w:ascii="Arial" w:cs="Arial" w:eastAsia="Arial" w:hAnsi="Arial"/>
                <w:sz w:val="16"/>
                <w:szCs w:val="16"/>
                <w:color w:val="auto"/>
              </w:rPr>
              <w:t>—   $</w:t>
            </w:r>
          </w:p>
        </w:tc>
        <w:tc>
          <w:tcPr>
            <w:tcW w:w="860" w:type="dxa"/>
            <w:vAlign w:val="bottom"/>
          </w:tcPr>
          <w:p>
            <w:pPr>
              <w:jc w:val="right"/>
              <w:spacing w:after="0"/>
              <w:rPr>
                <w:sz w:val="20"/>
                <w:szCs w:val="20"/>
                <w:color w:val="auto"/>
              </w:rPr>
            </w:pPr>
            <w:r>
              <w:rPr>
                <w:rFonts w:ascii="Arial" w:cs="Arial" w:eastAsia="Arial" w:hAnsi="Arial"/>
                <w:sz w:val="16"/>
                <w:szCs w:val="16"/>
                <w:color w:val="auto"/>
              </w:rPr>
              <w:t>42,418</w:t>
            </w:r>
          </w:p>
        </w:tc>
        <w:tc>
          <w:tcPr>
            <w:tcW w:w="60" w:type="dxa"/>
            <w:vAlign w:val="bottom"/>
          </w:tcPr>
          <w:p>
            <w:pPr>
              <w:spacing w:after="0"/>
              <w:rPr>
                <w:sz w:val="17"/>
                <w:szCs w:val="17"/>
                <w:color w:val="auto"/>
              </w:rPr>
            </w:pPr>
          </w:p>
        </w:tc>
      </w:tr>
      <w:tr>
        <w:trPr>
          <w:trHeight w:val="416"/>
        </w:trPr>
        <w:tc>
          <w:tcPr>
            <w:tcW w:w="640" w:type="dxa"/>
            <w:vAlign w:val="bottom"/>
          </w:tcPr>
          <w:p>
            <w:pPr>
              <w:jc w:val="right"/>
              <w:spacing w:after="0"/>
              <w:rPr>
                <w:sz w:val="20"/>
                <w:szCs w:val="20"/>
                <w:color w:val="auto"/>
              </w:rPr>
            </w:pPr>
            <w:r>
              <w:rPr>
                <w:rFonts w:ascii="Arial" w:cs="Arial" w:eastAsia="Arial" w:hAnsi="Arial"/>
                <w:sz w:val="16"/>
                <w:szCs w:val="16"/>
                <w:color w:val="auto"/>
                <w:w w:val="90"/>
              </w:rPr>
              <w:t>(20,900)</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(20,900)</w:t>
            </w:r>
          </w:p>
        </w:tc>
      </w:tr>
      <w:tr>
        <w:trPr>
          <w:trHeight w:val="20"/>
        </w:trPr>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7"/>
        </w:trPr>
        <w:tc>
          <w:tcPr>
            <w:tcW w:w="640" w:type="dxa"/>
            <w:vAlign w:val="bottom"/>
          </w:tcPr>
          <w:p>
            <w:pPr>
              <w:jc w:val="right"/>
              <w:ind w:right="60"/>
              <w:spacing w:after="0"/>
              <w:rPr>
                <w:sz w:val="20"/>
                <w:szCs w:val="20"/>
                <w:color w:val="auto"/>
              </w:rPr>
            </w:pPr>
            <w:r>
              <w:rPr>
                <w:rFonts w:ascii="Arial" w:cs="Arial" w:eastAsia="Arial" w:hAnsi="Arial"/>
                <w:sz w:val="16"/>
                <w:szCs w:val="16"/>
                <w:color w:val="auto"/>
                <w:w w:val="98"/>
              </w:rPr>
              <w:t>43,710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(27,102)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21,518</w:t>
            </w:r>
          </w:p>
        </w:tc>
        <w:tc>
          <w:tcPr>
            <w:tcW w:w="60" w:type="dxa"/>
            <w:vAlign w:val="bottom"/>
          </w:tcPr>
          <w:p>
            <w:pPr>
              <w:spacing w:after="0"/>
              <w:rPr>
                <w:sz w:val="18"/>
                <w:szCs w:val="18"/>
                <w:color w:val="auto"/>
              </w:rPr>
            </w:pPr>
          </w:p>
        </w:tc>
      </w:tr>
      <w:tr>
        <w:trPr>
          <w:trHeight w:val="680"/>
        </w:trPr>
        <w:tc>
          <w:tcPr>
            <w:tcW w:w="640" w:type="dxa"/>
            <w:vAlign w:val="bottom"/>
          </w:tcPr>
          <w:p>
            <w:pPr>
              <w:jc w:val="right"/>
              <w:spacing w:after="0"/>
              <w:rPr>
                <w:sz w:val="20"/>
                <w:szCs w:val="20"/>
                <w:color w:val="auto"/>
              </w:rPr>
            </w:pPr>
            <w:r>
              <w:rPr>
                <w:rFonts w:ascii="Arial" w:cs="Arial" w:eastAsia="Arial" w:hAnsi="Arial"/>
                <w:sz w:val="16"/>
                <w:szCs w:val="16"/>
                <w:color w:val="auto"/>
                <w:w w:val="90"/>
              </w:rPr>
              <w:t>(75,940)</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7,711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(68,229)</w:t>
            </w:r>
          </w:p>
        </w:tc>
      </w:tr>
      <w:tr>
        <w:trPr>
          <w:trHeight w:val="227"/>
        </w:trPr>
        <w:tc>
          <w:tcPr>
            <w:tcW w:w="640" w:type="dxa"/>
            <w:vAlign w:val="bottom"/>
          </w:tcPr>
          <w:p>
            <w:pPr>
              <w:jc w:val="right"/>
              <w:ind w:right="60"/>
              <w:spacing w:after="0"/>
              <w:rPr>
                <w:sz w:val="20"/>
                <w:szCs w:val="20"/>
                <w:color w:val="auto"/>
              </w:rPr>
            </w:pPr>
            <w:r>
              <w:rPr>
                <w:rFonts w:ascii="Arial" w:cs="Arial" w:eastAsia="Arial" w:hAnsi="Arial"/>
                <w:sz w:val="16"/>
                <w:szCs w:val="16"/>
                <w:color w:val="auto"/>
              </w:rPr>
              <w:t>8,620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1,457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10,077</w:t>
            </w:r>
          </w:p>
        </w:tc>
        <w:tc>
          <w:tcPr>
            <w:tcW w:w="60" w:type="dxa"/>
            <w:vAlign w:val="bottom"/>
          </w:tcPr>
          <w:p>
            <w:pPr>
              <w:spacing w:after="0"/>
              <w:rPr>
                <w:sz w:val="19"/>
                <w:szCs w:val="19"/>
                <w:color w:val="auto"/>
              </w:rPr>
            </w:pPr>
          </w:p>
        </w:tc>
      </w:tr>
      <w:tr>
        <w:trPr>
          <w:trHeight w:val="227"/>
        </w:trPr>
        <w:tc>
          <w:tcPr>
            <w:tcW w:w="640" w:type="dxa"/>
            <w:vAlign w:val="bottom"/>
          </w:tcPr>
          <w:p>
            <w:pPr>
              <w:jc w:val="right"/>
              <w:ind w:right="60"/>
              <w:spacing w:after="0"/>
              <w:rPr>
                <w:sz w:val="20"/>
                <w:szCs w:val="20"/>
                <w:color w:val="auto"/>
              </w:rPr>
            </w:pPr>
            <w:r>
              <w:rPr>
                <w:rFonts w:ascii="Arial" w:cs="Arial" w:eastAsia="Arial" w:hAnsi="Arial"/>
                <w:sz w:val="16"/>
                <w:szCs w:val="16"/>
                <w:color w:val="auto"/>
              </w:rPr>
              <w:t>7,035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7,035</w:t>
            </w:r>
          </w:p>
        </w:tc>
        <w:tc>
          <w:tcPr>
            <w:tcW w:w="60" w:type="dxa"/>
            <w:vAlign w:val="bottom"/>
          </w:tcPr>
          <w:p>
            <w:pPr>
              <w:spacing w:after="0"/>
              <w:rPr>
                <w:sz w:val="19"/>
                <w:szCs w:val="19"/>
                <w:color w:val="auto"/>
              </w:rPr>
            </w:pPr>
          </w:p>
        </w:tc>
      </w:tr>
      <w:tr>
        <w:trPr>
          <w:trHeight w:val="227"/>
        </w:trPr>
        <w:tc>
          <w:tcPr>
            <w:tcW w:w="640" w:type="dxa"/>
            <w:vAlign w:val="bottom"/>
          </w:tcPr>
          <w:p>
            <w:pPr>
              <w:jc w:val="right"/>
              <w:ind w:right="60"/>
              <w:spacing w:after="0"/>
              <w:rPr>
                <w:sz w:val="20"/>
                <w:szCs w:val="20"/>
                <w:color w:val="auto"/>
              </w:rPr>
            </w:pPr>
            <w:r>
              <w:rPr>
                <w:rFonts w:ascii="Arial" w:cs="Arial" w:eastAsia="Arial" w:hAnsi="Arial"/>
                <w:sz w:val="16"/>
                <w:szCs w:val="16"/>
                <w:color w:val="auto"/>
              </w:rPr>
              <w:t>3,732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(88,594)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84,862</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29"/>
        </w:trPr>
        <w:tc>
          <w:tcPr>
            <w:tcW w:w="6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(9,615)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81,184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(71,569)</w:t>
            </w:r>
          </w:p>
        </w:tc>
        <w:tc>
          <w:tcPr>
            <w:tcW w:w="3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0"/>
        </w:trPr>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7"/>
        </w:trPr>
        <w:tc>
          <w:tcPr>
            <w:tcW w:w="640" w:type="dxa"/>
            <w:vAlign w:val="bottom"/>
          </w:tcPr>
          <w:p>
            <w:pPr>
              <w:jc w:val="right"/>
              <w:spacing w:after="0"/>
              <w:rPr>
                <w:sz w:val="20"/>
                <w:szCs w:val="20"/>
                <w:color w:val="auto"/>
              </w:rPr>
            </w:pPr>
            <w:r>
              <w:rPr>
                <w:rFonts w:ascii="Arial" w:cs="Arial" w:eastAsia="Arial" w:hAnsi="Arial"/>
                <w:sz w:val="16"/>
                <w:szCs w:val="16"/>
                <w:color w:val="auto"/>
                <w:w w:val="90"/>
              </w:rPr>
              <w:t>(56,553)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(447)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(7,410)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13,293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(51,117)</w:t>
            </w:r>
          </w:p>
        </w:tc>
      </w:tr>
      <w:tr>
        <w:trPr>
          <w:trHeight w:val="680"/>
        </w:trPr>
        <w:tc>
          <w:tcPr>
            <w:tcW w:w="640" w:type="dxa"/>
            <w:vAlign w:val="bottom"/>
          </w:tcPr>
          <w:p>
            <w:pPr>
              <w:jc w:val="right"/>
              <w:ind w:right="60"/>
              <w:spacing w:after="0"/>
              <w:rPr>
                <w:sz w:val="20"/>
                <w:szCs w:val="20"/>
                <w:color w:val="auto"/>
              </w:rPr>
            </w:pPr>
            <w:r>
              <w:rPr>
                <w:rFonts w:ascii="Arial" w:cs="Arial" w:eastAsia="Arial" w:hAnsi="Arial"/>
                <w:sz w:val="16"/>
                <w:szCs w:val="16"/>
                <w:color w:val="auto"/>
              </w:rPr>
              <w:t>1,241</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325,000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326,241</w:t>
            </w:r>
          </w:p>
        </w:tc>
        <w:tc>
          <w:tcPr>
            <w:tcW w:w="60" w:type="dxa"/>
            <w:vAlign w:val="bottom"/>
          </w:tcPr>
          <w:p>
            <w:pPr>
              <w:spacing w:after="0"/>
              <w:rPr>
                <w:sz w:val="24"/>
                <w:szCs w:val="24"/>
                <w:color w:val="auto"/>
              </w:rPr>
            </w:pPr>
          </w:p>
        </w:tc>
      </w:tr>
      <w:tr>
        <w:trPr>
          <w:trHeight w:val="227"/>
        </w:trPr>
        <w:tc>
          <w:tcPr>
            <w:tcW w:w="640" w:type="dxa"/>
            <w:vAlign w:val="bottom"/>
          </w:tcPr>
          <w:p>
            <w:pPr>
              <w:jc w:val="right"/>
              <w:spacing w:after="0"/>
              <w:rPr>
                <w:sz w:val="20"/>
                <w:szCs w:val="20"/>
                <w:color w:val="auto"/>
              </w:rPr>
            </w:pPr>
            <w:r>
              <w:rPr>
                <w:rFonts w:ascii="Arial" w:cs="Arial" w:eastAsia="Arial" w:hAnsi="Arial"/>
                <w:sz w:val="16"/>
                <w:szCs w:val="16"/>
                <w:color w:val="auto"/>
              </w:rPr>
              <w:t>(1,602)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(276,148)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(277,750)</w:t>
            </w:r>
          </w:p>
        </w:tc>
      </w:tr>
      <w:tr>
        <w:trPr>
          <w:trHeight w:val="227"/>
        </w:trPr>
        <w:tc>
          <w:tcPr>
            <w:tcW w:w="6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(744)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(744)</w:t>
            </w:r>
          </w:p>
        </w:tc>
      </w:tr>
      <w:tr>
        <w:trPr>
          <w:trHeight w:val="227"/>
        </w:trPr>
        <w:tc>
          <w:tcPr>
            <w:tcW w:w="6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(5,022)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(5,022)</w:t>
            </w:r>
          </w:p>
        </w:tc>
      </w:tr>
      <w:tr>
        <w:trPr>
          <w:trHeight w:val="227"/>
        </w:trPr>
        <w:tc>
          <w:tcPr>
            <w:tcW w:w="6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(328)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(328)</w:t>
            </w:r>
          </w:p>
        </w:tc>
      </w:tr>
      <w:tr>
        <w:trPr>
          <w:trHeight w:val="227"/>
        </w:trPr>
        <w:tc>
          <w:tcPr>
            <w:tcW w:w="640" w:type="dxa"/>
            <w:vAlign w:val="bottom"/>
          </w:tcPr>
          <w:p>
            <w:pPr>
              <w:jc w:val="right"/>
              <w:ind w:right="60"/>
              <w:spacing w:after="0"/>
              <w:rPr>
                <w:sz w:val="20"/>
                <w:szCs w:val="20"/>
                <w:color w:val="auto"/>
              </w:rPr>
            </w:pPr>
            <w:r>
              <w:rPr>
                <w:rFonts w:ascii="Arial" w:cs="Arial" w:eastAsia="Arial" w:hAnsi="Arial"/>
                <w:sz w:val="16"/>
                <w:szCs w:val="16"/>
                <w:color w:val="auto"/>
                <w:w w:val="98"/>
              </w:rPr>
              <w:t>90,153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(5,291)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(84,862)</w:t>
            </w:r>
          </w:p>
        </w:tc>
        <w:tc>
          <w:tcPr>
            <w:tcW w:w="3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27"/>
        </w:trPr>
        <w:tc>
          <w:tcPr>
            <w:tcW w:w="640" w:type="dxa"/>
            <w:vAlign w:val="bottom"/>
          </w:tcPr>
          <w:p>
            <w:pPr>
              <w:jc w:val="right"/>
              <w:spacing w:after="0"/>
              <w:rPr>
                <w:sz w:val="20"/>
                <w:szCs w:val="20"/>
                <w:color w:val="auto"/>
              </w:rPr>
            </w:pPr>
            <w:r>
              <w:rPr>
                <w:rFonts w:ascii="Arial" w:cs="Arial" w:eastAsia="Arial" w:hAnsi="Arial"/>
                <w:sz w:val="16"/>
                <w:szCs w:val="16"/>
                <w:color w:val="auto"/>
                <w:w w:val="90"/>
              </w:rPr>
              <w:t>(71,569)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71,569</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413"/>
        </w:trPr>
        <w:tc>
          <w:tcPr>
            <w:tcW w:w="6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883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883</w:t>
            </w:r>
          </w:p>
        </w:tc>
        <w:tc>
          <w:tcPr>
            <w:tcW w:w="60" w:type="dxa"/>
            <w:vAlign w:val="bottom"/>
          </w:tcPr>
          <w:p>
            <w:pPr>
              <w:spacing w:after="0"/>
              <w:rPr>
                <w:sz w:val="24"/>
                <w:szCs w:val="24"/>
                <w:color w:val="auto"/>
              </w:rPr>
            </w:pPr>
          </w:p>
        </w:tc>
      </w:tr>
      <w:tr>
        <w:trPr>
          <w:trHeight w:val="227"/>
        </w:trPr>
        <w:tc>
          <w:tcPr>
            <w:tcW w:w="6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124,925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124,925</w:t>
            </w:r>
          </w:p>
        </w:tc>
        <w:tc>
          <w:tcPr>
            <w:tcW w:w="60" w:type="dxa"/>
            <w:vAlign w:val="bottom"/>
          </w:tcPr>
          <w:p>
            <w:pPr>
              <w:spacing w:after="0"/>
              <w:rPr>
                <w:sz w:val="19"/>
                <w:szCs w:val="19"/>
                <w:color w:val="auto"/>
              </w:rPr>
            </w:pPr>
          </w:p>
        </w:tc>
      </w:tr>
      <w:tr>
        <w:trPr>
          <w:trHeight w:val="229"/>
        </w:trPr>
        <w:tc>
          <w:tcPr>
            <w:tcW w:w="6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(134,036)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(134,036)</w:t>
            </w:r>
          </w:p>
        </w:tc>
      </w:tr>
      <w:tr>
        <w:trPr>
          <w:trHeight w:val="20"/>
        </w:trPr>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7"/>
        </w:trPr>
        <w:tc>
          <w:tcPr>
            <w:tcW w:w="640" w:type="dxa"/>
            <w:vAlign w:val="bottom"/>
          </w:tcPr>
          <w:p>
            <w:pPr>
              <w:jc w:val="right"/>
              <w:ind w:right="60"/>
              <w:spacing w:after="0"/>
              <w:rPr>
                <w:sz w:val="20"/>
                <w:szCs w:val="20"/>
                <w:color w:val="auto"/>
              </w:rPr>
            </w:pPr>
            <w:r>
              <w:rPr>
                <w:rFonts w:ascii="Arial" w:cs="Arial" w:eastAsia="Arial" w:hAnsi="Arial"/>
                <w:sz w:val="16"/>
                <w:szCs w:val="16"/>
                <w:color w:val="auto"/>
                <w:w w:val="98"/>
              </w:rPr>
              <w:t>18,223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(5,291)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34,530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(13,293)</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34,169</w:t>
            </w:r>
          </w:p>
        </w:tc>
        <w:tc>
          <w:tcPr>
            <w:tcW w:w="60" w:type="dxa"/>
            <w:vAlign w:val="bottom"/>
          </w:tcPr>
          <w:p>
            <w:pPr>
              <w:spacing w:after="0"/>
              <w:rPr>
                <w:sz w:val="18"/>
                <w:szCs w:val="18"/>
                <w:color w:val="auto"/>
              </w:rPr>
            </w:pPr>
          </w:p>
        </w:tc>
      </w:tr>
      <w:tr>
        <w:trPr>
          <w:trHeight w:val="643"/>
        </w:trPr>
        <w:tc>
          <w:tcPr>
            <w:tcW w:w="6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60" w:type="dxa"/>
            <w:vAlign w:val="bottom"/>
          </w:tcPr>
          <w:p>
            <w:pPr>
              <w:spacing w:after="0"/>
              <w:rPr>
                <w:sz w:val="24"/>
                <w:szCs w:val="24"/>
                <w:color w:val="auto"/>
              </w:rPr>
            </w:pPr>
          </w:p>
        </w:tc>
      </w:tr>
      <w:tr>
        <w:trPr>
          <w:trHeight w:val="444"/>
        </w:trPr>
        <w:tc>
          <w:tcPr>
            <w:tcW w:w="640" w:type="dxa"/>
            <w:vAlign w:val="bottom"/>
          </w:tcPr>
          <w:p>
            <w:pPr>
              <w:jc w:val="right"/>
              <w:ind w:right="60"/>
              <w:spacing w:after="0"/>
              <w:rPr>
                <w:sz w:val="20"/>
                <w:szCs w:val="20"/>
                <w:color w:val="auto"/>
              </w:rPr>
            </w:pPr>
            <w:r>
              <w:rPr>
                <w:rFonts w:ascii="Arial" w:cs="Arial" w:eastAsia="Arial" w:hAnsi="Arial"/>
                <w:sz w:val="16"/>
                <w:szCs w:val="16"/>
                <w:color w:val="auto"/>
              </w:rPr>
              <w:t>5,380</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(713)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4,685</w:t>
            </w:r>
          </w:p>
        </w:tc>
        <w:tc>
          <w:tcPr>
            <w:tcW w:w="60" w:type="dxa"/>
            <w:vAlign w:val="bottom"/>
          </w:tcPr>
          <w:p>
            <w:pPr>
              <w:spacing w:after="0"/>
              <w:rPr>
                <w:sz w:val="24"/>
                <w:szCs w:val="24"/>
                <w:color w:val="auto"/>
              </w:rPr>
            </w:pPr>
          </w:p>
        </w:tc>
      </w:tr>
      <w:tr>
        <w:trPr>
          <w:trHeight w:val="456"/>
        </w:trPr>
        <w:tc>
          <w:tcPr>
            <w:tcW w:w="640" w:type="dxa"/>
            <w:vAlign w:val="bottom"/>
          </w:tcPr>
          <w:p>
            <w:pPr>
              <w:jc w:val="right"/>
              <w:ind w:right="60"/>
              <w:spacing w:after="0"/>
              <w:rPr>
                <w:sz w:val="20"/>
                <w:szCs w:val="20"/>
                <w:color w:val="auto"/>
              </w:rPr>
            </w:pPr>
            <w:r>
              <w:rPr>
                <w:rFonts w:ascii="Arial" w:cs="Arial" w:eastAsia="Arial" w:hAnsi="Arial"/>
                <w:sz w:val="16"/>
                <w:szCs w:val="16"/>
                <w:color w:val="auto"/>
                <w:w w:val="98"/>
              </w:rPr>
              <w:t>10,414</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11,167</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-3157220</wp:posOffset>
            </wp:positionH>
            <wp:positionV relativeFrom="paragraph">
              <wp:posOffset>-4834255</wp:posOffset>
            </wp:positionV>
            <wp:extent cx="7138035" cy="262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8035" cy="262255"/>
                    </a:xfrm>
                    <a:prstGeom prst="rect">
                      <a:avLst/>
                    </a:prstGeom>
                    <a:noFill/>
                  </pic:spPr>
                </pic:pic>
              </a:graphicData>
            </a:graphic>
          </wp:anchor>
        </w:drawing>
        <w:drawing>
          <wp:anchor simplePos="0" relativeHeight="251657728" behindDoc="1" locked="0" layoutInCell="0" allowOverlap="1">
            <wp:simplePos x="0" y="0"/>
            <wp:positionH relativeFrom="column">
              <wp:posOffset>-3157220</wp:posOffset>
            </wp:positionH>
            <wp:positionV relativeFrom="paragraph">
              <wp:posOffset>-4013200</wp:posOffset>
            </wp:positionV>
            <wp:extent cx="7138035" cy="144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8035" cy="144145"/>
                    </a:xfrm>
                    <a:prstGeom prst="rect">
                      <a:avLst/>
                    </a:prstGeom>
                    <a:noFill/>
                  </pic:spPr>
                </pic:pic>
              </a:graphicData>
            </a:graphic>
          </wp:anchor>
        </w:drawing>
        <w:drawing>
          <wp:anchor simplePos="0" relativeHeight="251657728" behindDoc="1" locked="0" layoutInCell="0" allowOverlap="1">
            <wp:simplePos x="0" y="0"/>
            <wp:positionH relativeFrom="column">
              <wp:posOffset>-3157220</wp:posOffset>
            </wp:positionH>
            <wp:positionV relativeFrom="paragraph">
              <wp:posOffset>-3724910</wp:posOffset>
            </wp:positionV>
            <wp:extent cx="7138035" cy="144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8035" cy="144145"/>
                    </a:xfrm>
                    <a:prstGeom prst="rect">
                      <a:avLst/>
                    </a:prstGeom>
                    <a:noFill/>
                  </pic:spPr>
                </pic:pic>
              </a:graphicData>
            </a:graphic>
          </wp:anchor>
        </w:drawing>
        <w:drawing>
          <wp:anchor simplePos="0" relativeHeight="251657728" behindDoc="1" locked="0" layoutInCell="0" allowOverlap="1">
            <wp:simplePos x="0" y="0"/>
            <wp:positionH relativeFrom="column">
              <wp:posOffset>-3157220</wp:posOffset>
            </wp:positionH>
            <wp:positionV relativeFrom="paragraph">
              <wp:posOffset>-3437255</wp:posOffset>
            </wp:positionV>
            <wp:extent cx="7138035" cy="144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8035" cy="144145"/>
                    </a:xfrm>
                    <a:prstGeom prst="rect">
                      <a:avLst/>
                    </a:prstGeom>
                    <a:noFill/>
                  </pic:spPr>
                </pic:pic>
              </a:graphicData>
            </a:graphic>
          </wp:anchor>
        </w:drawing>
        <w:drawing>
          <wp:anchor simplePos="0" relativeHeight="251657728" behindDoc="1" locked="0" layoutInCell="0" allowOverlap="1">
            <wp:simplePos x="0" y="0"/>
            <wp:positionH relativeFrom="column">
              <wp:posOffset>-3157220</wp:posOffset>
            </wp:positionH>
            <wp:positionV relativeFrom="paragraph">
              <wp:posOffset>-2853055</wp:posOffset>
            </wp:positionV>
            <wp:extent cx="7138035" cy="144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8035" cy="144145"/>
                    </a:xfrm>
                    <a:prstGeom prst="rect">
                      <a:avLst/>
                    </a:prstGeom>
                    <a:noFill/>
                  </pic:spPr>
                </pic:pic>
              </a:graphicData>
            </a:graphic>
          </wp:anchor>
        </w:drawing>
        <w:drawing>
          <wp:anchor simplePos="0" relativeHeight="251657728" behindDoc="1" locked="0" layoutInCell="0" allowOverlap="1">
            <wp:simplePos x="0" y="0"/>
            <wp:positionH relativeFrom="column">
              <wp:posOffset>-3157220</wp:posOffset>
            </wp:positionH>
            <wp:positionV relativeFrom="paragraph">
              <wp:posOffset>-2564765</wp:posOffset>
            </wp:positionV>
            <wp:extent cx="7138035" cy="144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8035" cy="144145"/>
                    </a:xfrm>
                    <a:prstGeom prst="rect">
                      <a:avLst/>
                    </a:prstGeom>
                    <a:noFill/>
                  </pic:spPr>
                </pic:pic>
              </a:graphicData>
            </a:graphic>
          </wp:anchor>
        </w:drawing>
        <w:drawing>
          <wp:anchor simplePos="0" relativeHeight="251657728" behindDoc="1" locked="0" layoutInCell="0" allowOverlap="1">
            <wp:simplePos x="0" y="0"/>
            <wp:positionH relativeFrom="column">
              <wp:posOffset>-3157220</wp:posOffset>
            </wp:positionH>
            <wp:positionV relativeFrom="paragraph">
              <wp:posOffset>-2277110</wp:posOffset>
            </wp:positionV>
            <wp:extent cx="7138035" cy="144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8035" cy="144145"/>
                    </a:xfrm>
                    <a:prstGeom prst="rect">
                      <a:avLst/>
                    </a:prstGeom>
                    <a:noFill/>
                  </pic:spPr>
                </pic:pic>
              </a:graphicData>
            </a:graphic>
          </wp:anchor>
        </w:drawing>
        <w:drawing>
          <wp:anchor simplePos="0" relativeHeight="251657728" behindDoc="1" locked="0" layoutInCell="0" allowOverlap="1">
            <wp:simplePos x="0" y="0"/>
            <wp:positionH relativeFrom="column">
              <wp:posOffset>-3157220</wp:posOffset>
            </wp:positionH>
            <wp:positionV relativeFrom="paragraph">
              <wp:posOffset>-1989455</wp:posOffset>
            </wp:positionV>
            <wp:extent cx="7138035" cy="144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8035" cy="144145"/>
                    </a:xfrm>
                    <a:prstGeom prst="rect">
                      <a:avLst/>
                    </a:prstGeom>
                    <a:noFill/>
                  </pic:spPr>
                </pic:pic>
              </a:graphicData>
            </a:graphic>
          </wp:anchor>
        </w:drawing>
        <w:drawing>
          <wp:anchor simplePos="0" relativeHeight="251657728" behindDoc="1" locked="0" layoutInCell="0" allowOverlap="1">
            <wp:simplePos x="0" y="0"/>
            <wp:positionH relativeFrom="column">
              <wp:posOffset>-3157220</wp:posOffset>
            </wp:positionH>
            <wp:positionV relativeFrom="paragraph">
              <wp:posOffset>-1701165</wp:posOffset>
            </wp:positionV>
            <wp:extent cx="7138035" cy="262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8035" cy="262255"/>
                    </a:xfrm>
                    <a:prstGeom prst="rect">
                      <a:avLst/>
                    </a:prstGeom>
                    <a:noFill/>
                  </pic:spPr>
                </pic:pic>
              </a:graphicData>
            </a:graphic>
          </wp:anchor>
        </w:drawing>
        <w:drawing>
          <wp:anchor simplePos="0" relativeHeight="251657728" behindDoc="1" locked="0" layoutInCell="0" allowOverlap="1">
            <wp:simplePos x="0" y="0"/>
            <wp:positionH relativeFrom="column">
              <wp:posOffset>-3157220</wp:posOffset>
            </wp:positionH>
            <wp:positionV relativeFrom="paragraph">
              <wp:posOffset>-1294765</wp:posOffset>
            </wp:positionV>
            <wp:extent cx="7138035" cy="1439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8035" cy="1439545"/>
                    </a:xfrm>
                    <a:prstGeom prst="rect">
                      <a:avLst/>
                    </a:prstGeom>
                    <a:noFill/>
                  </pic:spPr>
                </pic:pic>
              </a:graphicData>
            </a:graphic>
          </wp:anchor>
        </w:drawing>
        <w:drawing>
          <wp:anchor simplePos="0" relativeHeight="251657728" behindDoc="1" locked="0" layoutInCell="0" allowOverlap="1">
            <wp:simplePos x="0" y="0"/>
            <wp:positionH relativeFrom="column">
              <wp:posOffset>-3157220</wp:posOffset>
            </wp:positionH>
            <wp:positionV relativeFrom="paragraph">
              <wp:posOffset>-3149600</wp:posOffset>
            </wp:positionV>
            <wp:extent cx="7138035" cy="152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8035" cy="152400"/>
                    </a:xfrm>
                    <a:prstGeom prst="rect">
                      <a:avLst/>
                    </a:prstGeom>
                    <a:noFill/>
                  </pic:spPr>
                </pic:pic>
              </a:graphicData>
            </a:graphic>
          </wp:anchor>
        </w:drawing>
        <w:drawing>
          <wp:anchor simplePos="0" relativeHeight="251657728" behindDoc="1" locked="0" layoutInCell="0" allowOverlap="1">
            <wp:simplePos x="0" y="0"/>
            <wp:positionH relativeFrom="column">
              <wp:posOffset>-3157220</wp:posOffset>
            </wp:positionH>
            <wp:positionV relativeFrom="paragraph">
              <wp:posOffset>-4309110</wp:posOffset>
            </wp:positionV>
            <wp:extent cx="7138035" cy="152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8035" cy="152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00" w:space="580"/>
            <w:col w:w="6220"/>
          </w:cols>
          <w:pgMar w:left="240" w:top="130" w:right="459" w:bottom="1440" w:gutter="0" w:footer="0" w:header="0"/>
          <w:type w:val="continuous"/>
        </w:sectPr>
      </w:pPr>
    </w:p>
    <w:p>
      <w:pPr>
        <w:spacing w:after="0" w:line="30" w:lineRule="exact"/>
        <w:rPr>
          <w:sz w:val="20"/>
          <w:szCs w:val="20"/>
          <w:color w:val="auto"/>
        </w:rPr>
      </w:pPr>
    </w:p>
    <w:p>
      <w:pPr>
        <w:ind w:left="260"/>
        <w:spacing w:after="0"/>
        <w:tabs>
          <w:tab w:leader="none" w:pos="4300" w:val="left"/>
          <w:tab w:leader="none" w:pos="5020" w:val="left"/>
          <w:tab w:leader="none" w:pos="5680" w:val="left"/>
          <w:tab w:leader="none" w:pos="6680" w:val="left"/>
          <w:tab w:leader="none" w:pos="7060" w:val="left"/>
          <w:tab w:leader="none" w:pos="8120" w:val="left"/>
          <w:tab w:leader="none" w:pos="8500" w:val="left"/>
          <w:tab w:leader="none" w:pos="9500" w:val="left"/>
          <w:tab w:leader="none" w:pos="9900" w:val="left"/>
          <w:tab w:leader="none" w:pos="10660" w:val="left"/>
        </w:tabs>
        <w:rPr>
          <w:sz w:val="20"/>
          <w:szCs w:val="20"/>
          <w:color w:val="auto"/>
        </w:rPr>
      </w:pPr>
      <w:r>
        <w:rPr>
          <w:rFonts w:ascii="Arial" w:cs="Arial" w:eastAsia="Arial" w:hAnsi="Arial"/>
          <w:sz w:val="16"/>
          <w:szCs w:val="16"/>
          <w:color w:val="auto"/>
        </w:rPr>
        <w:t>Cash and cash equivalents at end of period</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15,794</w:t>
        <w:tab/>
        <w:t>$</w:t>
      </w:r>
      <w:r>
        <w:rPr>
          <w:sz w:val="20"/>
          <w:szCs w:val="20"/>
          <w:color w:val="auto"/>
        </w:rPr>
        <w:tab/>
      </w:r>
      <w:r>
        <w:rPr>
          <w:rFonts w:ascii="Arial" w:cs="Arial" w:eastAsia="Arial" w:hAnsi="Arial"/>
          <w:sz w:val="16"/>
          <w:szCs w:val="16"/>
          <w:color w:val="auto"/>
        </w:rPr>
        <w:t>38</w:t>
        <w:tab/>
        <w:t>$</w:t>
      </w:r>
      <w:r>
        <w:rPr>
          <w:sz w:val="20"/>
          <w:szCs w:val="20"/>
          <w:color w:val="auto"/>
        </w:rPr>
        <w:tab/>
      </w:r>
      <w:r>
        <w:rPr>
          <w:rFonts w:ascii="Arial" w:cs="Arial" w:eastAsia="Arial" w:hAnsi="Arial"/>
          <w:sz w:val="16"/>
          <w:szCs w:val="16"/>
          <w:color w:val="auto"/>
        </w:rPr>
        <w:t>20</w:t>
        <w:tab/>
        <w:t>$</w:t>
      </w:r>
      <w:r>
        <w:rPr>
          <w:sz w:val="20"/>
          <w:szCs w:val="20"/>
          <w:color w:val="auto"/>
        </w:rPr>
        <w:tab/>
      </w:r>
      <w:r>
        <w:rPr>
          <w:rFonts w:ascii="Arial" w:cs="Arial" w:eastAsia="Arial" w:hAnsi="Arial"/>
          <w:sz w:val="16"/>
          <w:szCs w:val="16"/>
          <w:color w:val="auto"/>
        </w:rPr>
        <w:t>—</w:t>
        <w:tab/>
        <w:t>$</w:t>
      </w:r>
      <w:r>
        <w:rPr>
          <w:sz w:val="20"/>
          <w:szCs w:val="20"/>
          <w:color w:val="auto"/>
        </w:rPr>
        <w:tab/>
      </w:r>
      <w:r>
        <w:rPr>
          <w:rFonts w:ascii="Arial" w:cs="Arial" w:eastAsia="Arial" w:hAnsi="Arial"/>
          <w:sz w:val="14"/>
          <w:szCs w:val="14"/>
          <w:color w:val="auto"/>
        </w:rPr>
        <w:t>15,852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2747645</wp:posOffset>
            </wp:positionH>
            <wp:positionV relativeFrom="paragraph">
              <wp:posOffset>16510</wp:posOffset>
            </wp:positionV>
            <wp:extent cx="432689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326890" cy="25400"/>
                    </a:xfrm>
                    <a:prstGeom prst="rect">
                      <a:avLst/>
                    </a:prstGeom>
                    <a:noFill/>
                  </pic:spPr>
                </pic:pic>
              </a:graphicData>
            </a:graphic>
          </wp:anchor>
        </w:drawing>
      </w:r>
    </w:p>
    <w:p>
      <w:pPr>
        <w:spacing w:after="0" w:line="24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200"/>
          </w:cols>
          <w:pgMar w:left="240" w:top="130" w:right="459" w:bottom="1440" w:gutter="0" w:footer="0" w:header="0"/>
          <w:type w:val="continuous"/>
        </w:sectPr>
      </w:pPr>
    </w:p>
    <w:bookmarkStart w:id="96" w:name="page97"/>
    <w:bookmarkEnd w:id="96"/>
    <w:p>
      <w:pPr>
        <w:jc w:val="center"/>
        <w:ind w:right="-219"/>
        <w:spacing w:after="0"/>
        <w:rPr>
          <w:sz w:val="20"/>
          <w:szCs w:val="20"/>
          <w:color w:val="auto"/>
        </w:rPr>
      </w:pPr>
      <w:r>
        <w:rPr>
          <w:rFonts w:ascii="Arial" w:cs="Arial" w:eastAsia="Arial" w:hAnsi="Arial"/>
          <w:sz w:val="17"/>
          <w:szCs w:val="17"/>
          <w:b w:val="1"/>
          <w:bCs w:val="1"/>
          <w:color w:val="auto"/>
        </w:rPr>
        <w:t>GREAT LAKES DREDGE &amp; DOCK CORPORATION AND SUBSIDIARIES</w:t>
      </w:r>
    </w:p>
    <w:p>
      <w:pPr>
        <w:spacing w:after="0" w:line="35"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CONDENSED CONSOLIDATING STATEMENT OF CASH FLOWS</w:t>
      </w:r>
    </w:p>
    <w:p>
      <w:pPr>
        <w:spacing w:after="0" w:line="6"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FOR THE YEAR ENDED DECEMBER 31, 2016</w:t>
      </w:r>
    </w:p>
    <w:tbl>
      <w:tblPr>
        <w:tblLayout w:type="fixed"/>
        <w:tblInd w:w="4320" w:type="dxa"/>
        <w:tblCellMar>
          <w:top w:w="0" w:type="dxa"/>
          <w:left w:w="0" w:type="dxa"/>
          <w:bottom w:w="0" w:type="dxa"/>
          <w:right w:w="0" w:type="dxa"/>
        </w:tblCellMar>
      </w:tblPr>
      <w:tr>
        <w:trPr>
          <w:trHeight w:val="185"/>
        </w:trPr>
        <w:tc>
          <w:tcPr>
            <w:tcW w:w="940" w:type="dxa"/>
            <w:vAlign w:val="bottom"/>
          </w:tcPr>
          <w:p>
            <w:pPr>
              <w:spacing w:after="0"/>
              <w:rPr>
                <w:sz w:val="16"/>
                <w:szCs w:val="16"/>
                <w:color w:val="auto"/>
              </w:rPr>
            </w:pPr>
          </w:p>
        </w:tc>
        <w:tc>
          <w:tcPr>
            <w:tcW w:w="172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3"/>
        </w:trPr>
        <w:tc>
          <w:tcPr>
            <w:tcW w:w="940" w:type="dxa"/>
            <w:vAlign w:val="bottom"/>
          </w:tcPr>
          <w:p>
            <w:pPr>
              <w:jc w:val="center"/>
              <w:ind w:left="149"/>
              <w:spacing w:after="0"/>
              <w:rPr>
                <w:sz w:val="20"/>
                <w:szCs w:val="20"/>
                <w:color w:val="auto"/>
              </w:rPr>
            </w:pPr>
            <w:r>
              <w:rPr>
                <w:rFonts w:ascii="Arial" w:cs="Arial" w:eastAsia="Arial" w:hAnsi="Arial"/>
                <w:sz w:val="14"/>
                <w:szCs w:val="14"/>
                <w:b w:val="1"/>
                <w:bCs w:val="1"/>
                <w:color w:val="auto"/>
                <w:w w:val="89"/>
              </w:rPr>
              <w:t>Subsidiary</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Non-Guarantor</w:t>
            </w:r>
          </w:p>
        </w:tc>
        <w:tc>
          <w:tcPr>
            <w:tcW w:w="134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6"/>
              </w:rPr>
              <w:t>GLDD Corporation</w:t>
            </w:r>
          </w:p>
        </w:tc>
        <w:tc>
          <w:tcPr>
            <w:tcW w:w="100" w:type="dxa"/>
            <w:vAlign w:val="bottom"/>
            <w:vMerge w:val="restart"/>
          </w:tcPr>
          <w:p>
            <w:pPr>
              <w:spacing w:after="0"/>
              <w:rPr>
                <w:sz w:val="24"/>
                <w:szCs w:val="24"/>
                <w:color w:val="auto"/>
              </w:rPr>
            </w:pPr>
          </w:p>
        </w:tc>
        <w:tc>
          <w:tcPr>
            <w:tcW w:w="12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Eliminations</w:t>
            </w:r>
          </w:p>
        </w:tc>
        <w:tc>
          <w:tcPr>
            <w:tcW w:w="220" w:type="dxa"/>
            <w:vAlign w:val="bottom"/>
            <w:vMerge w:val="restart"/>
          </w:tcPr>
          <w:p>
            <w:pPr>
              <w:spacing w:after="0"/>
              <w:rPr>
                <w:sz w:val="24"/>
                <w:szCs w:val="24"/>
                <w:color w:val="auto"/>
              </w:rPr>
            </w:pPr>
          </w:p>
        </w:tc>
        <w:tc>
          <w:tcPr>
            <w:tcW w:w="1220" w:type="dxa"/>
            <w:vAlign w:val="bottom"/>
            <w:vMerge w:val="restart"/>
          </w:tcPr>
          <w:p>
            <w:pPr>
              <w:spacing w:after="0"/>
              <w:rPr>
                <w:sz w:val="20"/>
                <w:szCs w:val="20"/>
                <w:color w:val="auto"/>
              </w:rPr>
            </w:pPr>
            <w:r>
              <w:rPr>
                <w:rFonts w:ascii="Arial" w:cs="Arial" w:eastAsia="Arial" w:hAnsi="Arial"/>
                <w:sz w:val="14"/>
                <w:szCs w:val="14"/>
                <w:b w:val="1"/>
                <w:bCs w:val="1"/>
                <w:color w:val="auto"/>
                <w:w w:val="89"/>
              </w:rPr>
              <w:t>Consolidated Totals</w:t>
            </w:r>
          </w:p>
        </w:tc>
        <w:tc>
          <w:tcPr>
            <w:tcW w:w="0" w:type="dxa"/>
            <w:vAlign w:val="bottom"/>
          </w:tcPr>
          <w:p>
            <w:pPr>
              <w:spacing w:after="0"/>
              <w:rPr>
                <w:sz w:val="1"/>
                <w:szCs w:val="1"/>
                <w:color w:val="auto"/>
              </w:rPr>
            </w:pPr>
          </w:p>
        </w:tc>
      </w:tr>
      <w:tr>
        <w:trPr>
          <w:trHeight w:val="169"/>
        </w:trPr>
        <w:tc>
          <w:tcPr>
            <w:tcW w:w="940" w:type="dxa"/>
            <w:vAlign w:val="bottom"/>
            <w:tcBorders>
              <w:bottom w:val="single" w:sz="8" w:color="auto"/>
            </w:tcBorders>
          </w:tcPr>
          <w:p>
            <w:pPr>
              <w:jc w:val="center"/>
              <w:ind w:left="149"/>
              <w:spacing w:after="0"/>
              <w:rPr>
                <w:sz w:val="20"/>
                <w:szCs w:val="20"/>
                <w:color w:val="auto"/>
              </w:rPr>
            </w:pPr>
            <w:r>
              <w:rPr>
                <w:rFonts w:ascii="Arial" w:cs="Arial" w:eastAsia="Arial" w:hAnsi="Arial"/>
                <w:sz w:val="14"/>
                <w:szCs w:val="14"/>
                <w:b w:val="1"/>
                <w:bCs w:val="1"/>
                <w:color w:val="auto"/>
                <w:w w:val="95"/>
              </w:rPr>
              <w:t>Guarantors</w:t>
            </w:r>
          </w:p>
        </w:tc>
        <w:tc>
          <w:tcPr>
            <w:tcW w:w="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Borders>
              <w:bottom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7138035" cy="152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8035" cy="152400"/>
                    </a:xfrm>
                    <a:prstGeom prst="rect">
                      <a:avLst/>
                    </a:prstGeom>
                    <a:noFill/>
                  </pic:spPr>
                </pic:pic>
              </a:graphicData>
            </a:graphic>
          </wp:anchor>
        </w:drawing>
      </w:r>
    </w:p>
    <w:p>
      <w:pPr>
        <w:sectPr>
          <w:pgSz w:w="11900" w:h="16838" w:orient="portrait"/>
          <w:cols w:equalWidth="0" w:num="1">
            <w:col w:w="11200"/>
          </w:cols>
          <w:pgMar w:left="240" w:top="254" w:right="459" w:bottom="1440" w:gutter="0" w:footer="0" w:header="0"/>
        </w:sectPr>
      </w:pP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OPERATING ACTIVITIES:</w:t>
      </w:r>
    </w:p>
    <w:p>
      <w:pPr>
        <w:spacing w:after="0" w:line="43"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6"/>
          <w:szCs w:val="16"/>
          <w:color w:val="auto"/>
        </w:rPr>
        <w:t>Cash provided by (used in) operating activities</w:t>
      </w:r>
      <w:r>
        <w:rPr>
          <w:sz w:val="20"/>
          <w:szCs w:val="20"/>
          <w:color w:val="auto"/>
        </w:rPr>
        <w:tab/>
      </w:r>
      <w:r>
        <w:rPr>
          <w:rFonts w:ascii="Arial" w:cs="Arial" w:eastAsia="Arial" w:hAnsi="Arial"/>
          <w:sz w:val="14"/>
          <w:szCs w:val="14"/>
          <w:color w:val="auto"/>
        </w:rPr>
        <w:t>$</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INVESTING ACTIVITIES:</w:t>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Purchases of property and equipment</w:t>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Proceeds from dispositions of property and equipment</w:t>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Changes in restricted cash</w:t>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change in accounts with affiliates</w:t>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Transfer to parent</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Cash provided by (used in) investing activities</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FINANCING ACTIVITIES:</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Repayments of debt</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Deferred financing fees</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Taxes paid on settlement of vested share awards</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Net change in accounts with affiliates</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Transfer to parent</w:t>
      </w:r>
    </w:p>
    <w:p>
      <w:pPr>
        <w:spacing w:after="0" w:line="43" w:lineRule="exact"/>
        <w:rPr>
          <w:sz w:val="20"/>
          <w:szCs w:val="20"/>
          <w:color w:val="auto"/>
        </w:rPr>
      </w:pPr>
    </w:p>
    <w:p>
      <w:pPr>
        <w:ind w:left="260" w:right="200"/>
        <w:spacing w:after="0" w:line="269" w:lineRule="auto"/>
        <w:rPr>
          <w:sz w:val="20"/>
          <w:szCs w:val="20"/>
          <w:color w:val="auto"/>
        </w:rPr>
      </w:pPr>
      <w:r>
        <w:rPr>
          <w:rFonts w:ascii="Arial" w:cs="Arial" w:eastAsia="Arial" w:hAnsi="Arial"/>
          <w:sz w:val="16"/>
          <w:szCs w:val="16"/>
          <w:color w:val="auto"/>
        </w:rPr>
        <w:t>Exercise of stock options and purchases from employee stock plans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Excess income tax benefit from share-based compensation</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16"/>
          <w:szCs w:val="16"/>
          <w:color w:val="auto"/>
        </w:rPr>
        <w:t>Borrowings under revolving loans</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Repayments of revolving loans</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Cash provided by financing activities</w:t>
      </w:r>
    </w:p>
    <w:p>
      <w:pPr>
        <w:spacing w:after="0" w:line="269" w:lineRule="exact"/>
        <w:rPr>
          <w:sz w:val="20"/>
          <w:szCs w:val="20"/>
          <w:color w:val="auto"/>
        </w:rPr>
      </w:pPr>
    </w:p>
    <w:p>
      <w:pPr>
        <w:ind w:left="260" w:right="380"/>
        <w:spacing w:after="0" w:line="287" w:lineRule="auto"/>
        <w:rPr>
          <w:sz w:val="20"/>
          <w:szCs w:val="20"/>
          <w:color w:val="auto"/>
        </w:rPr>
      </w:pPr>
      <w:r>
        <w:rPr>
          <w:rFonts w:ascii="Arial" w:cs="Arial" w:eastAsia="Arial" w:hAnsi="Arial"/>
          <w:sz w:val="16"/>
          <w:szCs w:val="16"/>
          <w:color w:val="auto"/>
        </w:rPr>
        <w:t>Effect of foreign currency exchange rates on cash and cash equivalents</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Net decrease in cash and cash equivalents</w:t>
      </w:r>
    </w:p>
    <w:p>
      <w:pPr>
        <w:spacing w:after="0" w:line="26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Cash and cash equivalents at beginning of period</w:t>
      </w:r>
    </w:p>
    <w:p>
      <w:pPr>
        <w:spacing w:after="0" w:line="283" w:lineRule="exact"/>
        <w:rPr>
          <w:sz w:val="20"/>
          <w:szCs w:val="20"/>
          <w:color w:val="auto"/>
        </w:rPr>
      </w:pPr>
    </w:p>
    <w:p>
      <w:pPr>
        <w:ind w:left="260"/>
        <w:spacing w:after="0"/>
        <w:tabs>
          <w:tab w:leader="none" w:pos="4300" w:val="left"/>
        </w:tabs>
        <w:rPr>
          <w:sz w:val="20"/>
          <w:szCs w:val="20"/>
          <w:color w:val="auto"/>
        </w:rPr>
      </w:pPr>
      <w:r>
        <w:rPr>
          <w:rFonts w:ascii="Arial" w:cs="Arial" w:eastAsia="Arial" w:hAnsi="Arial"/>
          <w:sz w:val="16"/>
          <w:szCs w:val="16"/>
          <w:color w:val="auto"/>
        </w:rPr>
        <w:t>Cash and cash equivalents at end of period</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640" w:type="dxa"/>
            <w:vAlign w:val="bottom"/>
          </w:tcPr>
          <w:p>
            <w:pPr>
              <w:jc w:val="right"/>
              <w:ind w:right="60"/>
              <w:spacing w:after="0"/>
              <w:rPr>
                <w:sz w:val="20"/>
                <w:szCs w:val="20"/>
                <w:color w:val="auto"/>
              </w:rPr>
            </w:pPr>
            <w:r>
              <w:rPr>
                <w:rFonts w:ascii="Arial" w:cs="Arial" w:eastAsia="Arial" w:hAnsi="Arial"/>
                <w:sz w:val="16"/>
                <w:szCs w:val="16"/>
                <w:color w:val="auto"/>
                <w:w w:val="98"/>
              </w:rPr>
              <w:t>74,409</w:t>
            </w:r>
          </w:p>
        </w:tc>
        <w:tc>
          <w:tcPr>
            <w:tcW w:w="4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(16,677)</w:t>
            </w:r>
          </w:p>
        </w:tc>
        <w:tc>
          <w:tcPr>
            <w:tcW w:w="4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(19,062)</w:t>
            </w:r>
          </w:p>
        </w:tc>
        <w:tc>
          <w:tcPr>
            <w:tcW w:w="4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38,670</w:t>
            </w:r>
          </w:p>
        </w:tc>
        <w:tc>
          <w:tcPr>
            <w:tcW w:w="60" w:type="dxa"/>
            <w:vAlign w:val="bottom"/>
          </w:tcPr>
          <w:p>
            <w:pPr>
              <w:spacing w:after="0"/>
              <w:rPr>
                <w:sz w:val="17"/>
                <w:szCs w:val="17"/>
                <w:color w:val="auto"/>
              </w:rPr>
            </w:pPr>
          </w:p>
        </w:tc>
      </w:tr>
      <w:tr>
        <w:trPr>
          <w:trHeight w:val="680"/>
        </w:trPr>
        <w:tc>
          <w:tcPr>
            <w:tcW w:w="640" w:type="dxa"/>
            <w:vAlign w:val="bottom"/>
          </w:tcPr>
          <w:p>
            <w:pPr>
              <w:jc w:val="right"/>
              <w:spacing w:after="0"/>
              <w:rPr>
                <w:sz w:val="20"/>
                <w:szCs w:val="20"/>
                <w:color w:val="auto"/>
              </w:rPr>
            </w:pPr>
            <w:r>
              <w:rPr>
                <w:rFonts w:ascii="Arial" w:cs="Arial" w:eastAsia="Arial" w:hAnsi="Arial"/>
                <w:sz w:val="16"/>
                <w:szCs w:val="16"/>
                <w:color w:val="auto"/>
                <w:w w:val="90"/>
              </w:rPr>
              <w:t>(83,777)</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(83,798)</w:t>
            </w:r>
          </w:p>
        </w:tc>
      </w:tr>
      <w:tr>
        <w:trPr>
          <w:trHeight w:val="227"/>
        </w:trPr>
        <w:tc>
          <w:tcPr>
            <w:tcW w:w="640" w:type="dxa"/>
            <w:vAlign w:val="bottom"/>
          </w:tcPr>
          <w:p>
            <w:pPr>
              <w:jc w:val="right"/>
              <w:ind w:right="60"/>
              <w:spacing w:after="0"/>
              <w:rPr>
                <w:sz w:val="20"/>
                <w:szCs w:val="20"/>
                <w:color w:val="auto"/>
              </w:rPr>
            </w:pPr>
            <w:r>
              <w:rPr>
                <w:rFonts w:ascii="Arial" w:cs="Arial" w:eastAsia="Arial" w:hAnsi="Arial"/>
                <w:sz w:val="16"/>
                <w:szCs w:val="16"/>
                <w:color w:val="auto"/>
                <w:w w:val="98"/>
              </w:rPr>
              <w:t>10,582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7,675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18,257</w:t>
            </w:r>
          </w:p>
        </w:tc>
        <w:tc>
          <w:tcPr>
            <w:tcW w:w="60" w:type="dxa"/>
            <w:vAlign w:val="bottom"/>
          </w:tcPr>
          <w:p>
            <w:pPr>
              <w:spacing w:after="0"/>
              <w:rPr>
                <w:sz w:val="19"/>
                <w:szCs w:val="19"/>
                <w:color w:val="auto"/>
              </w:rPr>
            </w:pPr>
          </w:p>
        </w:tc>
      </w:tr>
      <w:tr>
        <w:trPr>
          <w:trHeight w:val="227"/>
        </w:trPr>
        <w:tc>
          <w:tcPr>
            <w:tcW w:w="640" w:type="dxa"/>
            <w:vAlign w:val="bottom"/>
          </w:tcPr>
          <w:p>
            <w:pPr>
              <w:jc w:val="right"/>
              <w:spacing w:after="0"/>
              <w:rPr>
                <w:sz w:val="20"/>
                <w:szCs w:val="20"/>
                <w:color w:val="auto"/>
              </w:rPr>
            </w:pPr>
            <w:r>
              <w:rPr>
                <w:rFonts w:ascii="Arial" w:cs="Arial" w:eastAsia="Arial" w:hAnsi="Arial"/>
                <w:sz w:val="16"/>
                <w:szCs w:val="16"/>
                <w:color w:val="auto"/>
              </w:rPr>
              <w:t>(7,035)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(7,035)</w:t>
            </w:r>
          </w:p>
        </w:tc>
      </w:tr>
      <w:tr>
        <w:trPr>
          <w:trHeight w:val="227"/>
        </w:trPr>
        <w:tc>
          <w:tcPr>
            <w:tcW w:w="640" w:type="dxa"/>
            <w:vAlign w:val="bottom"/>
          </w:tcPr>
          <w:p>
            <w:pPr>
              <w:jc w:val="right"/>
              <w:spacing w:after="0"/>
              <w:rPr>
                <w:sz w:val="20"/>
                <w:szCs w:val="20"/>
                <w:color w:val="auto"/>
              </w:rPr>
            </w:pPr>
            <w:r>
              <w:rPr>
                <w:rFonts w:ascii="Arial" w:cs="Arial" w:eastAsia="Arial" w:hAnsi="Arial"/>
                <w:sz w:val="16"/>
                <w:szCs w:val="16"/>
                <w:color w:val="auto"/>
              </w:rPr>
              <w:t>(5,100)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(36,172)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41,272</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29"/>
        </w:trPr>
        <w:tc>
          <w:tcPr>
            <w:tcW w:w="6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(23,000)</w:t>
            </w:r>
          </w:p>
        </w:tc>
        <w:tc>
          <w:tcPr>
            <w:tcW w:w="3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0"/>
        </w:trPr>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7"/>
        </w:trPr>
        <w:tc>
          <w:tcPr>
            <w:tcW w:w="640" w:type="dxa"/>
            <w:vAlign w:val="bottom"/>
          </w:tcPr>
          <w:p>
            <w:pPr>
              <w:jc w:val="right"/>
              <w:spacing w:after="0"/>
              <w:rPr>
                <w:sz w:val="20"/>
                <w:szCs w:val="20"/>
                <w:color w:val="auto"/>
              </w:rPr>
            </w:pPr>
            <w:r>
              <w:rPr>
                <w:rFonts w:ascii="Arial" w:cs="Arial" w:eastAsia="Arial" w:hAnsi="Arial"/>
                <w:sz w:val="16"/>
                <w:szCs w:val="16"/>
                <w:color w:val="auto"/>
                <w:w w:val="90"/>
              </w:rPr>
              <w:t>(85,330)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7,654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(13,172)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18,272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(72,576)</w:t>
            </w:r>
          </w:p>
        </w:tc>
      </w:tr>
      <w:tr>
        <w:trPr>
          <w:trHeight w:val="680"/>
        </w:trPr>
        <w:tc>
          <w:tcPr>
            <w:tcW w:w="640" w:type="dxa"/>
            <w:vAlign w:val="bottom"/>
          </w:tcPr>
          <w:p>
            <w:pPr>
              <w:jc w:val="right"/>
              <w:spacing w:after="0"/>
              <w:rPr>
                <w:sz w:val="20"/>
                <w:szCs w:val="20"/>
                <w:color w:val="auto"/>
              </w:rPr>
            </w:pPr>
            <w:r>
              <w:rPr>
                <w:rFonts w:ascii="Arial" w:cs="Arial" w:eastAsia="Arial" w:hAnsi="Arial"/>
                <w:sz w:val="16"/>
                <w:szCs w:val="16"/>
                <w:color w:val="auto"/>
              </w:rPr>
              <w:t>(296)</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(1,128)</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(45,661)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(47,085)</w:t>
            </w:r>
          </w:p>
        </w:tc>
      </w:tr>
      <w:tr>
        <w:trPr>
          <w:trHeight w:val="227"/>
        </w:trPr>
        <w:tc>
          <w:tcPr>
            <w:tcW w:w="6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(6,817)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(6,817)</w:t>
            </w:r>
          </w:p>
        </w:tc>
      </w:tr>
      <w:tr>
        <w:trPr>
          <w:trHeight w:val="227"/>
        </w:trPr>
        <w:tc>
          <w:tcPr>
            <w:tcW w:w="6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(171)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(171)</w:t>
            </w:r>
          </w:p>
        </w:tc>
      </w:tr>
      <w:tr>
        <w:trPr>
          <w:trHeight w:val="227"/>
        </w:trPr>
        <w:tc>
          <w:tcPr>
            <w:tcW w:w="640" w:type="dxa"/>
            <w:vAlign w:val="bottom"/>
          </w:tcPr>
          <w:p>
            <w:pPr>
              <w:jc w:val="right"/>
              <w:ind w:right="60"/>
              <w:spacing w:after="0"/>
              <w:rPr>
                <w:sz w:val="20"/>
                <w:szCs w:val="20"/>
                <w:color w:val="auto"/>
              </w:rPr>
            </w:pPr>
            <w:r>
              <w:rPr>
                <w:rFonts w:ascii="Arial" w:cs="Arial" w:eastAsia="Arial" w:hAnsi="Arial"/>
                <w:sz w:val="16"/>
                <w:szCs w:val="16"/>
                <w:color w:val="auto"/>
                <w:w w:val="98"/>
              </w:rPr>
              <w:t>32,933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8,339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(41,272)</w:t>
            </w:r>
          </w:p>
        </w:tc>
        <w:tc>
          <w:tcPr>
            <w:tcW w:w="3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27"/>
        </w:trPr>
        <w:tc>
          <w:tcPr>
            <w:tcW w:w="640" w:type="dxa"/>
            <w:vAlign w:val="bottom"/>
          </w:tcPr>
          <w:p>
            <w:pPr>
              <w:jc w:val="right"/>
              <w:spacing w:after="0"/>
              <w:rPr>
                <w:sz w:val="20"/>
                <w:szCs w:val="20"/>
                <w:color w:val="auto"/>
              </w:rPr>
            </w:pPr>
            <w:r>
              <w:rPr>
                <w:rFonts w:ascii="Arial" w:cs="Arial" w:eastAsia="Arial" w:hAnsi="Arial"/>
                <w:sz w:val="16"/>
                <w:szCs w:val="16"/>
                <w:color w:val="auto"/>
                <w:w w:val="90"/>
              </w:rPr>
              <w:t>(23,000)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23,000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413"/>
        </w:trPr>
        <w:tc>
          <w:tcPr>
            <w:tcW w:w="6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905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905</w:t>
            </w:r>
          </w:p>
        </w:tc>
        <w:tc>
          <w:tcPr>
            <w:tcW w:w="60" w:type="dxa"/>
            <w:vAlign w:val="bottom"/>
          </w:tcPr>
          <w:p>
            <w:pPr>
              <w:spacing w:after="0"/>
              <w:rPr>
                <w:sz w:val="24"/>
                <w:szCs w:val="24"/>
                <w:color w:val="auto"/>
              </w:rPr>
            </w:pPr>
          </w:p>
        </w:tc>
      </w:tr>
      <w:tr>
        <w:trPr>
          <w:trHeight w:val="227"/>
        </w:trPr>
        <w:tc>
          <w:tcPr>
            <w:tcW w:w="6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(133)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(133)</w:t>
            </w:r>
          </w:p>
        </w:tc>
      </w:tr>
      <w:tr>
        <w:trPr>
          <w:trHeight w:val="227"/>
        </w:trPr>
        <w:tc>
          <w:tcPr>
            <w:tcW w:w="6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288,611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288,611</w:t>
            </w:r>
          </w:p>
        </w:tc>
        <w:tc>
          <w:tcPr>
            <w:tcW w:w="60" w:type="dxa"/>
            <w:vAlign w:val="bottom"/>
          </w:tcPr>
          <w:p>
            <w:pPr>
              <w:spacing w:after="0"/>
              <w:rPr>
                <w:sz w:val="19"/>
                <w:szCs w:val="19"/>
                <w:color w:val="auto"/>
              </w:rPr>
            </w:pPr>
          </w:p>
        </w:tc>
      </w:tr>
      <w:tr>
        <w:trPr>
          <w:trHeight w:val="229"/>
        </w:trPr>
        <w:tc>
          <w:tcPr>
            <w:tcW w:w="6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(204,500)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(204,500)</w:t>
            </w:r>
          </w:p>
        </w:tc>
      </w:tr>
      <w:tr>
        <w:trPr>
          <w:trHeight w:val="20"/>
        </w:trPr>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7"/>
        </w:trPr>
        <w:tc>
          <w:tcPr>
            <w:tcW w:w="640" w:type="dxa"/>
            <w:vAlign w:val="bottom"/>
          </w:tcPr>
          <w:p>
            <w:pPr>
              <w:jc w:val="right"/>
              <w:ind w:right="60"/>
              <w:spacing w:after="0"/>
              <w:rPr>
                <w:sz w:val="20"/>
                <w:szCs w:val="20"/>
                <w:color w:val="auto"/>
              </w:rPr>
            </w:pPr>
            <w:r>
              <w:rPr>
                <w:rFonts w:ascii="Arial" w:cs="Arial" w:eastAsia="Arial" w:hAnsi="Arial"/>
                <w:sz w:val="16"/>
                <w:szCs w:val="16"/>
                <w:color w:val="auto"/>
              </w:rPr>
              <w:t>9,637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32,234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(18,272)</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30,810</w:t>
            </w:r>
          </w:p>
        </w:tc>
        <w:tc>
          <w:tcPr>
            <w:tcW w:w="60" w:type="dxa"/>
            <w:vAlign w:val="bottom"/>
          </w:tcPr>
          <w:p>
            <w:pPr>
              <w:spacing w:after="0"/>
              <w:rPr>
                <w:sz w:val="18"/>
                <w:szCs w:val="18"/>
                <w:color w:val="auto"/>
              </w:rPr>
            </w:pPr>
          </w:p>
        </w:tc>
      </w:tr>
      <w:tr>
        <w:trPr>
          <w:trHeight w:val="643"/>
        </w:trPr>
        <w:tc>
          <w:tcPr>
            <w:tcW w:w="6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60" w:type="dxa"/>
            <w:vAlign w:val="bottom"/>
          </w:tcPr>
          <w:p>
            <w:pPr>
              <w:spacing w:after="0"/>
              <w:rPr>
                <w:sz w:val="24"/>
                <w:szCs w:val="24"/>
                <w:color w:val="auto"/>
              </w:rPr>
            </w:pPr>
          </w:p>
        </w:tc>
      </w:tr>
      <w:tr>
        <w:trPr>
          <w:trHeight w:val="444"/>
        </w:trPr>
        <w:tc>
          <w:tcPr>
            <w:tcW w:w="640" w:type="dxa"/>
            <w:vAlign w:val="bottom"/>
          </w:tcPr>
          <w:p>
            <w:pPr>
              <w:jc w:val="right"/>
              <w:spacing w:after="0"/>
              <w:rPr>
                <w:sz w:val="20"/>
                <w:szCs w:val="20"/>
                <w:color w:val="auto"/>
              </w:rPr>
            </w:pPr>
            <w:r>
              <w:rPr>
                <w:rFonts w:ascii="Arial" w:cs="Arial" w:eastAsia="Arial" w:hAnsi="Arial"/>
                <w:sz w:val="16"/>
                <w:szCs w:val="16"/>
                <w:color w:val="auto"/>
              </w:rPr>
              <w:t>(1,284)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(1,733)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(3,017)</w:t>
            </w:r>
          </w:p>
        </w:tc>
      </w:tr>
      <w:tr>
        <w:trPr>
          <w:trHeight w:val="456"/>
        </w:trPr>
        <w:tc>
          <w:tcPr>
            <w:tcW w:w="640" w:type="dxa"/>
            <w:vAlign w:val="bottom"/>
          </w:tcPr>
          <w:p>
            <w:pPr>
              <w:jc w:val="right"/>
              <w:ind w:right="60"/>
              <w:spacing w:after="0"/>
              <w:rPr>
                <w:sz w:val="20"/>
                <w:szCs w:val="20"/>
                <w:color w:val="auto"/>
              </w:rPr>
            </w:pPr>
            <w:r>
              <w:rPr>
                <w:rFonts w:ascii="Arial" w:cs="Arial" w:eastAsia="Arial" w:hAnsi="Arial"/>
                <w:sz w:val="16"/>
                <w:szCs w:val="16"/>
                <w:color w:val="auto"/>
                <w:w w:val="98"/>
              </w:rPr>
              <w:t>11,698</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14,184</w:t>
            </w:r>
          </w:p>
        </w:tc>
        <w:tc>
          <w:tcPr>
            <w:tcW w:w="60" w:type="dxa"/>
            <w:vAlign w:val="bottom"/>
          </w:tcPr>
          <w:p>
            <w:pPr>
              <w:spacing w:after="0"/>
              <w:rPr>
                <w:sz w:val="24"/>
                <w:szCs w:val="24"/>
                <w:color w:val="auto"/>
              </w:rPr>
            </w:pPr>
          </w:p>
        </w:tc>
      </w:tr>
      <w:tr>
        <w:trPr>
          <w:trHeight w:val="447"/>
        </w:trPr>
        <w:tc>
          <w:tcPr>
            <w:tcW w:w="640" w:type="dxa"/>
            <w:vAlign w:val="bottom"/>
          </w:tcPr>
          <w:p>
            <w:pPr>
              <w:jc w:val="right"/>
              <w:ind w:right="60"/>
              <w:spacing w:after="0"/>
              <w:rPr>
                <w:sz w:val="20"/>
                <w:szCs w:val="20"/>
                <w:color w:val="auto"/>
              </w:rPr>
            </w:pPr>
            <w:r>
              <w:rPr>
                <w:rFonts w:ascii="Arial" w:cs="Arial" w:eastAsia="Arial" w:hAnsi="Arial"/>
                <w:sz w:val="16"/>
                <w:szCs w:val="16"/>
                <w:color w:val="auto"/>
                <w:w w:val="98"/>
              </w:rPr>
              <w:t>10,414</w:t>
            </w:r>
          </w:p>
        </w:tc>
        <w:tc>
          <w:tcPr>
            <w:tcW w:w="4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751</w:t>
            </w:r>
          </w:p>
        </w:tc>
        <w:tc>
          <w:tcPr>
            <w:tcW w:w="120" w:type="dxa"/>
            <w:vAlign w:val="bottom"/>
          </w:tcPr>
          <w:p>
            <w:pPr>
              <w:spacing w:after="0"/>
              <w:rPr>
                <w:sz w:val="24"/>
                <w:szCs w:val="24"/>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4"/>
                <w:szCs w:val="24"/>
                <w:color w:val="auto"/>
              </w:rPr>
            </w:pPr>
          </w:p>
        </w:tc>
        <w:tc>
          <w:tcPr>
            <w:tcW w:w="4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11,167</w:t>
            </w:r>
          </w:p>
        </w:tc>
        <w:tc>
          <w:tcPr>
            <w:tcW w:w="6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-3157220</wp:posOffset>
            </wp:positionH>
            <wp:positionV relativeFrom="paragraph">
              <wp:posOffset>-4326255</wp:posOffset>
            </wp:positionV>
            <wp:extent cx="7138035" cy="144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8035" cy="144145"/>
                    </a:xfrm>
                    <a:prstGeom prst="rect">
                      <a:avLst/>
                    </a:prstGeom>
                    <a:noFill/>
                  </pic:spPr>
                </pic:pic>
              </a:graphicData>
            </a:graphic>
          </wp:anchor>
        </w:drawing>
        <w:drawing>
          <wp:anchor simplePos="0" relativeHeight="251657728" behindDoc="1" locked="0" layoutInCell="0" allowOverlap="1">
            <wp:simplePos x="0" y="0"/>
            <wp:positionH relativeFrom="column">
              <wp:posOffset>-3157220</wp:posOffset>
            </wp:positionH>
            <wp:positionV relativeFrom="paragraph">
              <wp:posOffset>-4038600</wp:posOffset>
            </wp:positionV>
            <wp:extent cx="7138035" cy="144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8035" cy="144145"/>
                    </a:xfrm>
                    <a:prstGeom prst="rect">
                      <a:avLst/>
                    </a:prstGeom>
                    <a:noFill/>
                  </pic:spPr>
                </pic:pic>
              </a:graphicData>
            </a:graphic>
          </wp:anchor>
        </w:drawing>
        <w:drawing>
          <wp:anchor simplePos="0" relativeHeight="251657728" behindDoc="1" locked="0" layoutInCell="0" allowOverlap="1">
            <wp:simplePos x="0" y="0"/>
            <wp:positionH relativeFrom="column">
              <wp:posOffset>-3157220</wp:posOffset>
            </wp:positionH>
            <wp:positionV relativeFrom="paragraph">
              <wp:posOffset>-3750310</wp:posOffset>
            </wp:positionV>
            <wp:extent cx="7138035" cy="144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8035" cy="144145"/>
                    </a:xfrm>
                    <a:prstGeom prst="rect">
                      <a:avLst/>
                    </a:prstGeom>
                    <a:noFill/>
                  </pic:spPr>
                </pic:pic>
              </a:graphicData>
            </a:graphic>
          </wp:anchor>
        </w:drawing>
        <w:drawing>
          <wp:anchor simplePos="0" relativeHeight="251657728" behindDoc="1" locked="0" layoutInCell="0" allowOverlap="1">
            <wp:simplePos x="0" y="0"/>
            <wp:positionH relativeFrom="column">
              <wp:posOffset>-3157220</wp:posOffset>
            </wp:positionH>
            <wp:positionV relativeFrom="paragraph">
              <wp:posOffset>-3462655</wp:posOffset>
            </wp:positionV>
            <wp:extent cx="7138035" cy="3463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8035" cy="3463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00" w:space="580"/>
            <w:col w:w="6220"/>
          </w:cols>
          <w:pgMar w:left="240" w:top="254" w:right="459" w:bottom="1440" w:gutter="0" w:footer="0" w:header="0"/>
          <w:type w:val="continuous"/>
        </w:sectPr>
      </w:pP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81280</wp:posOffset>
            </wp:positionV>
            <wp:extent cx="729043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200"/>
          </w:cols>
          <w:pgMar w:left="240" w:top="254" w:right="459" w:bottom="1440" w:gutter="0" w:footer="0" w:header="0"/>
          <w:type w:val="continuous"/>
        </w:sectPr>
      </w:pPr>
    </w:p>
    <w:bookmarkStart w:id="97" w:name="page98"/>
    <w:bookmarkEnd w:id="97"/>
    <w:p>
      <w:pPr>
        <w:jc w:val="center"/>
        <w:ind w:right="-179"/>
        <w:spacing w:after="0"/>
        <w:rPr>
          <w:sz w:val="20"/>
          <w:szCs w:val="20"/>
          <w:color w:val="auto"/>
        </w:rPr>
      </w:pPr>
      <w:r>
        <w:rPr>
          <w:rFonts w:ascii="Arial" w:cs="Arial" w:eastAsia="Arial" w:hAnsi="Arial"/>
          <w:sz w:val="14"/>
          <w:szCs w:val="14"/>
          <w:b w:val="1"/>
          <w:bCs w:val="1"/>
          <w:color w:val="auto"/>
        </w:rPr>
        <w:t>GREAT LAKES DREDGE &amp; DOCK CORPORATION AND SUBSIDIARIES</w:t>
      </w:r>
    </w:p>
    <w:p>
      <w:pPr>
        <w:spacing w:after="0" w:line="14"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CONDENSED CONSOLIDATING STATEMENT OF CASH FLOWS</w:t>
      </w:r>
    </w:p>
    <w:p>
      <w:pPr>
        <w:jc w:val="center"/>
        <w:ind w:right="-179"/>
        <w:spacing w:after="0"/>
        <w:rPr>
          <w:sz w:val="20"/>
          <w:szCs w:val="20"/>
          <w:color w:val="auto"/>
        </w:rPr>
      </w:pPr>
      <w:r>
        <w:rPr>
          <w:rFonts w:ascii="Arial" w:cs="Arial" w:eastAsia="Arial" w:hAnsi="Arial"/>
          <w:sz w:val="14"/>
          <w:szCs w:val="14"/>
          <w:b w:val="1"/>
          <w:bCs w:val="1"/>
          <w:color w:val="auto"/>
        </w:rPr>
        <w:t>FOR THE YEAR ENDED DECEMBER 31, 2015</w:t>
      </w:r>
    </w:p>
    <w:p>
      <w:pPr>
        <w:jc w:val="center"/>
        <w:ind w:right="-179"/>
        <w:spacing w:after="0"/>
        <w:rPr>
          <w:sz w:val="20"/>
          <w:szCs w:val="20"/>
          <w:color w:val="auto"/>
        </w:rPr>
      </w:pPr>
      <w:r>
        <w:rPr>
          <w:rFonts w:ascii="Arial" w:cs="Arial" w:eastAsia="Arial" w:hAnsi="Arial"/>
          <w:sz w:val="14"/>
          <w:szCs w:val="14"/>
          <w:b w:val="1"/>
          <w:bCs w:val="1"/>
          <w:color w:val="auto"/>
        </w:rPr>
        <w:t>(In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Non-Guarantor</w:t>
            </w:r>
          </w:p>
        </w:tc>
        <w:tc>
          <w:tcPr>
            <w:tcW w:w="100" w:type="dxa"/>
            <w:vAlign w:val="bottom"/>
          </w:tcPr>
          <w:p>
            <w:pPr>
              <w:spacing w:after="0"/>
              <w:rPr>
                <w:sz w:val="14"/>
                <w:szCs w:val="14"/>
                <w:color w:val="auto"/>
              </w:rPr>
            </w:pP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GLDD Corporation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8"/>
              </w:rPr>
              <w:t>Eliminations</w:t>
            </w: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7"/>
              </w:rPr>
              <w:t>Consolidated Totals</w:t>
            </w:r>
          </w:p>
        </w:tc>
        <w:tc>
          <w:tcPr>
            <w:tcW w:w="0" w:type="dxa"/>
            <w:vAlign w:val="bottom"/>
          </w:tcPr>
          <w:p>
            <w:pPr>
              <w:spacing w:after="0"/>
              <w:rPr>
                <w:sz w:val="1"/>
                <w:szCs w:val="1"/>
                <w:color w:val="auto"/>
              </w:rPr>
            </w:pPr>
          </w:p>
        </w:tc>
      </w:tr>
      <w:tr>
        <w:trPr>
          <w:trHeight w:val="169"/>
        </w:trPr>
        <w:tc>
          <w:tcPr>
            <w:tcW w:w="4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OPERATING ACTIVITIES:</w:t>
            </w: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500"/>
              <w:spacing w:after="0"/>
              <w:rPr>
                <w:sz w:val="20"/>
                <w:szCs w:val="20"/>
                <w:color w:val="auto"/>
              </w:rPr>
            </w:pPr>
            <w:r>
              <w:rPr>
                <w:rFonts w:ascii="Arial" w:cs="Arial" w:eastAsia="Arial" w:hAnsi="Arial"/>
                <w:sz w:val="16"/>
                <w:szCs w:val="16"/>
                <w:color w:val="auto"/>
              </w:rPr>
              <w:t>Cash provided by (used in) operating activities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75,489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(22,679)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(23,688)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29,122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320" w:type="dxa"/>
            <w:vAlign w:val="bottom"/>
          </w:tcPr>
          <w:p>
            <w:pPr>
              <w:spacing w:after="0"/>
              <w:rPr>
                <w:sz w:val="20"/>
                <w:szCs w:val="20"/>
                <w:color w:val="auto"/>
              </w:rPr>
            </w:pPr>
            <w:r>
              <w:rPr>
                <w:rFonts w:ascii="Arial" w:cs="Arial" w:eastAsia="Arial" w:hAnsi="Arial"/>
                <w:sz w:val="16"/>
                <w:szCs w:val="16"/>
                <w:color w:val="auto"/>
              </w:rPr>
              <w:t>INVESTING ACTIVITIES: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3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Purchases of property and equipment</w:t>
            </w:r>
          </w:p>
        </w:tc>
        <w:tc>
          <w:tcPr>
            <w:tcW w:w="1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(70,759)</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(3,696)</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(74,455)</w:t>
            </w:r>
          </w:p>
        </w:tc>
        <w:tc>
          <w:tcPr>
            <w:tcW w:w="0" w:type="dxa"/>
            <w:vAlign w:val="bottom"/>
          </w:tcPr>
          <w:p>
            <w:pPr>
              <w:spacing w:after="0"/>
              <w:rPr>
                <w:sz w:val="1"/>
                <w:szCs w:val="1"/>
                <w:color w:val="auto"/>
              </w:rPr>
            </w:pPr>
          </w:p>
        </w:tc>
      </w:tr>
      <w:tr>
        <w:trPr>
          <w:trHeight w:val="224"/>
        </w:trPr>
        <w:tc>
          <w:tcPr>
            <w:tcW w:w="4320" w:type="dxa"/>
            <w:vAlign w:val="bottom"/>
          </w:tcPr>
          <w:p>
            <w:pPr>
              <w:ind w:left="380"/>
              <w:spacing w:after="0"/>
              <w:rPr>
                <w:sz w:val="20"/>
                <w:szCs w:val="20"/>
                <w:color w:val="auto"/>
              </w:rPr>
            </w:pPr>
            <w:r>
              <w:rPr>
                <w:rFonts w:ascii="Arial" w:cs="Arial" w:eastAsia="Arial" w:hAnsi="Arial"/>
                <w:sz w:val="16"/>
                <w:szCs w:val="16"/>
                <w:color w:val="auto"/>
              </w:rPr>
              <w:t>Proceeds from dispositions of property and equipment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1,102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change in accounts with affiliates</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(32,342)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(12,222)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44,564</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320" w:type="dxa"/>
            <w:vAlign w:val="bottom"/>
            <w:vMerge w:val="restart"/>
          </w:tcPr>
          <w:p>
            <w:pPr>
              <w:ind w:left="500"/>
              <w:spacing w:after="0"/>
              <w:rPr>
                <w:sz w:val="20"/>
                <w:szCs w:val="20"/>
                <w:color w:val="auto"/>
              </w:rPr>
            </w:pPr>
            <w:r>
              <w:rPr>
                <w:rFonts w:ascii="Arial" w:cs="Arial" w:eastAsia="Arial" w:hAnsi="Arial"/>
                <w:sz w:val="16"/>
                <w:szCs w:val="16"/>
                <w:color w:val="auto"/>
              </w:rPr>
              <w:t>Cash used in investing activities</w:t>
            </w: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(101,999)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(3,476)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(12,222)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44,564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(73,133)</w:t>
            </w: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320" w:type="dxa"/>
            <w:vAlign w:val="bottom"/>
          </w:tcPr>
          <w:p>
            <w:pPr>
              <w:ind w:left="260"/>
              <w:spacing w:after="0"/>
              <w:rPr>
                <w:sz w:val="20"/>
                <w:szCs w:val="20"/>
                <w:color w:val="auto"/>
              </w:rPr>
            </w:pPr>
            <w:r>
              <w:rPr>
                <w:rFonts w:ascii="Arial" w:cs="Arial" w:eastAsia="Arial" w:hAnsi="Arial"/>
                <w:sz w:val="16"/>
                <w:szCs w:val="16"/>
                <w:color w:val="auto"/>
              </w:rPr>
              <w:t>FINANCING ACTIVITIES: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issuance of debt</w:t>
            </w:r>
          </w:p>
        </w:tc>
        <w:tc>
          <w:tcPr>
            <w:tcW w:w="1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3,050</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3,050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60"/>
              <w:spacing w:after="0"/>
              <w:rPr>
                <w:sz w:val="20"/>
                <w:szCs w:val="20"/>
                <w:color w:val="auto"/>
              </w:rPr>
            </w:pPr>
            <w:r>
              <w:rPr>
                <w:rFonts w:ascii="Arial" w:cs="Arial" w:eastAsia="Arial" w:hAnsi="Arial"/>
                <w:sz w:val="16"/>
                <w:szCs w:val="16"/>
                <w:color w:val="auto"/>
              </w:rPr>
              <w:t>Repayments of debt</w:t>
            </w:r>
          </w:p>
        </w:tc>
        <w:tc>
          <w:tcPr>
            <w:tcW w:w="1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(1,006)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(5,443)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(6,644)</w:t>
            </w: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financing fees</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24"/>
        </w:trPr>
        <w:tc>
          <w:tcPr>
            <w:tcW w:w="4320" w:type="dxa"/>
            <w:vAlign w:val="bottom"/>
          </w:tcPr>
          <w:p>
            <w:pPr>
              <w:ind w:left="260"/>
              <w:spacing w:after="0"/>
              <w:rPr>
                <w:sz w:val="20"/>
                <w:szCs w:val="20"/>
                <w:color w:val="auto"/>
              </w:rPr>
            </w:pPr>
            <w:r>
              <w:rPr>
                <w:rFonts w:ascii="Arial" w:cs="Arial" w:eastAsia="Arial" w:hAnsi="Arial"/>
                <w:sz w:val="16"/>
                <w:szCs w:val="16"/>
                <w:color w:val="auto"/>
              </w:rPr>
              <w:t>Taxes paid on settlement of vested share awards</w:t>
            </w:r>
          </w:p>
        </w:tc>
        <w:tc>
          <w:tcPr>
            <w:tcW w:w="1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change in accounts with affiliates</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(23,491)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31,991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36,064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(44,564)</w:t>
            </w: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4320" w:type="dxa"/>
            <w:vAlign w:val="bottom"/>
          </w:tcPr>
          <w:p>
            <w:pPr>
              <w:ind w:left="260"/>
              <w:spacing w:after="0"/>
              <w:rPr>
                <w:sz w:val="20"/>
                <w:szCs w:val="20"/>
                <w:color w:val="auto"/>
              </w:rPr>
            </w:pPr>
            <w:r>
              <w:rPr>
                <w:rFonts w:ascii="Arial" w:cs="Arial" w:eastAsia="Arial" w:hAnsi="Arial"/>
                <w:sz w:val="16"/>
                <w:szCs w:val="16"/>
                <w:color w:val="auto"/>
              </w:rPr>
              <w:t>Transfer to parent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17,258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(17,258)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32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2"/>
              </w:rPr>
              <w:t>Exercise of stock options and purchases from employee stock</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plans</w:t>
            </w: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1,365</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60"/>
              <w:spacing w:after="0"/>
              <w:rPr>
                <w:sz w:val="20"/>
                <w:szCs w:val="20"/>
                <w:color w:val="auto"/>
              </w:rPr>
            </w:pPr>
            <w:r>
              <w:rPr>
                <w:rFonts w:ascii="Arial" w:cs="Arial" w:eastAsia="Arial" w:hAnsi="Arial"/>
                <w:sz w:val="16"/>
                <w:szCs w:val="16"/>
                <w:color w:val="auto"/>
                <w:w w:val="96"/>
              </w:rPr>
              <w:t>Excess income tax benefit from share-based compensation</w:t>
            </w:r>
          </w:p>
        </w:tc>
        <w:tc>
          <w:tcPr>
            <w:tcW w:w="1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 of treasury stock</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(1,433)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(1,433)</w:t>
            </w:r>
          </w:p>
        </w:tc>
        <w:tc>
          <w:tcPr>
            <w:tcW w:w="0" w:type="dxa"/>
            <w:vAlign w:val="bottom"/>
          </w:tcPr>
          <w:p>
            <w:pPr>
              <w:spacing w:after="0"/>
              <w:rPr>
                <w:sz w:val="1"/>
                <w:szCs w:val="1"/>
                <w:color w:val="auto"/>
              </w:rPr>
            </w:pPr>
          </w:p>
        </w:tc>
      </w:tr>
      <w:tr>
        <w:trPr>
          <w:trHeight w:val="224"/>
        </w:trPr>
        <w:tc>
          <w:tcPr>
            <w:tcW w:w="4320" w:type="dxa"/>
            <w:vAlign w:val="bottom"/>
          </w:tcPr>
          <w:p>
            <w:pPr>
              <w:ind w:left="260"/>
              <w:spacing w:after="0"/>
              <w:rPr>
                <w:sz w:val="20"/>
                <w:szCs w:val="20"/>
                <w:color w:val="auto"/>
              </w:rPr>
            </w:pPr>
            <w:r>
              <w:rPr>
                <w:rFonts w:ascii="Arial" w:cs="Arial" w:eastAsia="Arial" w:hAnsi="Arial"/>
                <w:sz w:val="16"/>
                <w:szCs w:val="16"/>
                <w:color w:val="auto"/>
              </w:rPr>
              <w:t>Borrowings under revolving loans</w:t>
            </w:r>
          </w:p>
        </w:tc>
        <w:tc>
          <w:tcPr>
            <w:tcW w:w="1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179,500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179,500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Repayments of revolving loans</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(159,500)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(159,500)</w:t>
            </w:r>
          </w:p>
        </w:tc>
        <w:tc>
          <w:tcPr>
            <w:tcW w:w="0" w:type="dxa"/>
            <w:vAlign w:val="bottom"/>
          </w:tcPr>
          <w:p>
            <w:pPr>
              <w:spacing w:after="0"/>
              <w:rPr>
                <w:sz w:val="1"/>
                <w:szCs w:val="1"/>
                <w:color w:val="auto"/>
              </w:rPr>
            </w:pPr>
          </w:p>
        </w:tc>
      </w:tr>
      <w:tr>
        <w:trPr>
          <w:trHeight w:val="20"/>
        </w:trPr>
        <w:tc>
          <w:tcPr>
            <w:tcW w:w="4320" w:type="dxa"/>
            <w:vAlign w:val="bottom"/>
            <w:vMerge w:val="restart"/>
          </w:tcPr>
          <w:p>
            <w:pPr>
              <w:ind w:left="500"/>
              <w:spacing w:after="0"/>
              <w:rPr>
                <w:sz w:val="20"/>
                <w:szCs w:val="20"/>
                <w:color w:val="auto"/>
              </w:rPr>
            </w:pPr>
            <w:r>
              <w:rPr>
                <w:rFonts w:ascii="Arial" w:cs="Arial" w:eastAsia="Arial" w:hAnsi="Arial"/>
                <w:sz w:val="16"/>
                <w:szCs w:val="16"/>
                <w:color w:val="auto"/>
              </w:rPr>
              <w:t>Cash provided by (used in) financing activities</w:t>
            </w: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(6,428)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30,985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35,910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(44,564)</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15,903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260"/>
              <w:spacing w:after="0"/>
              <w:rPr>
                <w:sz w:val="20"/>
                <w:szCs w:val="20"/>
                <w:color w:val="auto"/>
              </w:rPr>
            </w:pPr>
            <w:r>
              <w:rPr>
                <w:rFonts w:ascii="Arial" w:cs="Arial" w:eastAsia="Arial" w:hAnsi="Arial"/>
                <w:sz w:val="16"/>
                <w:szCs w:val="16"/>
                <w:color w:val="auto"/>
                <w:w w:val="95"/>
              </w:rPr>
              <w:t>Effect of foreign currency exchange rates on cash and cash</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20" w:type="dxa"/>
            <w:vAlign w:val="bottom"/>
          </w:tcPr>
          <w:p>
            <w:pPr>
              <w:ind w:left="260"/>
              <w:spacing w:after="0"/>
              <w:rPr>
                <w:sz w:val="20"/>
                <w:szCs w:val="20"/>
                <w:color w:val="auto"/>
              </w:rPr>
            </w:pPr>
            <w:r>
              <w:rPr>
                <w:rFonts w:ascii="Arial" w:cs="Arial" w:eastAsia="Arial" w:hAnsi="Arial"/>
                <w:sz w:val="16"/>
                <w:szCs w:val="16"/>
                <w:color w:val="auto"/>
              </w:rPr>
              <w:t>equivalents</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60"/>
              <w:spacing w:after="0"/>
              <w:rPr>
                <w:sz w:val="20"/>
                <w:szCs w:val="20"/>
                <w:color w:val="auto"/>
              </w:rPr>
            </w:pPr>
            <w:r>
              <w:rPr>
                <w:rFonts w:ascii="Arial" w:cs="Arial" w:eastAsia="Arial" w:hAnsi="Arial"/>
                <w:sz w:val="16"/>
                <w:szCs w:val="16"/>
                <w:color w:val="auto"/>
              </w:rPr>
              <w:t>Net increase (decrease) in cash and cash equivalents</w:t>
            </w:r>
          </w:p>
        </w:tc>
        <w:tc>
          <w:tcPr>
            <w:tcW w:w="1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(32,938)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4,733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(28,205)</w:t>
            </w: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60"/>
              <w:spacing w:after="0"/>
              <w:rPr>
                <w:sz w:val="20"/>
                <w:szCs w:val="20"/>
                <w:color w:val="auto"/>
              </w:rPr>
            </w:pPr>
            <w:r>
              <w:rPr>
                <w:rFonts w:ascii="Arial" w:cs="Arial" w:eastAsia="Arial" w:hAnsi="Arial"/>
                <w:sz w:val="16"/>
                <w:szCs w:val="16"/>
                <w:color w:val="auto"/>
              </w:rPr>
              <w:t>Cash and cash equivalents at beginning of period</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44,636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(2,249)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42,389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60"/>
              <w:spacing w:after="0"/>
              <w:rPr>
                <w:sz w:val="20"/>
                <w:szCs w:val="20"/>
                <w:color w:val="auto"/>
              </w:rPr>
            </w:pPr>
            <w:r>
              <w:rPr>
                <w:rFonts w:ascii="Arial" w:cs="Arial" w:eastAsia="Arial" w:hAnsi="Arial"/>
                <w:sz w:val="16"/>
                <w:szCs w:val="16"/>
                <w:color w:val="auto"/>
              </w:rPr>
              <w:t>Cash and cash equivalents at end of period</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11,698</w:t>
            </w:r>
          </w:p>
        </w:tc>
        <w:tc>
          <w:tcPr>
            <w:tcW w:w="12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2,484</w:t>
            </w:r>
          </w:p>
        </w:tc>
        <w:tc>
          <w:tcPr>
            <w:tcW w:w="10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14,184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240"/>
          </w:cols>
          <w:pgMar w:left="240" w:top="130" w:right="419" w:bottom="1440" w:gutter="0" w:footer="0" w:header="0"/>
        </w:sectPr>
      </w:pPr>
    </w:p>
    <w:bookmarkStart w:id="98" w:name="page99"/>
    <w:bookmarkEnd w:id="98"/>
    <w:p>
      <w:pPr>
        <w:jc w:val="center"/>
        <w:ind w:right="120"/>
        <w:spacing w:after="0"/>
        <w:rPr>
          <w:sz w:val="20"/>
          <w:szCs w:val="20"/>
          <w:color w:val="auto"/>
        </w:rPr>
      </w:pPr>
      <w:r>
        <w:rPr>
          <w:rFonts w:ascii="Arial" w:cs="Arial" w:eastAsia="Arial" w:hAnsi="Arial"/>
          <w:sz w:val="18"/>
          <w:szCs w:val="18"/>
          <w:color w:val="auto"/>
        </w:rPr>
        <w:t>Great Lakes Dredge &amp; Dock Corporation</w:t>
      </w:r>
    </w:p>
    <w:p>
      <w:pPr>
        <w:spacing w:after="0" w:line="2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Schedule II—Valuation and Qualifying Accounts</w:t>
      </w:r>
    </w:p>
    <w:p>
      <w:pPr>
        <w:spacing w:after="0" w:line="2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For the Years Ended December 31, 2017, 2016 and 2015</w:t>
      </w:r>
    </w:p>
    <w:p>
      <w:pPr>
        <w:spacing w:after="0" w:line="2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7"/>
          </w:tcPr>
          <w:p>
            <w:pPr>
              <w:ind w:left="720"/>
              <w:spacing w:after="0"/>
              <w:rPr>
                <w:sz w:val="20"/>
                <w:szCs w:val="20"/>
                <w:color w:val="auto"/>
              </w:rPr>
            </w:pPr>
            <w:r>
              <w:rPr>
                <w:rFonts w:ascii="Arial" w:cs="Arial" w:eastAsia="Arial" w:hAnsi="Arial"/>
                <w:sz w:val="14"/>
                <w:szCs w:val="14"/>
                <w:b w:val="1"/>
                <w:bCs w:val="1"/>
                <w:color w:val="auto"/>
              </w:rPr>
              <w:t>Additions</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0"/>
              </w:rPr>
              <w:t>Beginning</w:t>
            </w: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3"/>
          </w:tcPr>
          <w:p>
            <w:pPr>
              <w:jc w:val="center"/>
              <w:ind w:right="360"/>
              <w:spacing w:after="0" w:line="131" w:lineRule="exact"/>
              <w:rPr>
                <w:sz w:val="20"/>
                <w:szCs w:val="20"/>
                <w:color w:val="auto"/>
              </w:rPr>
            </w:pPr>
            <w:r>
              <w:rPr>
                <w:rFonts w:ascii="Arial" w:cs="Arial" w:eastAsia="Arial" w:hAnsi="Arial"/>
                <w:sz w:val="14"/>
                <w:szCs w:val="14"/>
                <w:b w:val="1"/>
                <w:bCs w:val="1"/>
                <w:color w:val="auto"/>
                <w:w w:val="91"/>
              </w:rPr>
              <w:t>Charged to</w:t>
            </w: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77"/>
              <w:spacing w:after="0" w:line="131" w:lineRule="exact"/>
              <w:rPr>
                <w:sz w:val="20"/>
                <w:szCs w:val="20"/>
                <w:color w:val="auto"/>
              </w:rPr>
            </w:pPr>
            <w:r>
              <w:rPr>
                <w:rFonts w:ascii="Arial" w:cs="Arial" w:eastAsia="Arial" w:hAnsi="Arial"/>
                <w:sz w:val="14"/>
                <w:szCs w:val="14"/>
                <w:b w:val="1"/>
                <w:bCs w:val="1"/>
                <w:color w:val="auto"/>
                <w:w w:val="91"/>
              </w:rPr>
              <w:t>Charged to</w:t>
            </w:r>
          </w:p>
        </w:tc>
        <w:tc>
          <w:tcPr>
            <w:tcW w:w="22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7"/>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center"/>
              <w:ind w:right="360"/>
              <w:spacing w:after="0" w:line="147" w:lineRule="exact"/>
              <w:rPr>
                <w:sz w:val="20"/>
                <w:szCs w:val="20"/>
                <w:color w:val="auto"/>
              </w:rPr>
            </w:pPr>
            <w:r>
              <w:rPr>
                <w:rFonts w:ascii="Arial" w:cs="Arial" w:eastAsia="Arial" w:hAnsi="Arial"/>
                <w:sz w:val="14"/>
                <w:szCs w:val="14"/>
                <w:b w:val="1"/>
                <w:bCs w:val="1"/>
                <w:color w:val="auto"/>
                <w:w w:val="85"/>
              </w:rPr>
              <w:t>costs and</w:t>
            </w:r>
          </w:p>
        </w:tc>
        <w:tc>
          <w:tcPr>
            <w:tcW w:w="140" w:type="dxa"/>
            <w:vAlign w:val="bottom"/>
          </w:tcPr>
          <w:p>
            <w:pPr>
              <w:spacing w:after="0"/>
              <w:rPr>
                <w:sz w:val="12"/>
                <w:szCs w:val="12"/>
                <w:color w:val="auto"/>
              </w:rPr>
            </w:pPr>
          </w:p>
        </w:tc>
        <w:tc>
          <w:tcPr>
            <w:tcW w:w="1140" w:type="dxa"/>
            <w:vAlign w:val="bottom"/>
            <w:gridSpan w:val="3"/>
          </w:tcPr>
          <w:p>
            <w:pPr>
              <w:jc w:val="center"/>
              <w:ind w:right="380"/>
              <w:spacing w:after="0" w:line="147" w:lineRule="exact"/>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2"/>
                <w:szCs w:val="12"/>
                <w:color w:val="auto"/>
              </w:rPr>
            </w:pP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Deductions</w:t>
            </w: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Balance</w:t>
            </w:r>
          </w:p>
        </w:tc>
        <w:tc>
          <w:tcPr>
            <w:tcW w:w="140" w:type="dxa"/>
            <w:vAlign w:val="bottom"/>
          </w:tcPr>
          <w:p>
            <w:pPr>
              <w:spacing w:after="0"/>
              <w:rPr>
                <w:sz w:val="14"/>
                <w:szCs w:val="14"/>
                <w:color w:val="auto"/>
              </w:rPr>
            </w:pPr>
          </w:p>
        </w:tc>
        <w:tc>
          <w:tcPr>
            <w:tcW w:w="11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1"/>
              </w:rPr>
              <w:t>expenses</w:t>
            </w:r>
          </w:p>
        </w:tc>
        <w:tc>
          <w:tcPr>
            <w:tcW w:w="140" w:type="dxa"/>
            <w:vAlign w:val="bottom"/>
          </w:tcPr>
          <w:p>
            <w:pPr>
              <w:spacing w:after="0"/>
              <w:rPr>
                <w:sz w:val="14"/>
                <w:szCs w:val="14"/>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7"/>
              </w:rPr>
              <w:t>accounts</w:t>
            </w:r>
          </w:p>
        </w:tc>
        <w:tc>
          <w:tcPr>
            <w:tcW w:w="14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0"/>
        </w:trPr>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Description</w:t>
            </w: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60" w:type="dxa"/>
            <w:vAlign w:val="bottom"/>
          </w:tcPr>
          <w:p>
            <w:pPr>
              <w:spacing w:after="0"/>
              <w:rPr>
                <w:sz w:val="20"/>
                <w:szCs w:val="20"/>
                <w:color w:val="auto"/>
              </w:rPr>
            </w:pPr>
            <w:r>
              <w:rPr>
                <w:rFonts w:ascii="Arial" w:cs="Arial" w:eastAsia="Arial" w:hAnsi="Arial"/>
                <w:sz w:val="18"/>
                <w:szCs w:val="18"/>
                <w:color w:val="auto"/>
              </w:rPr>
              <w:t>Year ended December 31, 2015</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Allowances deducted from assets to which they apply:</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60" w:type="dxa"/>
            <w:vAlign w:val="bottom"/>
          </w:tcPr>
          <w:p>
            <w:pPr>
              <w:ind w:left="500"/>
              <w:spacing w:after="0"/>
              <w:rPr>
                <w:sz w:val="20"/>
                <w:szCs w:val="20"/>
                <w:color w:val="auto"/>
              </w:rPr>
            </w:pPr>
            <w:r>
              <w:rPr>
                <w:rFonts w:ascii="Arial" w:cs="Arial" w:eastAsia="Arial" w:hAnsi="Arial"/>
                <w:sz w:val="18"/>
                <w:szCs w:val="18"/>
                <w:color w:val="auto"/>
              </w:rPr>
              <w:t>Allowances for doubtful accounts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Valuation allowance for deferred tax assets</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26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5160" w:type="dxa"/>
            <w:vAlign w:val="bottom"/>
            <w:vMerge w:val="continue"/>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7,157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ind w:left="740"/>
              <w:spacing w:after="0"/>
              <w:rPr>
                <w:sz w:val="20"/>
                <w:szCs w:val="20"/>
                <w:color w:val="auto"/>
              </w:rPr>
            </w:pPr>
            <w:r>
              <w:rPr>
                <w:rFonts w:ascii="Arial" w:cs="Arial" w:eastAsia="Arial" w:hAnsi="Arial"/>
                <w:sz w:val="18"/>
                <w:szCs w:val="18"/>
                <w:color w:val="auto"/>
                <w:w w:val="88"/>
              </w:rPr>
              <w:t>—</w:t>
            </w:r>
          </w:p>
        </w:tc>
        <w:tc>
          <w:tcPr>
            <w:tcW w:w="220" w:type="dxa"/>
            <w:vAlign w:val="bottom"/>
            <w:gridSpan w:val="2"/>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(748)</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6,855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51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160" w:type="dxa"/>
            <w:vAlign w:val="bottom"/>
          </w:tcPr>
          <w:p>
            <w:pPr>
              <w:spacing w:after="0"/>
              <w:rPr>
                <w:sz w:val="20"/>
                <w:szCs w:val="20"/>
                <w:color w:val="auto"/>
              </w:rPr>
            </w:pPr>
            <w:r>
              <w:rPr>
                <w:rFonts w:ascii="Arial" w:cs="Arial" w:eastAsia="Arial" w:hAnsi="Arial"/>
                <w:sz w:val="18"/>
                <w:szCs w:val="18"/>
                <w:color w:val="auto"/>
              </w:rPr>
              <w:t>Year ended December 31, 2016</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Allowances deducted from assets to which they apply:</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60" w:type="dxa"/>
            <w:vAlign w:val="bottom"/>
          </w:tcPr>
          <w:p>
            <w:pPr>
              <w:ind w:left="500"/>
              <w:spacing w:after="0"/>
              <w:rPr>
                <w:sz w:val="20"/>
                <w:szCs w:val="20"/>
                <w:color w:val="auto"/>
              </w:rPr>
            </w:pPr>
            <w:r>
              <w:rPr>
                <w:rFonts w:ascii="Arial" w:cs="Arial" w:eastAsia="Arial" w:hAnsi="Arial"/>
                <w:sz w:val="18"/>
                <w:szCs w:val="18"/>
                <w:color w:val="auto"/>
              </w:rPr>
              <w:t>Allowances for doubtful accounts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19"/>
                <w:szCs w:val="19"/>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Valuation allowance for deferred tax assets</w:t>
            </w: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5160" w:type="dxa"/>
            <w:vAlign w:val="bottom"/>
          </w:tcPr>
          <w:p>
            <w:pPr>
              <w:ind w:left="26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6,855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7,880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51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160" w:type="dxa"/>
            <w:vAlign w:val="bottom"/>
          </w:tcPr>
          <w:p>
            <w:pPr>
              <w:spacing w:after="0"/>
              <w:rPr>
                <w:sz w:val="20"/>
                <w:szCs w:val="20"/>
                <w:color w:val="auto"/>
              </w:rPr>
            </w:pPr>
            <w:r>
              <w:rPr>
                <w:rFonts w:ascii="Arial" w:cs="Arial" w:eastAsia="Arial" w:hAnsi="Arial"/>
                <w:sz w:val="18"/>
                <w:szCs w:val="18"/>
                <w:color w:val="auto"/>
              </w:rPr>
              <w:t>Year ended December 31, 2017</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Allowances deducted from assets to which they apply:</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60" w:type="dxa"/>
            <w:vAlign w:val="bottom"/>
          </w:tcPr>
          <w:p>
            <w:pPr>
              <w:ind w:left="500"/>
              <w:spacing w:after="0"/>
              <w:rPr>
                <w:sz w:val="20"/>
                <w:szCs w:val="20"/>
                <w:color w:val="auto"/>
              </w:rPr>
            </w:pPr>
            <w:r>
              <w:rPr>
                <w:rFonts w:ascii="Arial" w:cs="Arial" w:eastAsia="Arial" w:hAnsi="Arial"/>
                <w:sz w:val="18"/>
                <w:szCs w:val="18"/>
                <w:color w:val="auto"/>
              </w:rPr>
              <w:t>Allowances for doubtful accounts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19"/>
                <w:szCs w:val="19"/>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Valuation allowance for deferred tax assets</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(3,991)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26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16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7,880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ind w:left="740"/>
              <w:spacing w:after="0"/>
              <w:rPr>
                <w:sz w:val="20"/>
                <w:szCs w:val="20"/>
                <w:color w:val="auto"/>
              </w:rPr>
            </w:pPr>
            <w:r>
              <w:rPr>
                <w:rFonts w:ascii="Arial" w:cs="Arial" w:eastAsia="Arial" w:hAnsi="Arial"/>
                <w:sz w:val="18"/>
                <w:szCs w:val="18"/>
                <w:color w:val="auto"/>
                <w:w w:val="88"/>
              </w:rPr>
              <w:t>—</w:t>
            </w:r>
          </w:p>
        </w:tc>
        <w:tc>
          <w:tcPr>
            <w:tcW w:w="220" w:type="dxa"/>
            <w:vAlign w:val="bottom"/>
            <w:gridSpan w:val="2"/>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(4,612)</w:t>
            </w:r>
          </w:p>
        </w:tc>
        <w:tc>
          <w:tcPr>
            <w:tcW w:w="120" w:type="dxa"/>
            <w:vAlign w:val="bottom"/>
          </w:tcPr>
          <w:p>
            <w:pPr>
              <w:spacing w:after="0"/>
              <w:rPr>
                <w:sz w:val="19"/>
                <w:szCs w:val="19"/>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40" w:type="dxa"/>
            <w:vAlign w:val="bottom"/>
          </w:tcPr>
          <w:p>
            <w:pPr>
              <w:jc w:val="center"/>
              <w:ind w:right="1691"/>
              <w:spacing w:after="0"/>
              <w:rPr>
                <w:sz w:val="20"/>
                <w:szCs w:val="20"/>
                <w:color w:val="auto"/>
              </w:rPr>
            </w:pPr>
            <w:r>
              <w:rPr>
                <w:rFonts w:ascii="Arial" w:cs="Arial" w:eastAsia="Arial" w:hAnsi="Arial"/>
                <w:sz w:val="18"/>
                <w:szCs w:val="18"/>
                <w:b w:val="1"/>
                <w:bCs w:val="1"/>
                <w:color w:val="auto"/>
              </w:rPr>
              <w:t>I. EXHIBIT INDEX</w:t>
            </w:r>
          </w:p>
        </w:tc>
        <w:tc>
          <w:tcPr>
            <w:tcW w:w="20" w:type="dxa"/>
            <w:vAlign w:val="bottom"/>
          </w:tcPr>
          <w:p>
            <w:pPr>
              <w:spacing w:after="0"/>
              <w:rPr>
                <w:sz w:val="20"/>
                <w:szCs w:val="20"/>
                <w:color w:val="auto"/>
              </w:rPr>
            </w:pPr>
          </w:p>
        </w:tc>
      </w:tr>
      <w:tr>
        <w:trPr>
          <w:trHeight w:val="441"/>
        </w:trPr>
        <w:tc>
          <w:tcPr>
            <w:tcW w:w="15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24"/>
                <w:szCs w:val="24"/>
                <w:color w:val="auto"/>
              </w:rPr>
            </w:pPr>
          </w:p>
        </w:tc>
        <w:tc>
          <w:tcPr>
            <w:tcW w:w="9640" w:type="dxa"/>
            <w:vAlign w:val="bottom"/>
            <w:tcBorders>
              <w:bottom w:val="single" w:sz="8" w:color="auto"/>
            </w:tcBorders>
          </w:tcPr>
          <w:p>
            <w:pPr>
              <w:ind w:left="3960"/>
              <w:spacing w:after="0"/>
              <w:rPr>
                <w:sz w:val="20"/>
                <w:szCs w:val="20"/>
                <w:color w:val="auto"/>
              </w:rPr>
            </w:pPr>
            <w:r>
              <w:rPr>
                <w:rFonts w:ascii="Arial" w:cs="Arial" w:eastAsia="Arial" w:hAnsi="Arial"/>
                <w:sz w:val="18"/>
                <w:szCs w:val="18"/>
                <w:b w:val="1"/>
                <w:bCs w:val="1"/>
                <w:color w:val="auto"/>
              </w:rPr>
              <w:t>Document Description</w:t>
            </w:r>
          </w:p>
        </w:tc>
        <w:tc>
          <w:tcPr>
            <w:tcW w:w="20" w:type="dxa"/>
            <w:vAlign w:val="bottom"/>
          </w:tcPr>
          <w:p>
            <w:pPr>
              <w:spacing w:after="0"/>
              <w:rPr>
                <w:sz w:val="24"/>
                <w:szCs w:val="24"/>
                <w:color w:val="auto"/>
              </w:rPr>
            </w:pPr>
          </w:p>
        </w:tc>
      </w:tr>
      <w:tr>
        <w:trPr>
          <w:trHeight w:val="181"/>
        </w:trPr>
        <w:tc>
          <w:tcPr>
            <w:tcW w:w="320" w:type="dxa"/>
            <w:vAlign w:val="bottom"/>
            <w:gridSpan w:val="2"/>
          </w:tcPr>
          <w:p>
            <w:pPr>
              <w:spacing w:after="0" w:line="181" w:lineRule="exact"/>
              <w:rPr>
                <w:rFonts w:ascii="Arial" w:cs="Arial" w:eastAsia="Arial" w:hAnsi="Arial"/>
                <w:sz w:val="18"/>
                <w:szCs w:val="18"/>
                <w:color w:val="0000EE"/>
              </w:rPr>
            </w:pPr>
            <w:hyperlink r:id="rId146">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1220" w:type="dxa"/>
            <w:vAlign w:val="bottom"/>
          </w:tcPr>
          <w:p>
            <w:pPr>
              <w:spacing w:after="0"/>
              <w:rPr>
                <w:sz w:val="15"/>
                <w:szCs w:val="15"/>
                <w:color w:val="auto"/>
              </w:rPr>
            </w:pPr>
          </w:p>
        </w:tc>
        <w:tc>
          <w:tcPr>
            <w:tcW w:w="9880" w:type="dxa"/>
            <w:vAlign w:val="bottom"/>
            <w:gridSpan w:val="2"/>
          </w:tcPr>
          <w:p>
            <w:pPr>
              <w:ind w:left="240"/>
              <w:spacing w:after="0" w:line="181" w:lineRule="exact"/>
              <w:rPr>
                <w:sz w:val="20"/>
                <w:szCs w:val="20"/>
                <w:color w:val="auto"/>
              </w:rPr>
            </w:pPr>
            <w:r>
              <w:rPr>
                <w:rFonts w:ascii="Arial" w:cs="Arial" w:eastAsia="Arial" w:hAnsi="Arial"/>
                <w:sz w:val="18"/>
                <w:szCs w:val="18"/>
                <w:color w:val="auto"/>
                <w:w w:val="96"/>
              </w:rPr>
              <w:t>Amended and Restated Agreement and Plan of Merger dated as of December 22, 2003, among Great Lakes Dredge &amp; Dock</w:t>
            </w:r>
          </w:p>
        </w:tc>
        <w:tc>
          <w:tcPr>
            <w:tcW w:w="20" w:type="dxa"/>
            <w:vAlign w:val="bottom"/>
          </w:tcPr>
          <w:p>
            <w:pPr>
              <w:spacing w:after="0"/>
              <w:rPr>
                <w:sz w:val="15"/>
                <w:szCs w:val="15"/>
                <w:color w:val="auto"/>
              </w:rPr>
            </w:pPr>
          </w:p>
        </w:tc>
      </w:tr>
      <w:tr>
        <w:trPr>
          <w:trHeight w:val="221"/>
        </w:trPr>
        <w:tc>
          <w:tcPr>
            <w:tcW w:w="22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3"/>
              </w:rPr>
              <w:t>Corporation, GLDD Acquisitions Corp., GLDD Merger Sub, Inc. and Vectura Holding Company LLC. (Incorporated by reference to</w:t>
            </w:r>
          </w:p>
        </w:tc>
        <w:tc>
          <w:tcPr>
            <w:tcW w:w="20" w:type="dxa"/>
            <w:vAlign w:val="bottom"/>
          </w:tcPr>
          <w:p>
            <w:pPr>
              <w:spacing w:after="0"/>
              <w:rPr>
                <w:sz w:val="19"/>
                <w:szCs w:val="19"/>
                <w:color w:val="auto"/>
              </w:rPr>
            </w:pPr>
          </w:p>
        </w:tc>
      </w:tr>
      <w:tr>
        <w:trPr>
          <w:trHeight w:val="213"/>
        </w:trPr>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2"/>
              </w:rPr>
              <w:t>Great Lakes Dredge &amp; Dock Corporation’s Current Report on Form 8-K filed with the Commission on January 6, 2004 (Commission</w:t>
            </w:r>
          </w:p>
        </w:tc>
        <w:tc>
          <w:tcPr>
            <w:tcW w:w="20" w:type="dxa"/>
            <w:vAlign w:val="bottom"/>
          </w:tcPr>
          <w:p>
            <w:pPr>
              <w:spacing w:after="0"/>
              <w:rPr>
                <w:sz w:val="18"/>
                <w:szCs w:val="18"/>
                <w:color w:val="auto"/>
              </w:rPr>
            </w:pPr>
          </w:p>
        </w:tc>
      </w:tr>
      <w:tr>
        <w:trPr>
          <w:trHeight w:val="224"/>
        </w:trPr>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file no. 333-64687)).</w:t>
            </w:r>
          </w:p>
        </w:tc>
        <w:tc>
          <w:tcPr>
            <w:tcW w:w="20" w:type="dxa"/>
            <w:vAlign w:val="bottom"/>
          </w:tcPr>
          <w:p>
            <w:pPr>
              <w:spacing w:after="0"/>
              <w:rPr>
                <w:sz w:val="19"/>
                <w:szCs w:val="19"/>
                <w:color w:val="auto"/>
              </w:rPr>
            </w:pPr>
          </w:p>
        </w:tc>
      </w:tr>
      <w:tr>
        <w:trPr>
          <w:trHeight w:val="415"/>
        </w:trPr>
        <w:tc>
          <w:tcPr>
            <w:tcW w:w="320" w:type="dxa"/>
            <w:vAlign w:val="bottom"/>
            <w:gridSpan w:val="2"/>
          </w:tcPr>
          <w:p>
            <w:pPr>
              <w:spacing w:after="0"/>
              <w:rPr>
                <w:rFonts w:ascii="Arial" w:cs="Arial" w:eastAsia="Arial" w:hAnsi="Arial"/>
                <w:sz w:val="18"/>
                <w:szCs w:val="18"/>
                <w:color w:val="0000EE"/>
              </w:rPr>
            </w:pPr>
            <w:hyperlink r:id="rId147">
              <w:r>
                <w:rPr>
                  <w:rFonts w:ascii="Arial" w:cs="Arial" w:eastAsia="Arial" w:hAnsi="Arial"/>
                  <w:sz w:val="18"/>
                  <w:szCs w:val="18"/>
                  <w:color w:val="0000EE"/>
                </w:rPr>
                <w:t>2.</w:t>
              </w:r>
              <w:r>
                <w:rPr>
                  <w:rFonts w:ascii="Arial" w:cs="Arial" w:eastAsia="Arial" w:hAnsi="Arial"/>
                  <w:sz w:val="18"/>
                  <w:szCs w:val="18"/>
                  <w:u w:val="single" w:color="auto"/>
                  <w:color w:val="0000EE"/>
                </w:rPr>
                <w:t>2</w:t>
              </w:r>
            </w:hyperlink>
          </w:p>
        </w:tc>
        <w:tc>
          <w:tcPr>
            <w:tcW w:w="1220" w:type="dxa"/>
            <w:vAlign w:val="bottom"/>
          </w:tcPr>
          <w:p>
            <w:pPr>
              <w:spacing w:after="0"/>
              <w:rPr>
                <w:sz w:val="24"/>
                <w:szCs w:val="24"/>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2"/>
              </w:rPr>
              <w:t>Agreement and Plan of Merger by and among GLDD Acquisitions Corp., Aldabra Acquisition Corporation, and certain shareholders</w:t>
            </w:r>
          </w:p>
        </w:tc>
        <w:tc>
          <w:tcPr>
            <w:tcW w:w="20" w:type="dxa"/>
            <w:vAlign w:val="bottom"/>
          </w:tcPr>
          <w:p>
            <w:pPr>
              <w:spacing w:after="0"/>
              <w:rPr>
                <w:sz w:val="24"/>
                <w:szCs w:val="24"/>
                <w:color w:val="auto"/>
              </w:rPr>
            </w:pPr>
          </w:p>
        </w:tc>
      </w:tr>
      <w:tr>
        <w:trPr>
          <w:trHeight w:val="221"/>
        </w:trPr>
        <w:tc>
          <w:tcPr>
            <w:tcW w:w="22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3"/>
              </w:rPr>
              <w:t>of Aldabra Acquisition Corporation and GLDD Acquisitions Corp., dated as of June 20, 2006. (Incorporated by reference to Great</w:t>
            </w:r>
          </w:p>
        </w:tc>
        <w:tc>
          <w:tcPr>
            <w:tcW w:w="20" w:type="dxa"/>
            <w:vAlign w:val="bottom"/>
          </w:tcPr>
          <w:p>
            <w:pPr>
              <w:spacing w:after="0"/>
              <w:rPr>
                <w:sz w:val="19"/>
                <w:szCs w:val="19"/>
                <w:color w:val="auto"/>
              </w:rPr>
            </w:pPr>
          </w:p>
        </w:tc>
      </w:tr>
      <w:tr>
        <w:trPr>
          <w:trHeight w:val="213"/>
        </w:trPr>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5"/>
              </w:rPr>
              <w:t>Lakes Dredge &amp; Dock Corporation’s Current Report on Form 8-K filed with the Commission on June 22, 2006 (Commission file</w:t>
            </w:r>
          </w:p>
        </w:tc>
        <w:tc>
          <w:tcPr>
            <w:tcW w:w="20" w:type="dxa"/>
            <w:vAlign w:val="bottom"/>
          </w:tcPr>
          <w:p>
            <w:pPr>
              <w:spacing w:after="0"/>
              <w:rPr>
                <w:sz w:val="18"/>
                <w:szCs w:val="18"/>
                <w:color w:val="auto"/>
              </w:rPr>
            </w:pPr>
          </w:p>
        </w:tc>
      </w:tr>
      <w:tr>
        <w:trPr>
          <w:trHeight w:val="224"/>
        </w:trPr>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no. 333-64687)).</w:t>
            </w:r>
          </w:p>
        </w:tc>
        <w:tc>
          <w:tcPr>
            <w:tcW w:w="20" w:type="dxa"/>
            <w:vAlign w:val="bottom"/>
          </w:tcPr>
          <w:p>
            <w:pPr>
              <w:spacing w:after="0"/>
              <w:rPr>
                <w:sz w:val="19"/>
                <w:szCs w:val="19"/>
                <w:color w:val="auto"/>
              </w:rPr>
            </w:pPr>
          </w:p>
        </w:tc>
      </w:tr>
      <w:tr>
        <w:trPr>
          <w:trHeight w:val="415"/>
        </w:trPr>
        <w:tc>
          <w:tcPr>
            <w:tcW w:w="320" w:type="dxa"/>
            <w:vAlign w:val="bottom"/>
            <w:gridSpan w:val="2"/>
          </w:tcPr>
          <w:p>
            <w:pPr>
              <w:spacing w:after="0"/>
              <w:rPr>
                <w:rFonts w:ascii="Arial" w:cs="Arial" w:eastAsia="Arial" w:hAnsi="Arial"/>
                <w:sz w:val="18"/>
                <w:szCs w:val="18"/>
                <w:color w:val="0000EE"/>
              </w:rPr>
            </w:pPr>
            <w:hyperlink r:id="rId148">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1220" w:type="dxa"/>
            <w:vAlign w:val="bottom"/>
          </w:tcPr>
          <w:p>
            <w:pPr>
              <w:spacing w:after="0"/>
              <w:rPr>
                <w:sz w:val="24"/>
                <w:szCs w:val="24"/>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0"/>
              </w:rPr>
              <w:t>Amended and Restated Certificate of Incorporation of Great Lakes Dredge &amp; Dock Holdings Corp., effective December 26, 2006 (now</w:t>
            </w:r>
          </w:p>
        </w:tc>
        <w:tc>
          <w:tcPr>
            <w:tcW w:w="20" w:type="dxa"/>
            <w:vAlign w:val="bottom"/>
          </w:tcPr>
          <w:p>
            <w:pPr>
              <w:spacing w:after="0"/>
              <w:rPr>
                <w:sz w:val="24"/>
                <w:szCs w:val="24"/>
                <w:color w:val="auto"/>
              </w:rPr>
            </w:pPr>
          </w:p>
        </w:tc>
      </w:tr>
      <w:tr>
        <w:trPr>
          <w:trHeight w:val="221"/>
        </w:trPr>
        <w:tc>
          <w:tcPr>
            <w:tcW w:w="22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7"/>
              </w:rPr>
              <w:t>renamed Great Lakes Dredge &amp; Dock Corporation). (Incorporated by reference to Great Lakes Dredge &amp; Dock Corporation’s</w:t>
            </w:r>
          </w:p>
        </w:tc>
        <w:tc>
          <w:tcPr>
            <w:tcW w:w="20" w:type="dxa"/>
            <w:vAlign w:val="bottom"/>
          </w:tcPr>
          <w:p>
            <w:pPr>
              <w:spacing w:after="0"/>
              <w:rPr>
                <w:sz w:val="19"/>
                <w:szCs w:val="19"/>
                <w:color w:val="auto"/>
              </w:rPr>
            </w:pPr>
          </w:p>
        </w:tc>
      </w:tr>
      <w:tr>
        <w:trPr>
          <w:trHeight w:val="224"/>
        </w:trPr>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6"/>
              </w:rPr>
              <w:t>Registration Statement on Form 8-A12B filed with the Commission on December 26, 2006 (Commission file no. 001-33225)).</w:t>
            </w:r>
          </w:p>
        </w:tc>
        <w:tc>
          <w:tcPr>
            <w:tcW w:w="20" w:type="dxa"/>
            <w:vAlign w:val="bottom"/>
          </w:tcPr>
          <w:p>
            <w:pPr>
              <w:spacing w:after="0"/>
              <w:rPr>
                <w:sz w:val="19"/>
                <w:szCs w:val="19"/>
                <w:color w:val="auto"/>
              </w:rPr>
            </w:pPr>
          </w:p>
        </w:tc>
      </w:tr>
      <w:tr>
        <w:trPr>
          <w:trHeight w:val="415"/>
        </w:trPr>
        <w:tc>
          <w:tcPr>
            <w:tcW w:w="320" w:type="dxa"/>
            <w:vAlign w:val="bottom"/>
            <w:gridSpan w:val="2"/>
          </w:tcPr>
          <w:p>
            <w:pPr>
              <w:spacing w:after="0"/>
              <w:rPr>
                <w:rFonts w:ascii="Arial" w:cs="Arial" w:eastAsia="Arial" w:hAnsi="Arial"/>
                <w:sz w:val="18"/>
                <w:szCs w:val="18"/>
                <w:color w:val="0000EE"/>
              </w:rPr>
            </w:pPr>
            <w:hyperlink r:id="rId149">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1220" w:type="dxa"/>
            <w:vAlign w:val="bottom"/>
          </w:tcPr>
          <w:p>
            <w:pPr>
              <w:spacing w:after="0"/>
              <w:rPr>
                <w:sz w:val="24"/>
                <w:szCs w:val="24"/>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1"/>
              </w:rPr>
              <w:t>Amended and Restated Bylaws of Great Lakes Dredge &amp; Dock Corporation, dated as of May 14, 2015. (Incorporated by reference to</w:t>
            </w:r>
          </w:p>
        </w:tc>
        <w:tc>
          <w:tcPr>
            <w:tcW w:w="20" w:type="dxa"/>
            <w:vAlign w:val="bottom"/>
          </w:tcPr>
          <w:p>
            <w:pPr>
              <w:spacing w:after="0"/>
              <w:rPr>
                <w:sz w:val="24"/>
                <w:szCs w:val="24"/>
                <w:color w:val="auto"/>
              </w:rPr>
            </w:pPr>
          </w:p>
        </w:tc>
      </w:tr>
      <w:tr>
        <w:trPr>
          <w:trHeight w:val="221"/>
        </w:trPr>
        <w:tc>
          <w:tcPr>
            <w:tcW w:w="22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3"/>
              </w:rPr>
              <w:t>Great Lakes Dredge &amp; Dock Corporation’s Current Report on Form 8-K filed with the Commission on May 20, 2015 (Commission</w:t>
            </w:r>
          </w:p>
        </w:tc>
        <w:tc>
          <w:tcPr>
            <w:tcW w:w="20" w:type="dxa"/>
            <w:vAlign w:val="bottom"/>
          </w:tcPr>
          <w:p>
            <w:pPr>
              <w:spacing w:after="0"/>
              <w:rPr>
                <w:sz w:val="19"/>
                <w:szCs w:val="19"/>
                <w:color w:val="auto"/>
              </w:rPr>
            </w:pPr>
          </w:p>
        </w:tc>
      </w:tr>
      <w:tr>
        <w:trPr>
          <w:trHeight w:val="224"/>
        </w:trPr>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file no. 001-33225)).</w:t>
            </w:r>
          </w:p>
        </w:tc>
        <w:tc>
          <w:tcPr>
            <w:tcW w:w="20" w:type="dxa"/>
            <w:vAlign w:val="bottom"/>
          </w:tcPr>
          <w:p>
            <w:pPr>
              <w:spacing w:after="0"/>
              <w:rPr>
                <w:sz w:val="19"/>
                <w:szCs w:val="19"/>
                <w:color w:val="auto"/>
              </w:rPr>
            </w:pPr>
          </w:p>
        </w:tc>
      </w:tr>
      <w:tr>
        <w:trPr>
          <w:trHeight w:val="415"/>
        </w:trPr>
        <w:tc>
          <w:tcPr>
            <w:tcW w:w="320" w:type="dxa"/>
            <w:vAlign w:val="bottom"/>
            <w:gridSpan w:val="2"/>
          </w:tcPr>
          <w:p>
            <w:pPr>
              <w:spacing w:after="0"/>
              <w:rPr>
                <w:rFonts w:ascii="Arial" w:cs="Arial" w:eastAsia="Arial" w:hAnsi="Arial"/>
                <w:sz w:val="18"/>
                <w:szCs w:val="18"/>
                <w:color w:val="0000EE"/>
              </w:rPr>
            </w:pPr>
            <w:hyperlink r:id="rId150">
              <w:r>
                <w:rPr>
                  <w:rFonts w:ascii="Arial" w:cs="Arial" w:eastAsia="Arial" w:hAnsi="Arial"/>
                  <w:sz w:val="18"/>
                  <w:szCs w:val="18"/>
                  <w:color w:val="0000EE"/>
                </w:rPr>
                <w:t>3.</w:t>
              </w:r>
              <w:r>
                <w:rPr>
                  <w:rFonts w:ascii="Arial" w:cs="Arial" w:eastAsia="Arial" w:hAnsi="Arial"/>
                  <w:sz w:val="18"/>
                  <w:szCs w:val="18"/>
                  <w:u w:val="single" w:color="auto"/>
                  <w:color w:val="0000EE"/>
                </w:rPr>
                <w:t>3</w:t>
              </w:r>
            </w:hyperlink>
          </w:p>
        </w:tc>
        <w:tc>
          <w:tcPr>
            <w:tcW w:w="1220" w:type="dxa"/>
            <w:vAlign w:val="bottom"/>
          </w:tcPr>
          <w:p>
            <w:pPr>
              <w:spacing w:after="0"/>
              <w:rPr>
                <w:sz w:val="24"/>
                <w:szCs w:val="24"/>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1"/>
              </w:rPr>
              <w:t>Certificate of Ownership and Merger of Great Lakes Dredge &amp; Dock Corporation with and into Great Lakes Dredge &amp; Dock Holdings</w:t>
            </w:r>
          </w:p>
        </w:tc>
        <w:tc>
          <w:tcPr>
            <w:tcW w:w="20" w:type="dxa"/>
            <w:vAlign w:val="bottom"/>
          </w:tcPr>
          <w:p>
            <w:pPr>
              <w:spacing w:after="0"/>
              <w:rPr>
                <w:sz w:val="24"/>
                <w:szCs w:val="24"/>
                <w:color w:val="auto"/>
              </w:rPr>
            </w:pPr>
          </w:p>
        </w:tc>
      </w:tr>
      <w:tr>
        <w:trPr>
          <w:trHeight w:val="221"/>
        </w:trPr>
        <w:tc>
          <w:tcPr>
            <w:tcW w:w="22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Corp. (Incorporated by reference to Great Lakes Dredge &amp; Dock Corporation’s Current Report on Form 8-K filed with the</w:t>
            </w:r>
          </w:p>
        </w:tc>
        <w:tc>
          <w:tcPr>
            <w:tcW w:w="20" w:type="dxa"/>
            <w:vAlign w:val="bottom"/>
          </w:tcPr>
          <w:p>
            <w:pPr>
              <w:spacing w:after="0"/>
              <w:rPr>
                <w:sz w:val="19"/>
                <w:szCs w:val="19"/>
                <w:color w:val="auto"/>
              </w:rPr>
            </w:pPr>
          </w:p>
        </w:tc>
      </w:tr>
      <w:tr>
        <w:trPr>
          <w:trHeight w:val="224"/>
        </w:trPr>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Commission on December 29, 2006 (Commission file no. 001-33225)).</w:t>
            </w:r>
          </w:p>
        </w:tc>
        <w:tc>
          <w:tcPr>
            <w:tcW w:w="20" w:type="dxa"/>
            <w:vAlign w:val="bottom"/>
          </w:tcPr>
          <w:p>
            <w:pPr>
              <w:spacing w:after="0"/>
              <w:rPr>
                <w:sz w:val="19"/>
                <w:szCs w:val="19"/>
                <w:color w:val="auto"/>
              </w:rPr>
            </w:pPr>
          </w:p>
        </w:tc>
      </w:tr>
      <w:tr>
        <w:trPr>
          <w:trHeight w:val="415"/>
        </w:trPr>
        <w:tc>
          <w:tcPr>
            <w:tcW w:w="320" w:type="dxa"/>
            <w:vAlign w:val="bottom"/>
            <w:gridSpan w:val="2"/>
          </w:tcPr>
          <w:p>
            <w:pPr>
              <w:spacing w:after="0"/>
              <w:rPr>
                <w:rFonts w:ascii="Arial" w:cs="Arial" w:eastAsia="Arial" w:hAnsi="Arial"/>
                <w:sz w:val="18"/>
                <w:szCs w:val="18"/>
                <w:color w:val="0000EE"/>
              </w:rPr>
            </w:pPr>
            <w:hyperlink r:id="rId151">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1220" w:type="dxa"/>
            <w:vAlign w:val="bottom"/>
          </w:tcPr>
          <w:p>
            <w:pPr>
              <w:spacing w:after="0"/>
              <w:rPr>
                <w:sz w:val="24"/>
                <w:szCs w:val="24"/>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3"/>
              </w:rPr>
              <w:t>Indenture, dated May 24, 2017, by and among the Company, certain subsidiary guarantors named therein and Wells Fargo Bank,</w:t>
            </w:r>
          </w:p>
        </w:tc>
        <w:tc>
          <w:tcPr>
            <w:tcW w:w="20" w:type="dxa"/>
            <w:vAlign w:val="bottom"/>
          </w:tcPr>
          <w:p>
            <w:pPr>
              <w:spacing w:after="0"/>
              <w:rPr>
                <w:sz w:val="24"/>
                <w:szCs w:val="24"/>
                <w:color w:val="auto"/>
              </w:rPr>
            </w:pPr>
          </w:p>
        </w:tc>
      </w:tr>
      <w:tr>
        <w:trPr>
          <w:trHeight w:val="221"/>
        </w:trPr>
        <w:tc>
          <w:tcPr>
            <w:tcW w:w="22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1"/>
              </w:rPr>
              <w:t>National Association, as trustee. (Incorporated by reference to Great Lakes Dredge &amp; Dock Corporation’s Current Report on Form 8-</w:t>
            </w:r>
          </w:p>
        </w:tc>
        <w:tc>
          <w:tcPr>
            <w:tcW w:w="20" w:type="dxa"/>
            <w:vAlign w:val="bottom"/>
          </w:tcPr>
          <w:p>
            <w:pPr>
              <w:spacing w:after="0"/>
              <w:rPr>
                <w:sz w:val="19"/>
                <w:szCs w:val="19"/>
                <w:color w:val="auto"/>
              </w:rPr>
            </w:pPr>
          </w:p>
        </w:tc>
      </w:tr>
      <w:tr>
        <w:trPr>
          <w:trHeight w:val="224"/>
        </w:trPr>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K filed with the Commission on May 24, 2017 (Commission file no. 001-33225)).</w:t>
            </w:r>
          </w:p>
        </w:tc>
        <w:tc>
          <w:tcPr>
            <w:tcW w:w="20" w:type="dxa"/>
            <w:vAlign w:val="bottom"/>
          </w:tcPr>
          <w:p>
            <w:pPr>
              <w:spacing w:after="0"/>
              <w:rPr>
                <w:sz w:val="19"/>
                <w:szCs w:val="19"/>
                <w:color w:val="auto"/>
              </w:rPr>
            </w:pPr>
          </w:p>
        </w:tc>
      </w:tr>
      <w:tr>
        <w:trPr>
          <w:trHeight w:val="415"/>
        </w:trPr>
        <w:tc>
          <w:tcPr>
            <w:tcW w:w="320" w:type="dxa"/>
            <w:vAlign w:val="bottom"/>
            <w:gridSpan w:val="2"/>
          </w:tcPr>
          <w:p>
            <w:pPr>
              <w:spacing w:after="0"/>
              <w:rPr>
                <w:rFonts w:ascii="Arial" w:cs="Arial" w:eastAsia="Arial" w:hAnsi="Arial"/>
                <w:sz w:val="18"/>
                <w:szCs w:val="18"/>
                <w:color w:val="0000EE"/>
              </w:rPr>
            </w:pPr>
            <w:hyperlink r:id="rId152">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1220" w:type="dxa"/>
            <w:vAlign w:val="bottom"/>
          </w:tcPr>
          <w:p>
            <w:pPr>
              <w:spacing w:after="0"/>
              <w:rPr>
                <w:sz w:val="24"/>
                <w:szCs w:val="24"/>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6"/>
              </w:rPr>
              <w:t>Specimen Common Stock Certificate for Great Lakes Dredge &amp; Dock Corporation. (Incorporated by reference to Great Lakes</w:t>
            </w:r>
          </w:p>
        </w:tc>
        <w:tc>
          <w:tcPr>
            <w:tcW w:w="20" w:type="dxa"/>
            <w:vAlign w:val="bottom"/>
          </w:tcPr>
          <w:p>
            <w:pPr>
              <w:spacing w:after="0"/>
              <w:rPr>
                <w:sz w:val="24"/>
                <w:szCs w:val="24"/>
                <w:color w:val="auto"/>
              </w:rPr>
            </w:pPr>
          </w:p>
        </w:tc>
      </w:tr>
      <w:tr>
        <w:trPr>
          <w:trHeight w:val="221"/>
        </w:trPr>
        <w:tc>
          <w:tcPr>
            <w:tcW w:w="22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2"/>
              </w:rPr>
              <w:t>Dredge &amp; Dock Corporation’s Annual Report on Form 10-K filed with the Commission on March 22, 2007 (Commission file no. 001-</w:t>
            </w:r>
          </w:p>
        </w:tc>
        <w:tc>
          <w:tcPr>
            <w:tcW w:w="20" w:type="dxa"/>
            <w:vAlign w:val="bottom"/>
          </w:tcPr>
          <w:p>
            <w:pPr>
              <w:spacing w:after="0"/>
              <w:rPr>
                <w:sz w:val="19"/>
                <w:szCs w:val="19"/>
                <w:color w:val="auto"/>
              </w:rPr>
            </w:pPr>
          </w:p>
        </w:tc>
      </w:tr>
      <w:tr>
        <w:trPr>
          <w:trHeight w:val="224"/>
        </w:trPr>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33225)).</w:t>
            </w:r>
          </w:p>
        </w:tc>
        <w:tc>
          <w:tcPr>
            <w:tcW w:w="20" w:type="dxa"/>
            <w:vAlign w:val="bottom"/>
          </w:tcPr>
          <w:p>
            <w:pPr>
              <w:spacing w:after="0"/>
              <w:rPr>
                <w:sz w:val="19"/>
                <w:szCs w:val="19"/>
                <w:color w:val="auto"/>
              </w:rPr>
            </w:pPr>
          </w:p>
        </w:tc>
      </w:tr>
      <w:tr>
        <w:trPr>
          <w:trHeight w:val="415"/>
        </w:trPr>
        <w:tc>
          <w:tcPr>
            <w:tcW w:w="1540" w:type="dxa"/>
            <w:vAlign w:val="bottom"/>
            <w:gridSpan w:val="3"/>
          </w:tcPr>
          <w:p>
            <w:pPr>
              <w:spacing w:after="0"/>
              <w:rPr>
                <w:rFonts w:ascii="Arial" w:cs="Arial" w:eastAsia="Arial" w:hAnsi="Arial"/>
                <w:sz w:val="18"/>
                <w:szCs w:val="18"/>
                <w:color w:val="0000EE"/>
              </w:rPr>
            </w:pPr>
            <w:hyperlink r:id="rId153">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2"/>
              </w:rPr>
              <w:t>Agreement of Indemnity, dated as of April 7, 2015, by and among Great Lakes Dredge &amp; Dock Corporation, Great Lakes Dredge &amp;</w:t>
            </w:r>
          </w:p>
        </w:tc>
        <w:tc>
          <w:tcPr>
            <w:tcW w:w="20" w:type="dxa"/>
            <w:vAlign w:val="bottom"/>
          </w:tcPr>
          <w:p>
            <w:pPr>
              <w:spacing w:after="0"/>
              <w:rPr>
                <w:sz w:val="24"/>
                <w:szCs w:val="24"/>
                <w:color w:val="auto"/>
              </w:rPr>
            </w:pPr>
          </w:p>
        </w:tc>
      </w:tr>
      <w:tr>
        <w:trPr>
          <w:trHeight w:val="221"/>
        </w:trPr>
        <w:tc>
          <w:tcPr>
            <w:tcW w:w="2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22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4"/>
              </w:rPr>
              <w:t>Dock Company, LLC, Great Lakes Environmental &amp; Infrastructure Solutions, LLC, Magnus Pacific, LLC, Terra Contracting, LLC,</w:t>
            </w:r>
          </w:p>
        </w:tc>
        <w:tc>
          <w:tcPr>
            <w:tcW w:w="20" w:type="dxa"/>
            <w:vAlign w:val="bottom"/>
          </w:tcPr>
          <w:p>
            <w:pPr>
              <w:spacing w:after="0"/>
              <w:rPr>
                <w:sz w:val="19"/>
                <w:szCs w:val="19"/>
                <w:color w:val="auto"/>
              </w:rPr>
            </w:pPr>
          </w:p>
        </w:tc>
      </w:tr>
      <w:tr>
        <w:trPr>
          <w:trHeight w:val="213"/>
        </w:trPr>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2"/>
              </w:rPr>
              <w:t>Terra Fluid Management, LLC and Liberty Mutual Insurance Company and its subsidiaries and affiliates. (Incorporated by reference</w:t>
            </w:r>
          </w:p>
        </w:tc>
        <w:tc>
          <w:tcPr>
            <w:tcW w:w="20" w:type="dxa"/>
            <w:vAlign w:val="bottom"/>
          </w:tcPr>
          <w:p>
            <w:pPr>
              <w:spacing w:after="0"/>
              <w:rPr>
                <w:sz w:val="18"/>
                <w:szCs w:val="18"/>
                <w:color w:val="auto"/>
              </w:rPr>
            </w:pPr>
          </w:p>
        </w:tc>
      </w:tr>
      <w:tr>
        <w:trPr>
          <w:trHeight w:val="213"/>
        </w:trPr>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to Great Lakes Dredge &amp; Dock Corporation’s Quarterly Report on Form 10-Q filed with the Commission on May 6, 2015</w:t>
            </w:r>
          </w:p>
        </w:tc>
        <w:tc>
          <w:tcPr>
            <w:tcW w:w="20" w:type="dxa"/>
            <w:vAlign w:val="bottom"/>
          </w:tcPr>
          <w:p>
            <w:pPr>
              <w:spacing w:after="0"/>
              <w:rPr>
                <w:sz w:val="18"/>
                <w:szCs w:val="18"/>
                <w:color w:val="auto"/>
              </w:rPr>
            </w:pPr>
          </w:p>
        </w:tc>
      </w:tr>
      <w:tr>
        <w:trPr>
          <w:trHeight w:val="224"/>
        </w:trPr>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(Commission file no. 001-33225)).</w:t>
            </w:r>
          </w:p>
        </w:tc>
        <w:tc>
          <w:tcPr>
            <w:tcW w:w="20" w:type="dxa"/>
            <w:vAlign w:val="bottom"/>
          </w:tcPr>
          <w:p>
            <w:pPr>
              <w:spacing w:after="0"/>
              <w:rPr>
                <w:sz w:val="19"/>
                <w:szCs w:val="19"/>
                <w:color w:val="auto"/>
              </w:rPr>
            </w:pPr>
          </w:p>
        </w:tc>
      </w:tr>
      <w:tr>
        <w:trPr>
          <w:trHeight w:val="415"/>
        </w:trPr>
        <w:tc>
          <w:tcPr>
            <w:tcW w:w="1540" w:type="dxa"/>
            <w:vAlign w:val="bottom"/>
            <w:gridSpan w:val="3"/>
          </w:tcPr>
          <w:p>
            <w:pPr>
              <w:spacing w:after="0"/>
              <w:rPr>
                <w:rFonts w:ascii="Arial" w:cs="Arial" w:eastAsia="Arial" w:hAnsi="Arial"/>
                <w:sz w:val="18"/>
                <w:szCs w:val="18"/>
                <w:color w:val="0000EE"/>
              </w:rPr>
            </w:pPr>
            <w:hyperlink r:id="rId154">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1"/>
              </w:rPr>
              <w:t>Agreement of Indemnity, dated as of April 13, 2015, by and among Great Lakes Dredge &amp; Dock Corporation, Great Lakes Dredge &amp;</w:t>
            </w:r>
          </w:p>
        </w:tc>
        <w:tc>
          <w:tcPr>
            <w:tcW w:w="20" w:type="dxa"/>
            <w:vAlign w:val="bottom"/>
          </w:tcPr>
          <w:p>
            <w:pPr>
              <w:spacing w:after="0"/>
              <w:rPr>
                <w:sz w:val="24"/>
                <w:szCs w:val="24"/>
                <w:color w:val="auto"/>
              </w:rPr>
            </w:pPr>
          </w:p>
        </w:tc>
      </w:tr>
      <w:tr>
        <w:trPr>
          <w:trHeight w:val="221"/>
        </w:trPr>
        <w:tc>
          <w:tcPr>
            <w:tcW w:w="2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22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4"/>
              </w:rPr>
              <w:t>Dock Company, LLC, Great Lakes Environmental &amp; Infrastructure Solutions, LLC, Magnus Pacific, LLC, Terra Contracting, LLC,</w:t>
            </w:r>
          </w:p>
        </w:tc>
        <w:tc>
          <w:tcPr>
            <w:tcW w:w="20" w:type="dxa"/>
            <w:vAlign w:val="bottom"/>
          </w:tcPr>
          <w:p>
            <w:pPr>
              <w:spacing w:after="0"/>
              <w:rPr>
                <w:sz w:val="19"/>
                <w:szCs w:val="19"/>
                <w:color w:val="auto"/>
              </w:rPr>
            </w:pPr>
          </w:p>
        </w:tc>
      </w:tr>
      <w:tr>
        <w:trPr>
          <w:trHeight w:val="213"/>
        </w:trPr>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5"/>
              </w:rPr>
              <w:t>Terra Fluid Management, LLC and Berkley Insurance Company and/or Berkley Regional Insurance Company. (Incorporated by</w:t>
            </w:r>
          </w:p>
        </w:tc>
        <w:tc>
          <w:tcPr>
            <w:tcW w:w="20" w:type="dxa"/>
            <w:vAlign w:val="bottom"/>
          </w:tcPr>
          <w:p>
            <w:pPr>
              <w:spacing w:after="0"/>
              <w:rPr>
                <w:sz w:val="18"/>
                <w:szCs w:val="18"/>
                <w:color w:val="auto"/>
              </w:rPr>
            </w:pPr>
          </w:p>
        </w:tc>
      </w:tr>
      <w:tr>
        <w:trPr>
          <w:trHeight w:val="213"/>
        </w:trPr>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3"/>
              </w:rPr>
              <w:t>reference to Great Lakes Dredge &amp; Dock Corporation’s Quarterly Report on Form 10-Q filed with the Commission on May 6, 2015</w:t>
            </w:r>
          </w:p>
        </w:tc>
        <w:tc>
          <w:tcPr>
            <w:tcW w:w="20" w:type="dxa"/>
            <w:vAlign w:val="bottom"/>
          </w:tcPr>
          <w:p>
            <w:pPr>
              <w:spacing w:after="0"/>
              <w:rPr>
                <w:sz w:val="18"/>
                <w:szCs w:val="18"/>
                <w:color w:val="auto"/>
              </w:rPr>
            </w:pPr>
          </w:p>
        </w:tc>
      </w:tr>
      <w:tr>
        <w:trPr>
          <w:trHeight w:val="224"/>
        </w:trPr>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(Commission file no. 001-33225)).</w:t>
            </w:r>
          </w:p>
        </w:tc>
        <w:tc>
          <w:tcPr>
            <w:tcW w:w="20" w:type="dxa"/>
            <w:vAlign w:val="bottom"/>
          </w:tcPr>
          <w:p>
            <w:pPr>
              <w:spacing w:after="0"/>
              <w:rPr>
                <w:sz w:val="19"/>
                <w:szCs w:val="19"/>
                <w:color w:val="auto"/>
              </w:rPr>
            </w:pPr>
          </w:p>
        </w:tc>
      </w:tr>
      <w:tr>
        <w:trPr>
          <w:trHeight w:val="415"/>
        </w:trPr>
        <w:tc>
          <w:tcPr>
            <w:tcW w:w="1540" w:type="dxa"/>
            <w:vAlign w:val="bottom"/>
            <w:gridSpan w:val="3"/>
          </w:tcPr>
          <w:p>
            <w:pPr>
              <w:spacing w:after="0"/>
              <w:rPr>
                <w:rFonts w:ascii="Arial" w:cs="Arial" w:eastAsia="Arial" w:hAnsi="Arial"/>
                <w:sz w:val="18"/>
                <w:szCs w:val="18"/>
                <w:color w:val="0000EE"/>
              </w:rPr>
            </w:pPr>
            <w:hyperlink r:id="rId155">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2"/>
              </w:rPr>
              <w:t>Agreement of Indemnity, dated as of April 7, 2015, by and among Great Lakes Dredge &amp; Dock Corporation, Great Lakes Dredge &amp;</w:t>
            </w:r>
          </w:p>
        </w:tc>
        <w:tc>
          <w:tcPr>
            <w:tcW w:w="20" w:type="dxa"/>
            <w:vAlign w:val="bottom"/>
          </w:tcPr>
          <w:p>
            <w:pPr>
              <w:spacing w:after="0"/>
              <w:rPr>
                <w:sz w:val="24"/>
                <w:szCs w:val="24"/>
                <w:color w:val="auto"/>
              </w:rPr>
            </w:pPr>
          </w:p>
        </w:tc>
      </w:tr>
      <w:tr>
        <w:trPr>
          <w:trHeight w:val="221"/>
        </w:trPr>
        <w:tc>
          <w:tcPr>
            <w:tcW w:w="2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22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4"/>
              </w:rPr>
              <w:t>Dock Company, LLC, Great Lakes Environmental &amp; Infrastructure Solutions, LLC, Magnus Pacific, LLC, Terra Contracting, LLC,</w:t>
            </w:r>
          </w:p>
        </w:tc>
        <w:tc>
          <w:tcPr>
            <w:tcW w:w="20" w:type="dxa"/>
            <w:vAlign w:val="bottom"/>
          </w:tcPr>
          <w:p>
            <w:pPr>
              <w:spacing w:after="0"/>
              <w:rPr>
                <w:sz w:val="19"/>
                <w:szCs w:val="19"/>
                <w:color w:val="auto"/>
              </w:rPr>
            </w:pPr>
          </w:p>
        </w:tc>
      </w:tr>
      <w:tr>
        <w:trPr>
          <w:trHeight w:val="213"/>
        </w:trPr>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7"/>
              </w:rPr>
              <w:t>Terra Fluid Management, LLC and Argonaut Insurance Company. (Incorporated by reference to Great Lakes Dredge &amp; Dock</w:t>
            </w:r>
          </w:p>
        </w:tc>
        <w:tc>
          <w:tcPr>
            <w:tcW w:w="20" w:type="dxa"/>
            <w:vAlign w:val="bottom"/>
          </w:tcPr>
          <w:p>
            <w:pPr>
              <w:spacing w:after="0"/>
              <w:rPr>
                <w:sz w:val="18"/>
                <w:szCs w:val="18"/>
                <w:color w:val="auto"/>
              </w:rPr>
            </w:pPr>
          </w:p>
        </w:tc>
      </w:tr>
      <w:tr>
        <w:trPr>
          <w:trHeight w:val="224"/>
        </w:trPr>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8"/>
              </w:rPr>
              <w:t>Corporation’s Quarterly Report on Form 10-Q filed with the Commission on May 6, 2015 (Commission file no. 001-33225)).</w:t>
            </w:r>
          </w:p>
        </w:tc>
        <w:tc>
          <w:tcPr>
            <w:tcW w:w="20" w:type="dxa"/>
            <w:vAlign w:val="bottom"/>
          </w:tcPr>
          <w:p>
            <w:pPr>
              <w:spacing w:after="0"/>
              <w:rPr>
                <w:sz w:val="19"/>
                <w:szCs w:val="19"/>
                <w:color w:val="auto"/>
              </w:rPr>
            </w:pPr>
          </w:p>
        </w:tc>
      </w:tr>
      <w:tr>
        <w:trPr>
          <w:trHeight w:val="653"/>
        </w:trPr>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80" w:type="dxa"/>
            <w:vAlign w:val="bottom"/>
            <w:gridSpan w:val="2"/>
          </w:tcPr>
          <w:p>
            <w:pPr>
              <w:jc w:val="right"/>
              <w:ind w:right="5531"/>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24"/>
                <w:szCs w:val="24"/>
                <w:color w:val="auto"/>
              </w:rPr>
            </w:pPr>
          </w:p>
        </w:tc>
      </w:tr>
      <w:tr>
        <w:trPr>
          <w:trHeight w:val="115"/>
        </w:trPr>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6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1"/>
        </w:trPr>
        <w:tc>
          <w:tcPr>
            <w:tcW w:w="15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20"/>
                <w:szCs w:val="20"/>
                <w:color w:val="auto"/>
              </w:rPr>
            </w:pPr>
          </w:p>
        </w:tc>
        <w:tc>
          <w:tcPr>
            <w:tcW w:w="9640" w:type="dxa"/>
            <w:vAlign w:val="bottom"/>
            <w:tcBorders>
              <w:bottom w:val="single" w:sz="8" w:color="auto"/>
            </w:tcBorders>
          </w:tcPr>
          <w:p>
            <w:pPr>
              <w:jc w:val="right"/>
              <w:ind w:right="3891"/>
              <w:spacing w:after="0"/>
              <w:rPr>
                <w:sz w:val="20"/>
                <w:szCs w:val="20"/>
                <w:color w:val="auto"/>
              </w:rPr>
            </w:pPr>
            <w:r>
              <w:rPr>
                <w:rFonts w:ascii="Arial" w:cs="Arial" w:eastAsia="Arial" w:hAnsi="Arial"/>
                <w:sz w:val="18"/>
                <w:szCs w:val="18"/>
                <w:b w:val="1"/>
                <w:bCs w:val="1"/>
                <w:color w:val="auto"/>
              </w:rPr>
              <w:t>Document Description</w:t>
            </w:r>
          </w:p>
        </w:tc>
        <w:tc>
          <w:tcPr>
            <w:tcW w:w="20" w:type="dxa"/>
            <w:vAlign w:val="bottom"/>
          </w:tcPr>
          <w:p>
            <w:pPr>
              <w:spacing w:after="0"/>
              <w:rPr>
                <w:sz w:val="20"/>
                <w:szCs w:val="20"/>
                <w:color w:val="auto"/>
              </w:rPr>
            </w:pPr>
          </w:p>
        </w:tc>
      </w:tr>
      <w:tr>
        <w:trPr>
          <w:trHeight w:val="181"/>
        </w:trPr>
        <w:tc>
          <w:tcPr>
            <w:tcW w:w="400" w:type="dxa"/>
            <w:vAlign w:val="bottom"/>
            <w:gridSpan w:val="2"/>
          </w:tcPr>
          <w:p>
            <w:pPr>
              <w:spacing w:after="0" w:line="181" w:lineRule="exact"/>
              <w:rPr>
                <w:rFonts w:ascii="Arial" w:cs="Arial" w:eastAsia="Arial" w:hAnsi="Arial"/>
                <w:sz w:val="18"/>
                <w:szCs w:val="18"/>
                <w:color w:val="0000EE"/>
              </w:rPr>
            </w:pPr>
            <w:hyperlink r:id="rId158">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1140" w:type="dxa"/>
            <w:vAlign w:val="bottom"/>
          </w:tcPr>
          <w:p>
            <w:pPr>
              <w:spacing w:after="0"/>
              <w:rPr>
                <w:sz w:val="15"/>
                <w:szCs w:val="15"/>
                <w:color w:val="auto"/>
              </w:rPr>
            </w:pPr>
          </w:p>
        </w:tc>
        <w:tc>
          <w:tcPr>
            <w:tcW w:w="9880" w:type="dxa"/>
            <w:vAlign w:val="bottom"/>
            <w:gridSpan w:val="2"/>
          </w:tcPr>
          <w:p>
            <w:pPr>
              <w:ind w:left="240"/>
              <w:spacing w:after="0" w:line="181" w:lineRule="exact"/>
              <w:rPr>
                <w:sz w:val="20"/>
                <w:szCs w:val="20"/>
                <w:color w:val="auto"/>
              </w:rPr>
            </w:pPr>
            <w:r>
              <w:rPr>
                <w:rFonts w:ascii="Arial" w:cs="Arial" w:eastAsia="Arial" w:hAnsi="Arial"/>
                <w:sz w:val="18"/>
                <w:szCs w:val="18"/>
                <w:color w:val="auto"/>
                <w:w w:val="92"/>
              </w:rPr>
              <w:t>Agreement of Indemnity, dated as of April 7, 2015, by and among Great Lakes Dredge &amp; Dock Corporation, Great Lakes Dredge &amp;</w:t>
            </w:r>
          </w:p>
        </w:tc>
        <w:tc>
          <w:tcPr>
            <w:tcW w:w="20" w:type="dxa"/>
            <w:vAlign w:val="bottom"/>
          </w:tcPr>
          <w:p>
            <w:pPr>
              <w:spacing w:after="0"/>
              <w:rPr>
                <w:sz w:val="15"/>
                <w:szCs w:val="15"/>
                <w:color w:val="auto"/>
              </w:rPr>
            </w:pPr>
          </w:p>
        </w:tc>
      </w:tr>
      <w:tr>
        <w:trPr>
          <w:trHeight w:val="221"/>
        </w:trPr>
        <w:tc>
          <w:tcPr>
            <w:tcW w:w="32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4"/>
              </w:rPr>
              <w:t>Dock Company, LLC, Great Lakes Environmental &amp; Infrastructure Solutions, LLC, Magnus Pacific, LLC, Terra Contracting, LLC,</w:t>
            </w:r>
          </w:p>
        </w:tc>
        <w:tc>
          <w:tcPr>
            <w:tcW w:w="20" w:type="dxa"/>
            <w:vAlign w:val="bottom"/>
          </w:tcPr>
          <w:p>
            <w:pPr>
              <w:spacing w:after="0"/>
              <w:rPr>
                <w:sz w:val="19"/>
                <w:szCs w:val="19"/>
                <w:color w:val="auto"/>
              </w:rPr>
            </w:pPr>
          </w:p>
        </w:tc>
      </w:tr>
      <w:tr>
        <w:trPr>
          <w:trHeight w:val="213"/>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Terra Fluid Management, LLC and Westchester Fire Insurance</w:t>
            </w:r>
          </w:p>
        </w:tc>
        <w:tc>
          <w:tcPr>
            <w:tcW w:w="20" w:type="dxa"/>
            <w:vAlign w:val="bottom"/>
          </w:tcPr>
          <w:p>
            <w:pPr>
              <w:spacing w:after="0"/>
              <w:rPr>
                <w:sz w:val="18"/>
                <w:szCs w:val="18"/>
                <w:color w:val="auto"/>
              </w:rPr>
            </w:pPr>
          </w:p>
        </w:tc>
      </w:tr>
      <w:tr>
        <w:trPr>
          <w:trHeight w:val="213"/>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7"/>
              </w:rPr>
              <w:t>Company or any of its affiliates, including any other company that is part of or added to ACE Holdings, Inc. (Incorporated by</w:t>
            </w:r>
          </w:p>
        </w:tc>
        <w:tc>
          <w:tcPr>
            <w:tcW w:w="20" w:type="dxa"/>
            <w:vAlign w:val="bottom"/>
          </w:tcPr>
          <w:p>
            <w:pPr>
              <w:spacing w:after="0"/>
              <w:rPr>
                <w:sz w:val="18"/>
                <w:szCs w:val="18"/>
                <w:color w:val="auto"/>
              </w:rPr>
            </w:pPr>
          </w:p>
        </w:tc>
      </w:tr>
      <w:tr>
        <w:trPr>
          <w:trHeight w:val="213"/>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3"/>
              </w:rPr>
              <w:t>reference to Great Lakes Dredge &amp; Dock Corporation’s Quarterly Report on Form 10-Q filed with the Commission on May 6, 2015</w:t>
            </w:r>
          </w:p>
        </w:tc>
        <w:tc>
          <w:tcPr>
            <w:tcW w:w="20" w:type="dxa"/>
            <w:vAlign w:val="bottom"/>
          </w:tcPr>
          <w:p>
            <w:pPr>
              <w:spacing w:after="0"/>
              <w:rPr>
                <w:sz w:val="18"/>
                <w:szCs w:val="18"/>
                <w:color w:val="auto"/>
              </w:rPr>
            </w:pPr>
          </w:p>
        </w:tc>
      </w:tr>
      <w:tr>
        <w:trPr>
          <w:trHeight w:val="224"/>
        </w:trPr>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(Commission file no. 001-33225)).</w:t>
            </w:r>
          </w:p>
        </w:tc>
        <w:tc>
          <w:tcPr>
            <w:tcW w:w="20" w:type="dxa"/>
            <w:vAlign w:val="bottom"/>
          </w:tcPr>
          <w:p>
            <w:pPr>
              <w:spacing w:after="0"/>
              <w:rPr>
                <w:sz w:val="19"/>
                <w:szCs w:val="19"/>
                <w:color w:val="auto"/>
              </w:rPr>
            </w:pPr>
          </w:p>
        </w:tc>
      </w:tr>
      <w:tr>
        <w:trPr>
          <w:trHeight w:val="415"/>
        </w:trPr>
        <w:tc>
          <w:tcPr>
            <w:tcW w:w="400" w:type="dxa"/>
            <w:vAlign w:val="bottom"/>
            <w:gridSpan w:val="2"/>
          </w:tcPr>
          <w:p>
            <w:pPr>
              <w:spacing w:after="0"/>
              <w:rPr>
                <w:rFonts w:ascii="Arial" w:cs="Arial" w:eastAsia="Arial" w:hAnsi="Arial"/>
                <w:sz w:val="18"/>
                <w:szCs w:val="18"/>
                <w:color w:val="0000EE"/>
              </w:rPr>
            </w:pPr>
            <w:hyperlink r:id="rId159">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1140" w:type="dxa"/>
            <w:vAlign w:val="bottom"/>
          </w:tcPr>
          <w:p>
            <w:pPr>
              <w:spacing w:after="0"/>
              <w:rPr>
                <w:sz w:val="24"/>
                <w:szCs w:val="24"/>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2"/>
              </w:rPr>
              <w:t>Amended and Restated Management Equity Agreement dated December 26, 2006 by and among Aldabra Acquisition Corporation,</w:t>
            </w:r>
          </w:p>
        </w:tc>
        <w:tc>
          <w:tcPr>
            <w:tcW w:w="20" w:type="dxa"/>
            <w:vAlign w:val="bottom"/>
          </w:tcPr>
          <w:p>
            <w:pPr>
              <w:spacing w:after="0"/>
              <w:rPr>
                <w:sz w:val="24"/>
                <w:szCs w:val="24"/>
                <w:color w:val="auto"/>
              </w:rPr>
            </w:pPr>
          </w:p>
        </w:tc>
      </w:tr>
      <w:tr>
        <w:trPr>
          <w:trHeight w:val="221"/>
        </w:trPr>
        <w:tc>
          <w:tcPr>
            <w:tcW w:w="32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0"/>
              </w:rPr>
              <w:t>Great Lakes Dredge &amp; Dock Holdings Corp. and each of the other persons identified on the signature pages thereto. (Incorporated by</w:t>
            </w:r>
          </w:p>
        </w:tc>
        <w:tc>
          <w:tcPr>
            <w:tcW w:w="20" w:type="dxa"/>
            <w:vAlign w:val="bottom"/>
          </w:tcPr>
          <w:p>
            <w:pPr>
              <w:spacing w:after="0"/>
              <w:rPr>
                <w:sz w:val="19"/>
                <w:szCs w:val="19"/>
                <w:color w:val="auto"/>
              </w:rPr>
            </w:pPr>
          </w:p>
        </w:tc>
      </w:tr>
      <w:tr>
        <w:trPr>
          <w:trHeight w:val="213"/>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4"/>
              </w:rPr>
              <w:t>reference to Great Lakes Dredge &amp; Dock Corporation’s Current Report on Form 8-K filed with the Commission on December 29,</w:t>
            </w:r>
          </w:p>
        </w:tc>
        <w:tc>
          <w:tcPr>
            <w:tcW w:w="20" w:type="dxa"/>
            <w:vAlign w:val="bottom"/>
          </w:tcPr>
          <w:p>
            <w:pPr>
              <w:spacing w:after="0"/>
              <w:rPr>
                <w:sz w:val="18"/>
                <w:szCs w:val="18"/>
                <w:color w:val="auto"/>
              </w:rPr>
            </w:pPr>
          </w:p>
        </w:tc>
      </w:tr>
      <w:tr>
        <w:trPr>
          <w:trHeight w:val="224"/>
        </w:trPr>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2006 (Commission file no. 001-33225)).†</w:t>
            </w:r>
          </w:p>
        </w:tc>
        <w:tc>
          <w:tcPr>
            <w:tcW w:w="20" w:type="dxa"/>
            <w:vAlign w:val="bottom"/>
          </w:tcPr>
          <w:p>
            <w:pPr>
              <w:spacing w:after="0"/>
              <w:rPr>
                <w:sz w:val="19"/>
                <w:szCs w:val="19"/>
                <w:color w:val="auto"/>
              </w:rPr>
            </w:pPr>
          </w:p>
        </w:tc>
      </w:tr>
      <w:tr>
        <w:trPr>
          <w:trHeight w:val="415"/>
        </w:trPr>
        <w:tc>
          <w:tcPr>
            <w:tcW w:w="400" w:type="dxa"/>
            <w:vAlign w:val="bottom"/>
            <w:gridSpan w:val="2"/>
          </w:tcPr>
          <w:p>
            <w:pPr>
              <w:spacing w:after="0"/>
              <w:rPr>
                <w:rFonts w:ascii="Arial" w:cs="Arial" w:eastAsia="Arial" w:hAnsi="Arial"/>
                <w:sz w:val="18"/>
                <w:szCs w:val="18"/>
                <w:color w:val="0000EE"/>
              </w:rPr>
            </w:pPr>
            <w:hyperlink r:id="rId160">
              <w:r>
                <w:rPr>
                  <w:rFonts w:ascii="Arial" w:cs="Arial" w:eastAsia="Arial" w:hAnsi="Arial"/>
                  <w:sz w:val="18"/>
                  <w:szCs w:val="18"/>
                  <w:color w:val="0000EE"/>
                </w:rPr>
                <w:t>10.</w:t>
              </w:r>
              <w:r>
                <w:rPr>
                  <w:rFonts w:ascii="Arial" w:cs="Arial" w:eastAsia="Arial" w:hAnsi="Arial"/>
                  <w:sz w:val="18"/>
                  <w:szCs w:val="18"/>
                  <w:u w:val="single" w:color="auto"/>
                  <w:color w:val="0000EE"/>
                </w:rPr>
                <w:t>6</w:t>
              </w:r>
            </w:hyperlink>
          </w:p>
        </w:tc>
        <w:tc>
          <w:tcPr>
            <w:tcW w:w="1140" w:type="dxa"/>
            <w:vAlign w:val="bottom"/>
          </w:tcPr>
          <w:p>
            <w:pPr>
              <w:spacing w:after="0"/>
              <w:rPr>
                <w:sz w:val="24"/>
                <w:szCs w:val="24"/>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1"/>
              </w:rPr>
              <w:t>Amended and Restated Employment Agreement between Great Lakes Dredge &amp; Dock Corporation and David E. Simonelli, dated as</w:t>
            </w:r>
          </w:p>
        </w:tc>
        <w:tc>
          <w:tcPr>
            <w:tcW w:w="20" w:type="dxa"/>
            <w:vAlign w:val="bottom"/>
          </w:tcPr>
          <w:p>
            <w:pPr>
              <w:spacing w:after="0"/>
              <w:rPr>
                <w:sz w:val="24"/>
                <w:szCs w:val="24"/>
                <w:color w:val="auto"/>
              </w:rPr>
            </w:pPr>
          </w:p>
        </w:tc>
      </w:tr>
      <w:tr>
        <w:trPr>
          <w:trHeight w:val="221"/>
        </w:trPr>
        <w:tc>
          <w:tcPr>
            <w:tcW w:w="32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3"/>
              </w:rPr>
              <w:t>of May 8, 2014. (Incorporated by reference to Great Lakes Dredge &amp; Dock Corporation’s Quarterly Report on Form 10-Q filed with</w:t>
            </w:r>
          </w:p>
        </w:tc>
        <w:tc>
          <w:tcPr>
            <w:tcW w:w="20" w:type="dxa"/>
            <w:vAlign w:val="bottom"/>
          </w:tcPr>
          <w:p>
            <w:pPr>
              <w:spacing w:after="0"/>
              <w:rPr>
                <w:sz w:val="19"/>
                <w:szCs w:val="19"/>
                <w:color w:val="auto"/>
              </w:rPr>
            </w:pPr>
          </w:p>
        </w:tc>
      </w:tr>
      <w:tr>
        <w:trPr>
          <w:trHeight w:val="224"/>
        </w:trPr>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the Commission on August 4, 2015 (Commission file no. 001-33225)).†</w:t>
            </w:r>
          </w:p>
        </w:tc>
        <w:tc>
          <w:tcPr>
            <w:tcW w:w="20" w:type="dxa"/>
            <w:vAlign w:val="bottom"/>
          </w:tcPr>
          <w:p>
            <w:pPr>
              <w:spacing w:after="0"/>
              <w:rPr>
                <w:sz w:val="19"/>
                <w:szCs w:val="19"/>
                <w:color w:val="auto"/>
              </w:rPr>
            </w:pPr>
          </w:p>
        </w:tc>
      </w:tr>
      <w:tr>
        <w:trPr>
          <w:trHeight w:val="415"/>
        </w:trPr>
        <w:tc>
          <w:tcPr>
            <w:tcW w:w="400" w:type="dxa"/>
            <w:vAlign w:val="bottom"/>
            <w:gridSpan w:val="2"/>
          </w:tcPr>
          <w:p>
            <w:pPr>
              <w:spacing w:after="0"/>
              <w:rPr>
                <w:rFonts w:ascii="Arial" w:cs="Arial" w:eastAsia="Arial" w:hAnsi="Arial"/>
                <w:sz w:val="18"/>
                <w:szCs w:val="18"/>
                <w:color w:val="0000EE"/>
              </w:rPr>
            </w:pPr>
            <w:hyperlink r:id="rId161">
              <w:r>
                <w:rPr>
                  <w:rFonts w:ascii="Arial" w:cs="Arial" w:eastAsia="Arial" w:hAnsi="Arial"/>
                  <w:sz w:val="18"/>
                  <w:szCs w:val="18"/>
                  <w:color w:val="0000EE"/>
                </w:rPr>
                <w:t>10.</w:t>
              </w:r>
              <w:r>
                <w:rPr>
                  <w:rFonts w:ascii="Arial" w:cs="Arial" w:eastAsia="Arial" w:hAnsi="Arial"/>
                  <w:sz w:val="18"/>
                  <w:szCs w:val="18"/>
                  <w:u w:val="single" w:color="auto"/>
                  <w:color w:val="0000EE"/>
                </w:rPr>
                <w:t>7</w:t>
              </w:r>
            </w:hyperlink>
          </w:p>
        </w:tc>
        <w:tc>
          <w:tcPr>
            <w:tcW w:w="1140" w:type="dxa"/>
            <w:vAlign w:val="bottom"/>
          </w:tcPr>
          <w:p>
            <w:pPr>
              <w:spacing w:after="0"/>
              <w:rPr>
                <w:sz w:val="24"/>
                <w:szCs w:val="24"/>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2"/>
              </w:rPr>
              <w:t>Amended and Restated Employment Agreement with Jonathan W. Berger, dated as of May 8, 2014. (Incorporated by reference to</w:t>
            </w:r>
          </w:p>
        </w:tc>
        <w:tc>
          <w:tcPr>
            <w:tcW w:w="20" w:type="dxa"/>
            <w:vAlign w:val="bottom"/>
          </w:tcPr>
          <w:p>
            <w:pPr>
              <w:spacing w:after="0"/>
              <w:rPr>
                <w:sz w:val="24"/>
                <w:szCs w:val="24"/>
                <w:color w:val="auto"/>
              </w:rPr>
            </w:pPr>
          </w:p>
        </w:tc>
      </w:tr>
      <w:tr>
        <w:trPr>
          <w:trHeight w:val="221"/>
        </w:trPr>
        <w:tc>
          <w:tcPr>
            <w:tcW w:w="32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2"/>
              </w:rPr>
              <w:t>Great Lakes Dredge &amp; Dock Corporation’s Quarterly Report on Form 8-K filed with the Commission on May 13, 2014 (Commission</w:t>
            </w:r>
          </w:p>
        </w:tc>
        <w:tc>
          <w:tcPr>
            <w:tcW w:w="20" w:type="dxa"/>
            <w:vAlign w:val="bottom"/>
          </w:tcPr>
          <w:p>
            <w:pPr>
              <w:spacing w:after="0"/>
              <w:rPr>
                <w:sz w:val="19"/>
                <w:szCs w:val="19"/>
                <w:color w:val="auto"/>
              </w:rPr>
            </w:pPr>
          </w:p>
        </w:tc>
      </w:tr>
      <w:tr>
        <w:trPr>
          <w:trHeight w:val="224"/>
        </w:trPr>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file no. 001-33225)).†</w:t>
            </w:r>
          </w:p>
        </w:tc>
        <w:tc>
          <w:tcPr>
            <w:tcW w:w="20" w:type="dxa"/>
            <w:vAlign w:val="bottom"/>
          </w:tcPr>
          <w:p>
            <w:pPr>
              <w:spacing w:after="0"/>
              <w:rPr>
                <w:sz w:val="19"/>
                <w:szCs w:val="19"/>
                <w:color w:val="auto"/>
              </w:rPr>
            </w:pPr>
          </w:p>
        </w:tc>
      </w:tr>
      <w:tr>
        <w:trPr>
          <w:trHeight w:val="415"/>
        </w:trPr>
        <w:tc>
          <w:tcPr>
            <w:tcW w:w="400" w:type="dxa"/>
            <w:vAlign w:val="bottom"/>
            <w:gridSpan w:val="2"/>
          </w:tcPr>
          <w:p>
            <w:pPr>
              <w:spacing w:after="0"/>
              <w:rPr>
                <w:rFonts w:ascii="Arial" w:cs="Arial" w:eastAsia="Arial" w:hAnsi="Arial"/>
                <w:sz w:val="18"/>
                <w:szCs w:val="18"/>
                <w:color w:val="0000EE"/>
              </w:rPr>
            </w:pPr>
            <w:hyperlink r:id="rId162">
              <w:r>
                <w:rPr>
                  <w:rFonts w:ascii="Arial" w:cs="Arial" w:eastAsia="Arial" w:hAnsi="Arial"/>
                  <w:sz w:val="18"/>
                  <w:szCs w:val="18"/>
                  <w:color w:val="0000EE"/>
                </w:rPr>
                <w:t>10.</w:t>
              </w:r>
              <w:r>
                <w:rPr>
                  <w:rFonts w:ascii="Arial" w:cs="Arial" w:eastAsia="Arial" w:hAnsi="Arial"/>
                  <w:sz w:val="18"/>
                  <w:szCs w:val="18"/>
                  <w:u w:val="single" w:color="auto"/>
                  <w:color w:val="0000EE"/>
                </w:rPr>
                <w:t>8</w:t>
              </w:r>
            </w:hyperlink>
          </w:p>
        </w:tc>
        <w:tc>
          <w:tcPr>
            <w:tcW w:w="1140" w:type="dxa"/>
            <w:vAlign w:val="bottom"/>
          </w:tcPr>
          <w:p>
            <w:pPr>
              <w:spacing w:after="0"/>
              <w:rPr>
                <w:sz w:val="24"/>
                <w:szCs w:val="24"/>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2"/>
              </w:rPr>
              <w:t>Employment Agreement between Great Lakes Dredge &amp; Dock Corporation and Christopher P. Shea. (Incorporated by reference to</w:t>
            </w:r>
          </w:p>
        </w:tc>
        <w:tc>
          <w:tcPr>
            <w:tcW w:w="20" w:type="dxa"/>
            <w:vAlign w:val="bottom"/>
          </w:tcPr>
          <w:p>
            <w:pPr>
              <w:spacing w:after="0"/>
              <w:rPr>
                <w:sz w:val="24"/>
                <w:szCs w:val="24"/>
                <w:color w:val="auto"/>
              </w:rPr>
            </w:pPr>
          </w:p>
        </w:tc>
      </w:tr>
      <w:tr>
        <w:trPr>
          <w:trHeight w:val="221"/>
        </w:trPr>
        <w:tc>
          <w:tcPr>
            <w:tcW w:w="32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9"/>
              </w:rPr>
              <w:t>Great Lakes Dredge &amp; Dock Corporation’s Current Report on Form 10-K filed with the Commission on February 28, 2017</w:t>
            </w:r>
          </w:p>
        </w:tc>
        <w:tc>
          <w:tcPr>
            <w:tcW w:w="20" w:type="dxa"/>
            <w:vAlign w:val="bottom"/>
          </w:tcPr>
          <w:p>
            <w:pPr>
              <w:spacing w:after="0"/>
              <w:rPr>
                <w:sz w:val="19"/>
                <w:szCs w:val="19"/>
                <w:color w:val="auto"/>
              </w:rPr>
            </w:pPr>
          </w:p>
        </w:tc>
      </w:tr>
      <w:tr>
        <w:trPr>
          <w:trHeight w:val="224"/>
        </w:trPr>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(Commission file no. 001-33225). †</w:t>
            </w:r>
          </w:p>
        </w:tc>
        <w:tc>
          <w:tcPr>
            <w:tcW w:w="20" w:type="dxa"/>
            <w:vAlign w:val="bottom"/>
          </w:tcPr>
          <w:p>
            <w:pPr>
              <w:spacing w:after="0"/>
              <w:rPr>
                <w:sz w:val="19"/>
                <w:szCs w:val="19"/>
                <w:color w:val="auto"/>
              </w:rPr>
            </w:pPr>
          </w:p>
        </w:tc>
      </w:tr>
      <w:tr>
        <w:trPr>
          <w:trHeight w:val="415"/>
        </w:trPr>
        <w:tc>
          <w:tcPr>
            <w:tcW w:w="400" w:type="dxa"/>
            <w:vAlign w:val="bottom"/>
            <w:gridSpan w:val="2"/>
          </w:tcPr>
          <w:p>
            <w:pPr>
              <w:spacing w:after="0"/>
              <w:rPr>
                <w:rFonts w:ascii="Arial" w:cs="Arial" w:eastAsia="Arial" w:hAnsi="Arial"/>
                <w:sz w:val="18"/>
                <w:szCs w:val="18"/>
                <w:color w:val="0000EE"/>
              </w:rPr>
            </w:pPr>
            <w:hyperlink r:id="rId163">
              <w:r>
                <w:rPr>
                  <w:rFonts w:ascii="Arial" w:cs="Arial" w:eastAsia="Arial" w:hAnsi="Arial"/>
                  <w:sz w:val="18"/>
                  <w:szCs w:val="18"/>
                  <w:color w:val="0000EE"/>
                </w:rPr>
                <w:t>10.</w:t>
              </w:r>
              <w:r>
                <w:rPr>
                  <w:rFonts w:ascii="Arial" w:cs="Arial" w:eastAsia="Arial" w:hAnsi="Arial"/>
                  <w:sz w:val="18"/>
                  <w:szCs w:val="18"/>
                  <w:u w:val="single" w:color="auto"/>
                  <w:color w:val="0000EE"/>
                </w:rPr>
                <w:t>9</w:t>
              </w:r>
            </w:hyperlink>
          </w:p>
        </w:tc>
        <w:tc>
          <w:tcPr>
            <w:tcW w:w="1140" w:type="dxa"/>
            <w:vAlign w:val="bottom"/>
          </w:tcPr>
          <w:p>
            <w:pPr>
              <w:spacing w:after="0"/>
              <w:rPr>
                <w:sz w:val="24"/>
                <w:szCs w:val="24"/>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7"/>
              </w:rPr>
              <w:t>Separation Agreement, dated January 18, 2017, between Great Lakes Dredge &amp; Dock Corporation and Jonathan W. Berger.</w:t>
            </w:r>
          </w:p>
        </w:tc>
        <w:tc>
          <w:tcPr>
            <w:tcW w:w="20" w:type="dxa"/>
            <w:vAlign w:val="bottom"/>
          </w:tcPr>
          <w:p>
            <w:pPr>
              <w:spacing w:after="0"/>
              <w:rPr>
                <w:sz w:val="24"/>
                <w:szCs w:val="24"/>
                <w:color w:val="auto"/>
              </w:rPr>
            </w:pPr>
          </w:p>
        </w:tc>
      </w:tr>
      <w:tr>
        <w:trPr>
          <w:trHeight w:val="221"/>
        </w:trPr>
        <w:tc>
          <w:tcPr>
            <w:tcW w:w="32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1"/>
              </w:rPr>
              <w:t>(Incorporated by reference to Great Lakes Dredge &amp; Dock Corporation’s Current Report on Form 10-K filed with the Commission on</w:t>
            </w:r>
          </w:p>
        </w:tc>
        <w:tc>
          <w:tcPr>
            <w:tcW w:w="20" w:type="dxa"/>
            <w:vAlign w:val="bottom"/>
          </w:tcPr>
          <w:p>
            <w:pPr>
              <w:spacing w:after="0"/>
              <w:rPr>
                <w:sz w:val="19"/>
                <w:szCs w:val="19"/>
                <w:color w:val="auto"/>
              </w:rPr>
            </w:pPr>
          </w:p>
        </w:tc>
      </w:tr>
      <w:tr>
        <w:trPr>
          <w:trHeight w:val="224"/>
        </w:trPr>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February 28, 2017 (Commission file no. 001-33225)).†</w:t>
            </w:r>
          </w:p>
        </w:tc>
        <w:tc>
          <w:tcPr>
            <w:tcW w:w="20" w:type="dxa"/>
            <w:vAlign w:val="bottom"/>
          </w:tcPr>
          <w:p>
            <w:pPr>
              <w:spacing w:after="0"/>
              <w:rPr>
                <w:sz w:val="19"/>
                <w:szCs w:val="19"/>
                <w:color w:val="auto"/>
              </w:rPr>
            </w:pPr>
          </w:p>
        </w:tc>
      </w:tr>
      <w:tr>
        <w:trPr>
          <w:trHeight w:val="415"/>
        </w:trPr>
        <w:tc>
          <w:tcPr>
            <w:tcW w:w="1540" w:type="dxa"/>
            <w:vAlign w:val="bottom"/>
            <w:gridSpan w:val="3"/>
          </w:tcPr>
          <w:p>
            <w:pPr>
              <w:spacing w:after="0"/>
              <w:rPr>
                <w:rFonts w:ascii="Arial" w:cs="Arial" w:eastAsia="Arial" w:hAnsi="Arial"/>
                <w:sz w:val="18"/>
                <w:szCs w:val="18"/>
                <w:color w:val="0000EE"/>
              </w:rPr>
            </w:pPr>
            <w:hyperlink r:id="rId164">
              <w:r>
                <w:rPr>
                  <w:rFonts w:ascii="Arial" w:cs="Arial" w:eastAsia="Arial" w:hAnsi="Arial"/>
                  <w:sz w:val="18"/>
                  <w:szCs w:val="18"/>
                  <w:color w:val="0000EE"/>
                </w:rPr>
                <w:t>10.</w:t>
              </w:r>
              <w:r>
                <w:rPr>
                  <w:rFonts w:ascii="Arial" w:cs="Arial" w:eastAsia="Arial" w:hAnsi="Arial"/>
                  <w:sz w:val="18"/>
                  <w:szCs w:val="18"/>
                  <w:u w:val="single" w:color="auto"/>
                  <w:color w:val="0000EE"/>
                </w:rPr>
                <w:t>10</w:t>
              </w:r>
            </w:hyperlink>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Employment Agreement between Great Lakes Dredge &amp; Dock Corporation and Lasse Petterson, dated as of April 28,</w:t>
            </w:r>
          </w:p>
        </w:tc>
        <w:tc>
          <w:tcPr>
            <w:tcW w:w="20" w:type="dxa"/>
            <w:vAlign w:val="bottom"/>
          </w:tcPr>
          <w:p>
            <w:pPr>
              <w:spacing w:after="0"/>
              <w:rPr>
                <w:sz w:val="24"/>
                <w:szCs w:val="24"/>
                <w:color w:val="auto"/>
              </w:rPr>
            </w:pPr>
          </w:p>
        </w:tc>
      </w:tr>
      <w:tr>
        <w:trPr>
          <w:trHeight w:val="221"/>
        </w:trPr>
        <w:tc>
          <w:tcPr>
            <w:tcW w:w="3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2017. (Incorporated by reference to Great Lakes Dredge &amp; Dock Corporation’s Current Report on Form 8-K filed with the</w:t>
            </w:r>
          </w:p>
        </w:tc>
        <w:tc>
          <w:tcPr>
            <w:tcW w:w="20" w:type="dxa"/>
            <w:vAlign w:val="bottom"/>
          </w:tcPr>
          <w:p>
            <w:pPr>
              <w:spacing w:after="0"/>
              <w:rPr>
                <w:sz w:val="19"/>
                <w:szCs w:val="19"/>
                <w:color w:val="auto"/>
              </w:rPr>
            </w:pPr>
          </w:p>
        </w:tc>
      </w:tr>
      <w:tr>
        <w:trPr>
          <w:trHeight w:val="224"/>
        </w:trPr>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Commission on May 1, 2017 (Commission file no. 001-33225)).†</w:t>
            </w:r>
          </w:p>
        </w:tc>
        <w:tc>
          <w:tcPr>
            <w:tcW w:w="20" w:type="dxa"/>
            <w:vAlign w:val="bottom"/>
          </w:tcPr>
          <w:p>
            <w:pPr>
              <w:spacing w:after="0"/>
              <w:rPr>
                <w:sz w:val="19"/>
                <w:szCs w:val="19"/>
                <w:color w:val="auto"/>
              </w:rPr>
            </w:pPr>
          </w:p>
        </w:tc>
      </w:tr>
      <w:tr>
        <w:trPr>
          <w:trHeight w:val="415"/>
        </w:trPr>
        <w:tc>
          <w:tcPr>
            <w:tcW w:w="400" w:type="dxa"/>
            <w:vAlign w:val="bottom"/>
            <w:tcBorders>
              <w:bottom w:val="single" w:sz="8" w:color="0000EE"/>
            </w:tcBorders>
            <w:gridSpan w:val="2"/>
          </w:tcPr>
          <w:p>
            <w:pPr>
              <w:spacing w:after="0"/>
              <w:rPr>
                <w:rFonts w:ascii="Arial" w:cs="Arial" w:eastAsia="Arial" w:hAnsi="Arial"/>
                <w:sz w:val="18"/>
                <w:szCs w:val="18"/>
                <w:color w:val="0000EE"/>
                <w:w w:val="84"/>
              </w:rPr>
            </w:pPr>
            <w:hyperlink r:id="rId165">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11</w:t>
              </w:r>
            </w:hyperlink>
          </w:p>
        </w:tc>
        <w:tc>
          <w:tcPr>
            <w:tcW w:w="1140" w:type="dxa"/>
            <w:vAlign w:val="bottom"/>
          </w:tcPr>
          <w:p>
            <w:pPr>
              <w:spacing w:after="0"/>
              <w:rPr>
                <w:sz w:val="24"/>
                <w:szCs w:val="24"/>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4"/>
              </w:rPr>
              <w:t>Second Amended and Restated Great Lakes Dredge &amp; Dock Company, LLC Annual Bonus Plan effective as of January 1, 2012</w:t>
            </w:r>
          </w:p>
        </w:tc>
        <w:tc>
          <w:tcPr>
            <w:tcW w:w="20" w:type="dxa"/>
            <w:vAlign w:val="bottom"/>
          </w:tcPr>
          <w:p>
            <w:pPr>
              <w:spacing w:after="0"/>
              <w:rPr>
                <w:sz w:val="24"/>
                <w:szCs w:val="24"/>
                <w:color w:val="auto"/>
              </w:rPr>
            </w:pPr>
          </w:p>
        </w:tc>
      </w:tr>
      <w:tr>
        <w:trPr>
          <w:trHeight w:val="221"/>
        </w:trPr>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2"/>
              </w:rPr>
              <w:t>(Incorporated by reference to Great Lakes Dredge &amp; Dock Corporation’s Current Report on Form 8-K filed with the Commission on</w:t>
            </w:r>
          </w:p>
        </w:tc>
        <w:tc>
          <w:tcPr>
            <w:tcW w:w="20" w:type="dxa"/>
            <w:vAlign w:val="bottom"/>
          </w:tcPr>
          <w:p>
            <w:pPr>
              <w:spacing w:after="0"/>
              <w:rPr>
                <w:sz w:val="19"/>
                <w:szCs w:val="19"/>
                <w:color w:val="auto"/>
              </w:rPr>
            </w:pPr>
          </w:p>
        </w:tc>
      </w:tr>
      <w:tr>
        <w:trPr>
          <w:trHeight w:val="224"/>
        </w:trPr>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January 17, 2012 (Commission file no. 001-33225)).†</w:t>
            </w:r>
          </w:p>
        </w:tc>
        <w:tc>
          <w:tcPr>
            <w:tcW w:w="20" w:type="dxa"/>
            <w:vAlign w:val="bottom"/>
          </w:tcPr>
          <w:p>
            <w:pPr>
              <w:spacing w:after="0"/>
              <w:rPr>
                <w:sz w:val="19"/>
                <w:szCs w:val="19"/>
                <w:color w:val="auto"/>
              </w:rPr>
            </w:pPr>
          </w:p>
        </w:tc>
      </w:tr>
      <w:tr>
        <w:trPr>
          <w:trHeight w:val="415"/>
        </w:trPr>
        <w:tc>
          <w:tcPr>
            <w:tcW w:w="1540" w:type="dxa"/>
            <w:vAlign w:val="bottom"/>
            <w:gridSpan w:val="3"/>
          </w:tcPr>
          <w:p>
            <w:pPr>
              <w:spacing w:after="0"/>
              <w:rPr>
                <w:rFonts w:ascii="Arial" w:cs="Arial" w:eastAsia="Arial" w:hAnsi="Arial"/>
                <w:sz w:val="18"/>
                <w:szCs w:val="18"/>
                <w:color w:val="0000EE"/>
              </w:rPr>
            </w:pPr>
            <w:hyperlink r:id="rId166">
              <w:r>
                <w:rPr>
                  <w:rFonts w:ascii="Arial" w:cs="Arial" w:eastAsia="Arial" w:hAnsi="Arial"/>
                  <w:sz w:val="18"/>
                  <w:szCs w:val="18"/>
                  <w:color w:val="0000EE"/>
                </w:rPr>
                <w:t>10.</w:t>
              </w:r>
              <w:r>
                <w:rPr>
                  <w:rFonts w:ascii="Arial" w:cs="Arial" w:eastAsia="Arial" w:hAnsi="Arial"/>
                  <w:sz w:val="18"/>
                  <w:szCs w:val="18"/>
                  <w:u w:val="single" w:color="auto"/>
                  <w:color w:val="0000EE"/>
                </w:rPr>
                <w:t>12</w:t>
              </w:r>
            </w:hyperlink>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1"/>
              </w:rPr>
              <w:t>401(k) Savings Plan. (Incorporated by reference to Great Lakes Dredge &amp; Dock Corporation’s Annual Report on Form 10-K filed with</w:t>
            </w:r>
          </w:p>
        </w:tc>
        <w:tc>
          <w:tcPr>
            <w:tcW w:w="20" w:type="dxa"/>
            <w:vAlign w:val="bottom"/>
          </w:tcPr>
          <w:p>
            <w:pPr>
              <w:spacing w:after="0"/>
              <w:rPr>
                <w:sz w:val="24"/>
                <w:szCs w:val="24"/>
                <w:color w:val="auto"/>
              </w:rPr>
            </w:pPr>
          </w:p>
        </w:tc>
      </w:tr>
      <w:tr>
        <w:trPr>
          <w:trHeight w:val="232"/>
        </w:trPr>
        <w:tc>
          <w:tcPr>
            <w:tcW w:w="3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140" w:type="dxa"/>
            <w:vAlign w:val="bottom"/>
          </w:tcPr>
          <w:p>
            <w:pPr>
              <w:spacing w:after="0"/>
              <w:rPr>
                <w:sz w:val="20"/>
                <w:szCs w:val="20"/>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the Commission on March 30, 2005 (Commission file no. 333-64687)).†</w:t>
            </w:r>
          </w:p>
        </w:tc>
        <w:tc>
          <w:tcPr>
            <w:tcW w:w="20" w:type="dxa"/>
            <w:vAlign w:val="bottom"/>
          </w:tcPr>
          <w:p>
            <w:pPr>
              <w:spacing w:after="0"/>
              <w:rPr>
                <w:sz w:val="20"/>
                <w:szCs w:val="20"/>
                <w:color w:val="auto"/>
              </w:rPr>
            </w:pPr>
          </w:p>
        </w:tc>
      </w:tr>
      <w:tr>
        <w:trPr>
          <w:trHeight w:val="415"/>
        </w:trPr>
        <w:tc>
          <w:tcPr>
            <w:tcW w:w="1540" w:type="dxa"/>
            <w:vAlign w:val="bottom"/>
            <w:gridSpan w:val="3"/>
          </w:tcPr>
          <w:p>
            <w:pPr>
              <w:spacing w:after="0"/>
              <w:rPr>
                <w:rFonts w:ascii="Arial" w:cs="Arial" w:eastAsia="Arial" w:hAnsi="Arial"/>
                <w:sz w:val="18"/>
                <w:szCs w:val="18"/>
                <w:color w:val="0000EE"/>
              </w:rPr>
            </w:pPr>
            <w:hyperlink r:id="rId167">
              <w:r>
                <w:rPr>
                  <w:rFonts w:ascii="Arial" w:cs="Arial" w:eastAsia="Arial" w:hAnsi="Arial"/>
                  <w:sz w:val="18"/>
                  <w:szCs w:val="18"/>
                  <w:color w:val="0000EE"/>
                </w:rPr>
                <w:t>10.</w:t>
              </w:r>
              <w:r>
                <w:rPr>
                  <w:rFonts w:ascii="Arial" w:cs="Arial" w:eastAsia="Arial" w:hAnsi="Arial"/>
                  <w:sz w:val="18"/>
                  <w:szCs w:val="18"/>
                  <w:u w:val="single" w:color="auto"/>
                  <w:color w:val="0000EE"/>
                </w:rPr>
                <w:t>13</w:t>
              </w:r>
            </w:hyperlink>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0"/>
              </w:rPr>
              <w:t>Amended and Restated Great Lakes Dredge &amp; Dock Corporation Supplemental Savings Plan effective January 1, 2014. (Incorporated</w:t>
            </w:r>
          </w:p>
        </w:tc>
        <w:tc>
          <w:tcPr>
            <w:tcW w:w="20" w:type="dxa"/>
            <w:vAlign w:val="bottom"/>
          </w:tcPr>
          <w:p>
            <w:pPr>
              <w:spacing w:after="0"/>
              <w:rPr>
                <w:sz w:val="24"/>
                <w:szCs w:val="24"/>
                <w:color w:val="auto"/>
              </w:rPr>
            </w:pPr>
          </w:p>
        </w:tc>
      </w:tr>
      <w:tr>
        <w:trPr>
          <w:trHeight w:val="221"/>
        </w:trPr>
        <w:tc>
          <w:tcPr>
            <w:tcW w:w="3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4"/>
              </w:rPr>
              <w:t>by reference to Great Lakes Dredge &amp; Dock Corporation’s Annual Report on Form 10-K filed with the Commission on March 11,</w:t>
            </w:r>
          </w:p>
        </w:tc>
        <w:tc>
          <w:tcPr>
            <w:tcW w:w="20" w:type="dxa"/>
            <w:vAlign w:val="bottom"/>
          </w:tcPr>
          <w:p>
            <w:pPr>
              <w:spacing w:after="0"/>
              <w:rPr>
                <w:sz w:val="19"/>
                <w:szCs w:val="19"/>
                <w:color w:val="auto"/>
              </w:rPr>
            </w:pPr>
          </w:p>
        </w:tc>
      </w:tr>
      <w:tr>
        <w:trPr>
          <w:trHeight w:val="224"/>
        </w:trPr>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2014 (Commission file no.001-33225)).†</w:t>
            </w:r>
          </w:p>
        </w:tc>
        <w:tc>
          <w:tcPr>
            <w:tcW w:w="20" w:type="dxa"/>
            <w:vAlign w:val="bottom"/>
          </w:tcPr>
          <w:p>
            <w:pPr>
              <w:spacing w:after="0"/>
              <w:rPr>
                <w:sz w:val="19"/>
                <w:szCs w:val="19"/>
                <w:color w:val="auto"/>
              </w:rPr>
            </w:pPr>
          </w:p>
        </w:tc>
      </w:tr>
      <w:tr>
        <w:trPr>
          <w:trHeight w:val="415"/>
        </w:trPr>
        <w:tc>
          <w:tcPr>
            <w:tcW w:w="1540" w:type="dxa"/>
            <w:vAlign w:val="bottom"/>
            <w:gridSpan w:val="3"/>
          </w:tcPr>
          <w:p>
            <w:pPr>
              <w:spacing w:after="0"/>
              <w:rPr>
                <w:rFonts w:ascii="Arial" w:cs="Arial" w:eastAsia="Arial" w:hAnsi="Arial"/>
                <w:sz w:val="18"/>
                <w:szCs w:val="18"/>
                <w:color w:val="0000EE"/>
              </w:rPr>
            </w:pPr>
            <w:hyperlink r:id="rId168">
              <w:r>
                <w:rPr>
                  <w:rFonts w:ascii="Arial" w:cs="Arial" w:eastAsia="Arial" w:hAnsi="Arial"/>
                  <w:sz w:val="18"/>
                  <w:szCs w:val="18"/>
                  <w:color w:val="0000EE"/>
                </w:rPr>
                <w:t>10.</w:t>
              </w:r>
              <w:r>
                <w:rPr>
                  <w:rFonts w:ascii="Arial" w:cs="Arial" w:eastAsia="Arial" w:hAnsi="Arial"/>
                  <w:sz w:val="18"/>
                  <w:szCs w:val="18"/>
                  <w:u w:val="single" w:color="auto"/>
                  <w:color w:val="0000EE"/>
                </w:rPr>
                <w:t>14</w:t>
              </w:r>
            </w:hyperlink>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2"/>
              </w:rPr>
              <w:t>Form of Investor Rights Agreement among Aldabra Acquisition Corporation, Great Lakes Dredge &amp; Dock Holdings Corp., Madison</w:t>
            </w:r>
          </w:p>
        </w:tc>
        <w:tc>
          <w:tcPr>
            <w:tcW w:w="20" w:type="dxa"/>
            <w:vAlign w:val="bottom"/>
          </w:tcPr>
          <w:p>
            <w:pPr>
              <w:spacing w:after="0"/>
              <w:rPr>
                <w:sz w:val="24"/>
                <w:szCs w:val="24"/>
                <w:color w:val="auto"/>
              </w:rPr>
            </w:pPr>
          </w:p>
        </w:tc>
      </w:tr>
      <w:tr>
        <w:trPr>
          <w:trHeight w:val="221"/>
        </w:trPr>
        <w:tc>
          <w:tcPr>
            <w:tcW w:w="3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6"/>
              </w:rPr>
              <w:t>Dearborn Capital Partners IV, L.P., certain stockholders of Aldabra Acquisition Corporation and certain stockholders of GLDD</w:t>
            </w:r>
          </w:p>
        </w:tc>
        <w:tc>
          <w:tcPr>
            <w:tcW w:w="20" w:type="dxa"/>
            <w:vAlign w:val="bottom"/>
          </w:tcPr>
          <w:p>
            <w:pPr>
              <w:spacing w:after="0"/>
              <w:rPr>
                <w:sz w:val="19"/>
                <w:szCs w:val="19"/>
                <w:color w:val="auto"/>
              </w:rPr>
            </w:pPr>
          </w:p>
        </w:tc>
      </w:tr>
      <w:tr>
        <w:trPr>
          <w:trHeight w:val="213"/>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3"/>
              </w:rPr>
              <w:t>Acquisitions Corp. (Incorporated by reference to Great Lakes Dredge &amp; Dock Holding Corp.’s Registration Statement on Form S-4</w:t>
            </w:r>
          </w:p>
        </w:tc>
        <w:tc>
          <w:tcPr>
            <w:tcW w:w="20" w:type="dxa"/>
            <w:vAlign w:val="bottom"/>
          </w:tcPr>
          <w:p>
            <w:pPr>
              <w:spacing w:after="0"/>
              <w:rPr>
                <w:sz w:val="18"/>
                <w:szCs w:val="18"/>
                <w:color w:val="auto"/>
              </w:rPr>
            </w:pPr>
          </w:p>
        </w:tc>
      </w:tr>
      <w:tr>
        <w:trPr>
          <w:trHeight w:val="224"/>
        </w:trPr>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filed with the Commission on August 24, 2006 (Commission file no. 333-136861-01)).</w:t>
            </w:r>
          </w:p>
        </w:tc>
        <w:tc>
          <w:tcPr>
            <w:tcW w:w="20" w:type="dxa"/>
            <w:vAlign w:val="bottom"/>
          </w:tcPr>
          <w:p>
            <w:pPr>
              <w:spacing w:after="0"/>
              <w:rPr>
                <w:sz w:val="19"/>
                <w:szCs w:val="19"/>
                <w:color w:val="auto"/>
              </w:rPr>
            </w:pPr>
          </w:p>
        </w:tc>
      </w:tr>
      <w:tr>
        <w:trPr>
          <w:trHeight w:val="415"/>
        </w:trPr>
        <w:tc>
          <w:tcPr>
            <w:tcW w:w="1540" w:type="dxa"/>
            <w:vAlign w:val="bottom"/>
            <w:gridSpan w:val="3"/>
          </w:tcPr>
          <w:p>
            <w:pPr>
              <w:spacing w:after="0"/>
              <w:rPr>
                <w:rFonts w:ascii="Arial" w:cs="Arial" w:eastAsia="Arial" w:hAnsi="Arial"/>
                <w:sz w:val="18"/>
                <w:szCs w:val="18"/>
                <w:color w:val="0000EE"/>
              </w:rPr>
            </w:pPr>
            <w:hyperlink r:id="rId169">
              <w:r>
                <w:rPr>
                  <w:rFonts w:ascii="Arial" w:cs="Arial" w:eastAsia="Arial" w:hAnsi="Arial"/>
                  <w:sz w:val="18"/>
                  <w:szCs w:val="18"/>
                  <w:color w:val="0000EE"/>
                </w:rPr>
                <w:t>10.</w:t>
              </w:r>
              <w:r>
                <w:rPr>
                  <w:rFonts w:ascii="Arial" w:cs="Arial" w:eastAsia="Arial" w:hAnsi="Arial"/>
                  <w:sz w:val="18"/>
                  <w:szCs w:val="18"/>
                  <w:u w:val="single" w:color="auto"/>
                  <w:color w:val="0000EE"/>
                </w:rPr>
                <w:t>15</w:t>
              </w:r>
            </w:hyperlink>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1"/>
              </w:rPr>
              <w:t>Great Lakes Dredge &amp; Dock Corporation 2007 Long-Term Incentive Plan. (Incorporated by reference to Great Lakes Dredge &amp; Dock</w:t>
            </w:r>
          </w:p>
        </w:tc>
        <w:tc>
          <w:tcPr>
            <w:tcW w:w="20" w:type="dxa"/>
            <w:vAlign w:val="bottom"/>
          </w:tcPr>
          <w:p>
            <w:pPr>
              <w:spacing w:after="0"/>
              <w:rPr>
                <w:sz w:val="24"/>
                <w:szCs w:val="24"/>
                <w:color w:val="auto"/>
              </w:rPr>
            </w:pPr>
          </w:p>
        </w:tc>
      </w:tr>
      <w:tr>
        <w:trPr>
          <w:trHeight w:val="221"/>
        </w:trPr>
        <w:tc>
          <w:tcPr>
            <w:tcW w:w="3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4"/>
              </w:rPr>
              <w:t>Corporation’s Definitive Proxy Statement on Schedule 14A, filed with the Commission on April 4, 2012 (Commission file no. 001-</w:t>
            </w:r>
          </w:p>
        </w:tc>
        <w:tc>
          <w:tcPr>
            <w:tcW w:w="20" w:type="dxa"/>
            <w:vAlign w:val="bottom"/>
          </w:tcPr>
          <w:p>
            <w:pPr>
              <w:spacing w:after="0"/>
              <w:rPr>
                <w:sz w:val="19"/>
                <w:szCs w:val="19"/>
                <w:color w:val="auto"/>
              </w:rPr>
            </w:pPr>
          </w:p>
        </w:tc>
      </w:tr>
      <w:tr>
        <w:trPr>
          <w:trHeight w:val="224"/>
        </w:trPr>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33225)).†</w:t>
            </w:r>
          </w:p>
        </w:tc>
        <w:tc>
          <w:tcPr>
            <w:tcW w:w="20" w:type="dxa"/>
            <w:vAlign w:val="bottom"/>
          </w:tcPr>
          <w:p>
            <w:pPr>
              <w:spacing w:after="0"/>
              <w:rPr>
                <w:sz w:val="19"/>
                <w:szCs w:val="19"/>
                <w:color w:val="auto"/>
              </w:rPr>
            </w:pPr>
          </w:p>
        </w:tc>
      </w:tr>
      <w:tr>
        <w:trPr>
          <w:trHeight w:val="415"/>
        </w:trPr>
        <w:tc>
          <w:tcPr>
            <w:tcW w:w="1540" w:type="dxa"/>
            <w:vAlign w:val="bottom"/>
            <w:gridSpan w:val="3"/>
          </w:tcPr>
          <w:p>
            <w:pPr>
              <w:spacing w:after="0"/>
              <w:rPr>
                <w:rFonts w:ascii="Arial" w:cs="Arial" w:eastAsia="Arial" w:hAnsi="Arial"/>
                <w:sz w:val="18"/>
                <w:szCs w:val="18"/>
                <w:color w:val="0000EE"/>
              </w:rPr>
            </w:pPr>
            <w:hyperlink r:id="rId170">
              <w:r>
                <w:rPr>
                  <w:rFonts w:ascii="Arial" w:cs="Arial" w:eastAsia="Arial" w:hAnsi="Arial"/>
                  <w:sz w:val="18"/>
                  <w:szCs w:val="18"/>
                  <w:color w:val="0000EE"/>
                </w:rPr>
                <w:t>10.</w:t>
              </w:r>
              <w:r>
                <w:rPr>
                  <w:rFonts w:ascii="Arial" w:cs="Arial" w:eastAsia="Arial" w:hAnsi="Arial"/>
                  <w:sz w:val="18"/>
                  <w:szCs w:val="18"/>
                  <w:u w:val="single" w:color="auto"/>
                  <w:color w:val="0000EE"/>
                </w:rPr>
                <w:t>16</w:t>
              </w:r>
            </w:hyperlink>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1"/>
              </w:rPr>
              <w:t>Great Lakes Dredge &amp; Dock Corporation 2017 Long-Term Incentive Plan (Incorporated by reference to Great Lakes Dredge &amp; Dock</w:t>
            </w:r>
          </w:p>
        </w:tc>
        <w:tc>
          <w:tcPr>
            <w:tcW w:w="20" w:type="dxa"/>
            <w:vAlign w:val="bottom"/>
          </w:tcPr>
          <w:p>
            <w:pPr>
              <w:spacing w:after="0"/>
              <w:rPr>
                <w:sz w:val="24"/>
                <w:szCs w:val="24"/>
                <w:color w:val="auto"/>
              </w:rPr>
            </w:pPr>
          </w:p>
        </w:tc>
      </w:tr>
      <w:tr>
        <w:trPr>
          <w:trHeight w:val="232"/>
        </w:trPr>
        <w:tc>
          <w:tcPr>
            <w:tcW w:w="3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140" w:type="dxa"/>
            <w:vAlign w:val="bottom"/>
          </w:tcPr>
          <w:p>
            <w:pPr>
              <w:spacing w:after="0"/>
              <w:rPr>
                <w:sz w:val="20"/>
                <w:szCs w:val="20"/>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9"/>
              </w:rPr>
              <w:t>Corporation’s Current Report on Form 8-K filed with the Commission on May 17, 2017 (Commission file no. 001-33225)).†</w:t>
            </w:r>
          </w:p>
        </w:tc>
        <w:tc>
          <w:tcPr>
            <w:tcW w:w="20" w:type="dxa"/>
            <w:vAlign w:val="bottom"/>
          </w:tcPr>
          <w:p>
            <w:pPr>
              <w:spacing w:after="0"/>
              <w:rPr>
                <w:sz w:val="20"/>
                <w:szCs w:val="20"/>
                <w:color w:val="auto"/>
              </w:rPr>
            </w:pPr>
          </w:p>
        </w:tc>
      </w:tr>
      <w:tr>
        <w:trPr>
          <w:trHeight w:val="653"/>
        </w:trPr>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80" w:type="dxa"/>
            <w:vAlign w:val="bottom"/>
            <w:gridSpan w:val="2"/>
          </w:tcPr>
          <w:p>
            <w:pPr>
              <w:jc w:val="right"/>
              <w:ind w:right="5531"/>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24"/>
                <w:szCs w:val="24"/>
                <w:color w:val="auto"/>
              </w:rPr>
            </w:pPr>
          </w:p>
        </w:tc>
      </w:tr>
      <w:tr>
        <w:trPr>
          <w:trHeight w:val="115"/>
        </w:trPr>
        <w:tc>
          <w:tcPr>
            <w:tcW w:w="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6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34" w:right="21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1"/>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20"/>
                <w:szCs w:val="20"/>
                <w:color w:val="auto"/>
              </w:rPr>
            </w:pPr>
          </w:p>
        </w:tc>
        <w:tc>
          <w:tcPr>
            <w:tcW w:w="9640" w:type="dxa"/>
            <w:vAlign w:val="bottom"/>
            <w:tcBorders>
              <w:bottom w:val="single" w:sz="8" w:color="auto"/>
            </w:tcBorders>
          </w:tcPr>
          <w:p>
            <w:pPr>
              <w:jc w:val="right"/>
              <w:ind w:right="3891"/>
              <w:spacing w:after="0"/>
              <w:rPr>
                <w:sz w:val="20"/>
                <w:szCs w:val="20"/>
                <w:color w:val="auto"/>
              </w:rPr>
            </w:pPr>
            <w:r>
              <w:rPr>
                <w:rFonts w:ascii="Arial" w:cs="Arial" w:eastAsia="Arial" w:hAnsi="Arial"/>
                <w:sz w:val="18"/>
                <w:szCs w:val="18"/>
                <w:b w:val="1"/>
                <w:bCs w:val="1"/>
                <w:color w:val="auto"/>
              </w:rPr>
              <w:t>Document Description</w:t>
            </w:r>
          </w:p>
        </w:tc>
        <w:tc>
          <w:tcPr>
            <w:tcW w:w="20" w:type="dxa"/>
            <w:vAlign w:val="bottom"/>
          </w:tcPr>
          <w:p>
            <w:pPr>
              <w:spacing w:after="0"/>
              <w:rPr>
                <w:sz w:val="20"/>
                <w:szCs w:val="20"/>
                <w:color w:val="auto"/>
              </w:rPr>
            </w:pPr>
          </w:p>
        </w:tc>
      </w:tr>
      <w:tr>
        <w:trPr>
          <w:trHeight w:val="181"/>
        </w:trPr>
        <w:tc>
          <w:tcPr>
            <w:tcW w:w="400" w:type="dxa"/>
            <w:vAlign w:val="bottom"/>
            <w:tcBorders>
              <w:bottom w:val="single" w:sz="8" w:color="0000EE"/>
            </w:tcBorders>
          </w:tcPr>
          <w:p>
            <w:pPr>
              <w:spacing w:after="0" w:line="181" w:lineRule="exact"/>
              <w:rPr>
                <w:rFonts w:ascii="Arial" w:cs="Arial" w:eastAsia="Arial" w:hAnsi="Arial"/>
                <w:sz w:val="18"/>
                <w:szCs w:val="18"/>
                <w:color w:val="0000EE"/>
                <w:w w:val="84"/>
              </w:rPr>
            </w:pPr>
            <w:hyperlink r:id="rId173">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17</w:t>
              </w:r>
            </w:hyperlink>
          </w:p>
        </w:tc>
        <w:tc>
          <w:tcPr>
            <w:tcW w:w="1140" w:type="dxa"/>
            <w:vAlign w:val="bottom"/>
          </w:tcPr>
          <w:p>
            <w:pPr>
              <w:spacing w:after="0"/>
              <w:rPr>
                <w:sz w:val="15"/>
                <w:szCs w:val="15"/>
                <w:color w:val="auto"/>
              </w:rPr>
            </w:pPr>
          </w:p>
        </w:tc>
        <w:tc>
          <w:tcPr>
            <w:tcW w:w="9880" w:type="dxa"/>
            <w:vAlign w:val="bottom"/>
            <w:gridSpan w:val="2"/>
          </w:tcPr>
          <w:p>
            <w:pPr>
              <w:ind w:left="240"/>
              <w:spacing w:after="0" w:line="181" w:lineRule="exact"/>
              <w:rPr>
                <w:sz w:val="20"/>
                <w:szCs w:val="20"/>
                <w:color w:val="auto"/>
              </w:rPr>
            </w:pPr>
            <w:r>
              <w:rPr>
                <w:rFonts w:ascii="Arial" w:cs="Arial" w:eastAsia="Arial" w:hAnsi="Arial"/>
                <w:sz w:val="18"/>
                <w:szCs w:val="18"/>
                <w:color w:val="auto"/>
                <w:w w:val="94"/>
              </w:rPr>
              <w:t>Form of Great Lakes Dredge &amp; Dock Corporation Restricted Stock Unit Award Agreement pursuant to the Great Lakes Dredge &amp;</w:t>
            </w:r>
          </w:p>
        </w:tc>
        <w:tc>
          <w:tcPr>
            <w:tcW w:w="20" w:type="dxa"/>
            <w:vAlign w:val="bottom"/>
          </w:tcPr>
          <w:p>
            <w:pPr>
              <w:spacing w:after="0"/>
              <w:rPr>
                <w:sz w:val="15"/>
                <w:szCs w:val="15"/>
                <w:color w:val="auto"/>
              </w:rPr>
            </w:pPr>
          </w:p>
        </w:tc>
      </w:tr>
      <w:tr>
        <w:trPr>
          <w:trHeight w:val="221"/>
        </w:trPr>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Dock Corporation 2007 Long-Term Incentive Plan. (Incorporated by reference to Great Lakes</w:t>
            </w:r>
          </w:p>
        </w:tc>
        <w:tc>
          <w:tcPr>
            <w:tcW w:w="20" w:type="dxa"/>
            <w:vAlign w:val="bottom"/>
          </w:tcPr>
          <w:p>
            <w:pPr>
              <w:spacing w:after="0"/>
              <w:rPr>
                <w:sz w:val="19"/>
                <w:szCs w:val="19"/>
                <w:color w:val="auto"/>
              </w:rPr>
            </w:pPr>
          </w:p>
        </w:tc>
      </w:tr>
      <w:tr>
        <w:trPr>
          <w:trHeight w:val="213"/>
        </w:trPr>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5"/>
              </w:rPr>
              <w:t>Dredge &amp; Dock Corporation’s Current Report on Form 8-K filed with the Commission on July 1, 2011 (Commission file no. 001-</w:t>
            </w:r>
          </w:p>
        </w:tc>
        <w:tc>
          <w:tcPr>
            <w:tcW w:w="20" w:type="dxa"/>
            <w:vAlign w:val="bottom"/>
          </w:tcPr>
          <w:p>
            <w:pPr>
              <w:spacing w:after="0"/>
              <w:rPr>
                <w:sz w:val="18"/>
                <w:szCs w:val="18"/>
                <w:color w:val="auto"/>
              </w:rPr>
            </w:pPr>
          </w:p>
        </w:tc>
      </w:tr>
      <w:tr>
        <w:trPr>
          <w:trHeight w:val="224"/>
        </w:trPr>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33225)).†</w:t>
            </w:r>
          </w:p>
        </w:tc>
        <w:tc>
          <w:tcPr>
            <w:tcW w:w="20" w:type="dxa"/>
            <w:vAlign w:val="bottom"/>
          </w:tcPr>
          <w:p>
            <w:pPr>
              <w:spacing w:after="0"/>
              <w:rPr>
                <w:sz w:val="19"/>
                <w:szCs w:val="19"/>
                <w:color w:val="auto"/>
              </w:rPr>
            </w:pPr>
          </w:p>
        </w:tc>
      </w:tr>
      <w:tr>
        <w:trPr>
          <w:trHeight w:val="415"/>
        </w:trPr>
        <w:tc>
          <w:tcPr>
            <w:tcW w:w="400" w:type="dxa"/>
            <w:vAlign w:val="bottom"/>
            <w:tcBorders>
              <w:bottom w:val="single" w:sz="8" w:color="0000EE"/>
            </w:tcBorders>
          </w:tcPr>
          <w:p>
            <w:pPr>
              <w:spacing w:after="0"/>
              <w:rPr>
                <w:rFonts w:ascii="Arial" w:cs="Arial" w:eastAsia="Arial" w:hAnsi="Arial"/>
                <w:sz w:val="18"/>
                <w:szCs w:val="18"/>
                <w:color w:val="0000EE"/>
                <w:w w:val="84"/>
              </w:rPr>
            </w:pPr>
            <w:hyperlink r:id="rId174">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18</w:t>
              </w:r>
            </w:hyperlink>
          </w:p>
        </w:tc>
        <w:tc>
          <w:tcPr>
            <w:tcW w:w="1140" w:type="dxa"/>
            <w:vAlign w:val="bottom"/>
          </w:tcPr>
          <w:p>
            <w:pPr>
              <w:spacing w:after="0"/>
              <w:rPr>
                <w:sz w:val="24"/>
                <w:szCs w:val="24"/>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0"/>
              </w:rPr>
              <w:t>Form of Great Lakes Dredge &amp; Dock Corporation Performance Vesting RSU Award Agreement pursuant to the Great Lakes Dredge &amp;</w:t>
            </w:r>
          </w:p>
        </w:tc>
        <w:tc>
          <w:tcPr>
            <w:tcW w:w="20" w:type="dxa"/>
            <w:vAlign w:val="bottom"/>
          </w:tcPr>
          <w:p>
            <w:pPr>
              <w:spacing w:after="0"/>
              <w:rPr>
                <w:sz w:val="24"/>
                <w:szCs w:val="24"/>
                <w:color w:val="auto"/>
              </w:rPr>
            </w:pPr>
          </w:p>
        </w:tc>
      </w:tr>
      <w:tr>
        <w:trPr>
          <w:trHeight w:val="221"/>
        </w:trPr>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2"/>
              </w:rPr>
              <w:t>Dock Corporation 2007 Long-Term Incentive Plan. (Incorporated by reference to Great Lakes Dredge &amp; Dock Corporation’s Current</w:t>
            </w:r>
          </w:p>
        </w:tc>
        <w:tc>
          <w:tcPr>
            <w:tcW w:w="20" w:type="dxa"/>
            <w:vAlign w:val="bottom"/>
          </w:tcPr>
          <w:p>
            <w:pPr>
              <w:spacing w:after="0"/>
              <w:rPr>
                <w:sz w:val="19"/>
                <w:szCs w:val="19"/>
                <w:color w:val="auto"/>
              </w:rPr>
            </w:pPr>
          </w:p>
        </w:tc>
      </w:tr>
      <w:tr>
        <w:trPr>
          <w:trHeight w:val="224"/>
        </w:trPr>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Report on Form 8-K filed with the Commission on July 1, 2011 (Commission file no. 001-33225)).†</w:t>
            </w:r>
          </w:p>
        </w:tc>
        <w:tc>
          <w:tcPr>
            <w:tcW w:w="20" w:type="dxa"/>
            <w:vAlign w:val="bottom"/>
          </w:tcPr>
          <w:p>
            <w:pPr>
              <w:spacing w:after="0"/>
              <w:rPr>
                <w:sz w:val="19"/>
                <w:szCs w:val="19"/>
                <w:color w:val="auto"/>
              </w:rPr>
            </w:pPr>
          </w:p>
        </w:tc>
      </w:tr>
      <w:tr>
        <w:trPr>
          <w:trHeight w:val="415"/>
        </w:trPr>
        <w:tc>
          <w:tcPr>
            <w:tcW w:w="400" w:type="dxa"/>
            <w:vAlign w:val="bottom"/>
            <w:tcBorders>
              <w:bottom w:val="single" w:sz="8" w:color="0000EE"/>
            </w:tcBorders>
          </w:tcPr>
          <w:p>
            <w:pPr>
              <w:spacing w:after="0"/>
              <w:rPr>
                <w:rFonts w:ascii="Arial" w:cs="Arial" w:eastAsia="Arial" w:hAnsi="Arial"/>
                <w:sz w:val="18"/>
                <w:szCs w:val="18"/>
                <w:color w:val="0000EE"/>
                <w:w w:val="84"/>
              </w:rPr>
            </w:pPr>
            <w:hyperlink r:id="rId175">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19</w:t>
              </w:r>
            </w:hyperlink>
          </w:p>
        </w:tc>
        <w:tc>
          <w:tcPr>
            <w:tcW w:w="1140" w:type="dxa"/>
            <w:vAlign w:val="bottom"/>
          </w:tcPr>
          <w:p>
            <w:pPr>
              <w:spacing w:after="0"/>
              <w:rPr>
                <w:sz w:val="24"/>
                <w:szCs w:val="24"/>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4"/>
              </w:rPr>
              <w:t>Form of Great Lakes Dredge &amp; Dock Corporation Restricted Stock Unit Award Agreement pursuant to the Great Lakes Dredge &amp;</w:t>
            </w:r>
          </w:p>
        </w:tc>
        <w:tc>
          <w:tcPr>
            <w:tcW w:w="20" w:type="dxa"/>
            <w:vAlign w:val="bottom"/>
          </w:tcPr>
          <w:p>
            <w:pPr>
              <w:spacing w:after="0"/>
              <w:rPr>
                <w:sz w:val="24"/>
                <w:szCs w:val="24"/>
                <w:color w:val="auto"/>
              </w:rPr>
            </w:pPr>
          </w:p>
        </w:tc>
      </w:tr>
      <w:tr>
        <w:trPr>
          <w:trHeight w:val="221"/>
        </w:trPr>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0"/>
              </w:rPr>
              <w:t>Dock Corporation 2007 Long-Term Incentive Plan. (Incorporated by reference to Great Lakes Dredge &amp; Dock Corporation’s Quarterly</w:t>
            </w:r>
          </w:p>
        </w:tc>
        <w:tc>
          <w:tcPr>
            <w:tcW w:w="20" w:type="dxa"/>
            <w:vAlign w:val="bottom"/>
          </w:tcPr>
          <w:p>
            <w:pPr>
              <w:spacing w:after="0"/>
              <w:rPr>
                <w:sz w:val="19"/>
                <w:szCs w:val="19"/>
                <w:color w:val="auto"/>
              </w:rPr>
            </w:pPr>
          </w:p>
        </w:tc>
      </w:tr>
      <w:tr>
        <w:trPr>
          <w:trHeight w:val="224"/>
        </w:trPr>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Report on Form 10-Q filed with the Commission on May 3, 2016 (Commission file no. 001-33225)).†</w:t>
            </w:r>
          </w:p>
        </w:tc>
        <w:tc>
          <w:tcPr>
            <w:tcW w:w="20" w:type="dxa"/>
            <w:vAlign w:val="bottom"/>
          </w:tcPr>
          <w:p>
            <w:pPr>
              <w:spacing w:after="0"/>
              <w:rPr>
                <w:sz w:val="19"/>
                <w:szCs w:val="19"/>
                <w:color w:val="auto"/>
              </w:rPr>
            </w:pPr>
          </w:p>
        </w:tc>
      </w:tr>
      <w:tr>
        <w:trPr>
          <w:trHeight w:val="415"/>
        </w:trPr>
        <w:tc>
          <w:tcPr>
            <w:tcW w:w="400" w:type="dxa"/>
            <w:vAlign w:val="bottom"/>
            <w:tcBorders>
              <w:bottom w:val="single" w:sz="8" w:color="0000EE"/>
            </w:tcBorders>
          </w:tcPr>
          <w:p>
            <w:pPr>
              <w:spacing w:after="0"/>
              <w:rPr>
                <w:rFonts w:ascii="Arial" w:cs="Arial" w:eastAsia="Arial" w:hAnsi="Arial"/>
                <w:sz w:val="18"/>
                <w:szCs w:val="18"/>
                <w:color w:val="0000EE"/>
                <w:w w:val="84"/>
              </w:rPr>
            </w:pPr>
            <w:hyperlink r:id="rId176">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20</w:t>
              </w:r>
            </w:hyperlink>
          </w:p>
        </w:tc>
        <w:tc>
          <w:tcPr>
            <w:tcW w:w="1140" w:type="dxa"/>
            <w:vAlign w:val="bottom"/>
          </w:tcPr>
          <w:p>
            <w:pPr>
              <w:spacing w:after="0"/>
              <w:rPr>
                <w:sz w:val="24"/>
                <w:szCs w:val="24"/>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0"/>
              </w:rPr>
              <w:t>Form of Great Lakes Dredge &amp; Dock Corporation Performance Vesting RSU Award Agreement pursuant to the Great Lakes Dredge &amp;</w:t>
            </w:r>
          </w:p>
        </w:tc>
        <w:tc>
          <w:tcPr>
            <w:tcW w:w="20" w:type="dxa"/>
            <w:vAlign w:val="bottom"/>
          </w:tcPr>
          <w:p>
            <w:pPr>
              <w:spacing w:after="0"/>
              <w:rPr>
                <w:sz w:val="24"/>
                <w:szCs w:val="24"/>
                <w:color w:val="auto"/>
              </w:rPr>
            </w:pPr>
          </w:p>
        </w:tc>
      </w:tr>
      <w:tr>
        <w:trPr>
          <w:trHeight w:val="221"/>
        </w:trPr>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0"/>
              </w:rPr>
              <w:t>Dock Corporation 2007 Long-Term Incentive Plan. (Incorporated by reference to Great Lakes Dredge &amp; Dock Corporation’s Quarterly</w:t>
            </w:r>
          </w:p>
        </w:tc>
        <w:tc>
          <w:tcPr>
            <w:tcW w:w="20" w:type="dxa"/>
            <w:vAlign w:val="bottom"/>
          </w:tcPr>
          <w:p>
            <w:pPr>
              <w:spacing w:after="0"/>
              <w:rPr>
                <w:sz w:val="19"/>
                <w:szCs w:val="19"/>
                <w:color w:val="auto"/>
              </w:rPr>
            </w:pPr>
          </w:p>
        </w:tc>
      </w:tr>
      <w:tr>
        <w:trPr>
          <w:trHeight w:val="224"/>
        </w:trPr>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Report on Form 10-Q filed with the Commission on May 3, 2016 (Commission file no. 001-33225)).†</w:t>
            </w:r>
          </w:p>
        </w:tc>
        <w:tc>
          <w:tcPr>
            <w:tcW w:w="20" w:type="dxa"/>
            <w:vAlign w:val="bottom"/>
          </w:tcPr>
          <w:p>
            <w:pPr>
              <w:spacing w:after="0"/>
              <w:rPr>
                <w:sz w:val="19"/>
                <w:szCs w:val="19"/>
                <w:color w:val="auto"/>
              </w:rPr>
            </w:pPr>
          </w:p>
        </w:tc>
      </w:tr>
      <w:tr>
        <w:trPr>
          <w:trHeight w:val="415"/>
        </w:trPr>
        <w:tc>
          <w:tcPr>
            <w:tcW w:w="400" w:type="dxa"/>
            <w:vAlign w:val="bottom"/>
            <w:tcBorders>
              <w:bottom w:val="single" w:sz="8" w:color="0000EE"/>
            </w:tcBorders>
          </w:tcPr>
          <w:p>
            <w:pPr>
              <w:spacing w:after="0"/>
              <w:rPr>
                <w:rFonts w:ascii="Arial" w:cs="Arial" w:eastAsia="Arial" w:hAnsi="Arial"/>
                <w:sz w:val="18"/>
                <w:szCs w:val="18"/>
                <w:color w:val="0000EE"/>
                <w:w w:val="84"/>
              </w:rPr>
            </w:pPr>
            <w:hyperlink r:id="rId177">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21</w:t>
              </w:r>
            </w:hyperlink>
          </w:p>
        </w:tc>
        <w:tc>
          <w:tcPr>
            <w:tcW w:w="1140" w:type="dxa"/>
            <w:vAlign w:val="bottom"/>
          </w:tcPr>
          <w:p>
            <w:pPr>
              <w:spacing w:after="0"/>
              <w:rPr>
                <w:sz w:val="24"/>
                <w:szCs w:val="24"/>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1"/>
              </w:rPr>
              <w:t>Form of Great Lakes Dredge &amp; Dock Corporation Cash Performance Award Agreement pursuant to the Great Lakes Dredge &amp; Dock</w:t>
            </w:r>
          </w:p>
        </w:tc>
        <w:tc>
          <w:tcPr>
            <w:tcW w:w="20" w:type="dxa"/>
            <w:vAlign w:val="bottom"/>
          </w:tcPr>
          <w:p>
            <w:pPr>
              <w:spacing w:after="0"/>
              <w:rPr>
                <w:sz w:val="24"/>
                <w:szCs w:val="24"/>
                <w:color w:val="auto"/>
              </w:rPr>
            </w:pPr>
          </w:p>
        </w:tc>
      </w:tr>
      <w:tr>
        <w:trPr>
          <w:trHeight w:val="221"/>
        </w:trPr>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4"/>
              </w:rPr>
              <w:t>Corporation 2007 Long-Term Incentive Plan. (Incorporated by reference to Great Lakes Dredge &amp; Dock Corporation’s Quarterly</w:t>
            </w:r>
          </w:p>
        </w:tc>
        <w:tc>
          <w:tcPr>
            <w:tcW w:w="20" w:type="dxa"/>
            <w:vAlign w:val="bottom"/>
          </w:tcPr>
          <w:p>
            <w:pPr>
              <w:spacing w:after="0"/>
              <w:rPr>
                <w:sz w:val="19"/>
                <w:szCs w:val="19"/>
                <w:color w:val="auto"/>
              </w:rPr>
            </w:pPr>
          </w:p>
        </w:tc>
      </w:tr>
      <w:tr>
        <w:trPr>
          <w:trHeight w:val="224"/>
        </w:trPr>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Report on Form 10-Q filed with the Commission on May 3, 2016 (Commission file no. 001-33225)).†</w:t>
            </w:r>
          </w:p>
        </w:tc>
        <w:tc>
          <w:tcPr>
            <w:tcW w:w="20" w:type="dxa"/>
            <w:vAlign w:val="bottom"/>
          </w:tcPr>
          <w:p>
            <w:pPr>
              <w:spacing w:after="0"/>
              <w:rPr>
                <w:sz w:val="19"/>
                <w:szCs w:val="19"/>
                <w:color w:val="auto"/>
              </w:rPr>
            </w:pPr>
          </w:p>
        </w:tc>
      </w:tr>
      <w:tr>
        <w:trPr>
          <w:trHeight w:val="415"/>
        </w:trPr>
        <w:tc>
          <w:tcPr>
            <w:tcW w:w="400" w:type="dxa"/>
            <w:vAlign w:val="bottom"/>
            <w:tcBorders>
              <w:bottom w:val="single" w:sz="8" w:color="0000EE"/>
            </w:tcBorders>
          </w:tcPr>
          <w:p>
            <w:pPr>
              <w:spacing w:after="0"/>
              <w:rPr>
                <w:rFonts w:ascii="Arial" w:cs="Arial" w:eastAsia="Arial" w:hAnsi="Arial"/>
                <w:sz w:val="18"/>
                <w:szCs w:val="18"/>
                <w:color w:val="0000EE"/>
                <w:w w:val="84"/>
              </w:rPr>
            </w:pPr>
            <w:hyperlink r:id="rId178">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22</w:t>
              </w:r>
            </w:hyperlink>
          </w:p>
        </w:tc>
        <w:tc>
          <w:tcPr>
            <w:tcW w:w="1140" w:type="dxa"/>
            <w:vAlign w:val="bottom"/>
          </w:tcPr>
          <w:p>
            <w:pPr>
              <w:spacing w:after="0"/>
              <w:rPr>
                <w:sz w:val="24"/>
                <w:szCs w:val="24"/>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2"/>
              </w:rPr>
              <w:t>Restricted Stock Unit Award Agreement, dated as of March 9, 2016, by and between Great Lakes Dredge &amp; Dock Corporation and</w:t>
            </w:r>
          </w:p>
        </w:tc>
        <w:tc>
          <w:tcPr>
            <w:tcW w:w="20" w:type="dxa"/>
            <w:vAlign w:val="bottom"/>
          </w:tcPr>
          <w:p>
            <w:pPr>
              <w:spacing w:after="0"/>
              <w:rPr>
                <w:sz w:val="24"/>
                <w:szCs w:val="24"/>
                <w:color w:val="auto"/>
              </w:rPr>
            </w:pPr>
          </w:p>
        </w:tc>
      </w:tr>
      <w:tr>
        <w:trPr>
          <w:trHeight w:val="221"/>
        </w:trPr>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3"/>
              </w:rPr>
              <w:t>Jonathan W. Berger (Incorporated by reference to Great Lakes Dredge &amp; Dock Corporation’s Quarterly Report on Form 10-Q filed</w:t>
            </w:r>
          </w:p>
        </w:tc>
        <w:tc>
          <w:tcPr>
            <w:tcW w:w="20" w:type="dxa"/>
            <w:vAlign w:val="bottom"/>
          </w:tcPr>
          <w:p>
            <w:pPr>
              <w:spacing w:after="0"/>
              <w:rPr>
                <w:sz w:val="19"/>
                <w:szCs w:val="19"/>
                <w:color w:val="auto"/>
              </w:rPr>
            </w:pPr>
          </w:p>
        </w:tc>
      </w:tr>
      <w:tr>
        <w:trPr>
          <w:trHeight w:val="224"/>
        </w:trPr>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with the Commission on May 3, 2016 (Commission file no. 001-33225)).†</w:t>
            </w:r>
          </w:p>
        </w:tc>
        <w:tc>
          <w:tcPr>
            <w:tcW w:w="20" w:type="dxa"/>
            <w:vAlign w:val="bottom"/>
          </w:tcPr>
          <w:p>
            <w:pPr>
              <w:spacing w:after="0"/>
              <w:rPr>
                <w:sz w:val="19"/>
                <w:szCs w:val="19"/>
                <w:color w:val="auto"/>
              </w:rPr>
            </w:pPr>
          </w:p>
        </w:tc>
      </w:tr>
      <w:tr>
        <w:trPr>
          <w:trHeight w:val="415"/>
        </w:trPr>
        <w:tc>
          <w:tcPr>
            <w:tcW w:w="400" w:type="dxa"/>
            <w:vAlign w:val="bottom"/>
            <w:tcBorders>
              <w:bottom w:val="single" w:sz="8" w:color="0000EE"/>
            </w:tcBorders>
          </w:tcPr>
          <w:p>
            <w:pPr>
              <w:spacing w:after="0"/>
              <w:rPr>
                <w:rFonts w:ascii="Arial" w:cs="Arial" w:eastAsia="Arial" w:hAnsi="Arial"/>
                <w:sz w:val="18"/>
                <w:szCs w:val="18"/>
                <w:color w:val="0000EE"/>
                <w:w w:val="84"/>
              </w:rPr>
            </w:pPr>
            <w:hyperlink r:id="rId179">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23</w:t>
              </w:r>
            </w:hyperlink>
          </w:p>
        </w:tc>
        <w:tc>
          <w:tcPr>
            <w:tcW w:w="1140" w:type="dxa"/>
            <w:vAlign w:val="bottom"/>
          </w:tcPr>
          <w:p>
            <w:pPr>
              <w:spacing w:after="0"/>
              <w:rPr>
                <w:sz w:val="24"/>
                <w:szCs w:val="24"/>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2"/>
              </w:rPr>
              <w:t>Performance Vesting RSU Award Agreement, dated as of March 9, 2016, by and between Great Lakes Dredge &amp; Dock Corporation</w:t>
            </w:r>
          </w:p>
        </w:tc>
        <w:tc>
          <w:tcPr>
            <w:tcW w:w="20" w:type="dxa"/>
            <w:vAlign w:val="bottom"/>
          </w:tcPr>
          <w:p>
            <w:pPr>
              <w:spacing w:after="0"/>
              <w:rPr>
                <w:sz w:val="24"/>
                <w:szCs w:val="24"/>
                <w:color w:val="auto"/>
              </w:rPr>
            </w:pPr>
          </w:p>
        </w:tc>
      </w:tr>
      <w:tr>
        <w:trPr>
          <w:trHeight w:val="221"/>
        </w:trPr>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0"/>
              </w:rPr>
              <w:t>and Jonathan W. Berger (Incorporated by reference to Great Lakes Dredge &amp; Dock Corporation’s Quarterly Report on Form 10-Q filed</w:t>
            </w:r>
          </w:p>
        </w:tc>
        <w:tc>
          <w:tcPr>
            <w:tcW w:w="20" w:type="dxa"/>
            <w:vAlign w:val="bottom"/>
          </w:tcPr>
          <w:p>
            <w:pPr>
              <w:spacing w:after="0"/>
              <w:rPr>
                <w:sz w:val="19"/>
                <w:szCs w:val="19"/>
                <w:color w:val="auto"/>
              </w:rPr>
            </w:pPr>
          </w:p>
        </w:tc>
      </w:tr>
      <w:tr>
        <w:trPr>
          <w:trHeight w:val="224"/>
        </w:trPr>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with the Commission on May 3, 2016 (Commission file no. 001-33225)).†</w:t>
            </w:r>
          </w:p>
        </w:tc>
        <w:tc>
          <w:tcPr>
            <w:tcW w:w="20" w:type="dxa"/>
            <w:vAlign w:val="bottom"/>
          </w:tcPr>
          <w:p>
            <w:pPr>
              <w:spacing w:after="0"/>
              <w:rPr>
                <w:sz w:val="19"/>
                <w:szCs w:val="19"/>
                <w:color w:val="auto"/>
              </w:rPr>
            </w:pPr>
          </w:p>
        </w:tc>
      </w:tr>
      <w:tr>
        <w:trPr>
          <w:trHeight w:val="415"/>
        </w:trPr>
        <w:tc>
          <w:tcPr>
            <w:tcW w:w="400" w:type="dxa"/>
            <w:vAlign w:val="bottom"/>
            <w:tcBorders>
              <w:bottom w:val="single" w:sz="8" w:color="0000EE"/>
            </w:tcBorders>
          </w:tcPr>
          <w:p>
            <w:pPr>
              <w:spacing w:after="0"/>
              <w:rPr>
                <w:rFonts w:ascii="Arial" w:cs="Arial" w:eastAsia="Arial" w:hAnsi="Arial"/>
                <w:sz w:val="18"/>
                <w:szCs w:val="18"/>
                <w:color w:val="0000EE"/>
                <w:w w:val="84"/>
              </w:rPr>
            </w:pPr>
            <w:hyperlink r:id="rId180">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24</w:t>
              </w:r>
            </w:hyperlink>
          </w:p>
        </w:tc>
        <w:tc>
          <w:tcPr>
            <w:tcW w:w="1140" w:type="dxa"/>
            <w:vAlign w:val="bottom"/>
          </w:tcPr>
          <w:p>
            <w:pPr>
              <w:spacing w:after="0"/>
              <w:rPr>
                <w:sz w:val="24"/>
                <w:szCs w:val="24"/>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4"/>
              </w:rPr>
              <w:t>Cash Performance Award Agreement, dated as of March 9, 2016, by and between Great Lakes Dredge &amp; Dock Corporation and</w:t>
            </w:r>
          </w:p>
        </w:tc>
        <w:tc>
          <w:tcPr>
            <w:tcW w:w="20" w:type="dxa"/>
            <w:vAlign w:val="bottom"/>
          </w:tcPr>
          <w:p>
            <w:pPr>
              <w:spacing w:after="0"/>
              <w:rPr>
                <w:sz w:val="24"/>
                <w:szCs w:val="24"/>
                <w:color w:val="auto"/>
              </w:rPr>
            </w:pPr>
          </w:p>
        </w:tc>
      </w:tr>
      <w:tr>
        <w:trPr>
          <w:trHeight w:val="221"/>
        </w:trPr>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3"/>
              </w:rPr>
              <w:t>Jonathan W. Berger (Incorporated by reference to Great Lakes Dredge &amp; Dock Corporation’s Quarterly Report on Form 10-Q filed</w:t>
            </w:r>
          </w:p>
        </w:tc>
        <w:tc>
          <w:tcPr>
            <w:tcW w:w="20" w:type="dxa"/>
            <w:vAlign w:val="bottom"/>
          </w:tcPr>
          <w:p>
            <w:pPr>
              <w:spacing w:after="0"/>
              <w:rPr>
                <w:sz w:val="19"/>
                <w:szCs w:val="19"/>
                <w:color w:val="auto"/>
              </w:rPr>
            </w:pPr>
          </w:p>
        </w:tc>
      </w:tr>
      <w:tr>
        <w:trPr>
          <w:trHeight w:val="224"/>
        </w:trPr>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with the Commission on May 3, 2016 (Commission file no. 001-33225)).†</w:t>
            </w:r>
          </w:p>
        </w:tc>
        <w:tc>
          <w:tcPr>
            <w:tcW w:w="20" w:type="dxa"/>
            <w:vAlign w:val="bottom"/>
          </w:tcPr>
          <w:p>
            <w:pPr>
              <w:spacing w:after="0"/>
              <w:rPr>
                <w:sz w:val="19"/>
                <w:szCs w:val="19"/>
                <w:color w:val="auto"/>
              </w:rPr>
            </w:pPr>
          </w:p>
        </w:tc>
      </w:tr>
      <w:tr>
        <w:trPr>
          <w:trHeight w:val="415"/>
        </w:trPr>
        <w:tc>
          <w:tcPr>
            <w:tcW w:w="400" w:type="dxa"/>
            <w:vAlign w:val="bottom"/>
            <w:tcBorders>
              <w:bottom w:val="single" w:sz="8" w:color="0000EE"/>
            </w:tcBorders>
          </w:tcPr>
          <w:p>
            <w:pPr>
              <w:spacing w:after="0"/>
              <w:rPr>
                <w:rFonts w:ascii="Arial" w:cs="Arial" w:eastAsia="Arial" w:hAnsi="Arial"/>
                <w:sz w:val="18"/>
                <w:szCs w:val="18"/>
                <w:color w:val="0000EE"/>
                <w:w w:val="84"/>
              </w:rPr>
            </w:pPr>
            <w:hyperlink w:anchor="page107">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25</w:t>
              </w:r>
            </w:hyperlink>
          </w:p>
        </w:tc>
        <w:tc>
          <w:tcPr>
            <w:tcW w:w="1140" w:type="dxa"/>
            <w:vAlign w:val="bottom"/>
          </w:tcPr>
          <w:p>
            <w:pPr>
              <w:spacing w:after="0"/>
              <w:rPr>
                <w:sz w:val="24"/>
                <w:szCs w:val="24"/>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Great Lakes Dredge &amp; Dock Corporation Director Deferral Plan †*</w:t>
            </w:r>
          </w:p>
        </w:tc>
        <w:tc>
          <w:tcPr>
            <w:tcW w:w="20" w:type="dxa"/>
            <w:vAlign w:val="bottom"/>
          </w:tcPr>
          <w:p>
            <w:pPr>
              <w:spacing w:after="0"/>
              <w:rPr>
                <w:sz w:val="24"/>
                <w:szCs w:val="24"/>
                <w:color w:val="auto"/>
              </w:rPr>
            </w:pPr>
          </w:p>
        </w:tc>
      </w:tr>
      <w:tr>
        <w:trPr>
          <w:trHeight w:val="433"/>
        </w:trPr>
        <w:tc>
          <w:tcPr>
            <w:tcW w:w="400" w:type="dxa"/>
            <w:vAlign w:val="bottom"/>
            <w:tcBorders>
              <w:bottom w:val="single" w:sz="8" w:color="0000EE"/>
            </w:tcBorders>
          </w:tcPr>
          <w:p>
            <w:pPr>
              <w:spacing w:after="0"/>
              <w:rPr>
                <w:rFonts w:ascii="Arial" w:cs="Arial" w:eastAsia="Arial" w:hAnsi="Arial"/>
                <w:sz w:val="18"/>
                <w:szCs w:val="18"/>
                <w:color w:val="0000EE"/>
                <w:w w:val="84"/>
              </w:rPr>
            </w:pPr>
            <w:hyperlink r:id="rId181">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26</w:t>
              </w:r>
            </w:hyperlink>
          </w:p>
        </w:tc>
        <w:tc>
          <w:tcPr>
            <w:tcW w:w="1140" w:type="dxa"/>
            <w:vAlign w:val="bottom"/>
          </w:tcPr>
          <w:p>
            <w:pPr>
              <w:spacing w:after="0"/>
              <w:rPr>
                <w:sz w:val="24"/>
                <w:szCs w:val="24"/>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5"/>
              </w:rPr>
              <w:t>Share Purchase Agreement dated November 4, 2014 among Great Lakes Environmental and Infrastructure Solutions, LLC and</w:t>
            </w:r>
          </w:p>
        </w:tc>
        <w:tc>
          <w:tcPr>
            <w:tcW w:w="20" w:type="dxa"/>
            <w:vAlign w:val="bottom"/>
          </w:tcPr>
          <w:p>
            <w:pPr>
              <w:spacing w:after="0"/>
              <w:rPr>
                <w:sz w:val="24"/>
                <w:szCs w:val="24"/>
                <w:color w:val="auto"/>
              </w:rPr>
            </w:pPr>
          </w:p>
        </w:tc>
      </w:tr>
      <w:tr>
        <w:trPr>
          <w:trHeight w:val="221"/>
        </w:trPr>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0"/>
              </w:rPr>
              <w:t>Magnus Pacific Corporation. (Incorporated by reference to Great Lakes Dredge &amp; Dock Corporation’s Annual Report on Form 10-K/A</w:t>
            </w:r>
          </w:p>
        </w:tc>
        <w:tc>
          <w:tcPr>
            <w:tcW w:w="20" w:type="dxa"/>
            <w:vAlign w:val="bottom"/>
          </w:tcPr>
          <w:p>
            <w:pPr>
              <w:spacing w:after="0"/>
              <w:rPr>
                <w:sz w:val="19"/>
                <w:szCs w:val="19"/>
                <w:color w:val="auto"/>
              </w:rPr>
            </w:pPr>
          </w:p>
        </w:tc>
      </w:tr>
      <w:tr>
        <w:trPr>
          <w:trHeight w:val="224"/>
        </w:trPr>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filed with the Commission on September 24, 2015 (Commission file no. 001-33225)).##</w:t>
            </w:r>
          </w:p>
        </w:tc>
        <w:tc>
          <w:tcPr>
            <w:tcW w:w="20" w:type="dxa"/>
            <w:vAlign w:val="bottom"/>
          </w:tcPr>
          <w:p>
            <w:pPr>
              <w:spacing w:after="0"/>
              <w:rPr>
                <w:sz w:val="19"/>
                <w:szCs w:val="19"/>
                <w:color w:val="auto"/>
              </w:rPr>
            </w:pPr>
          </w:p>
        </w:tc>
      </w:tr>
      <w:tr>
        <w:trPr>
          <w:trHeight w:val="415"/>
        </w:trPr>
        <w:tc>
          <w:tcPr>
            <w:tcW w:w="400" w:type="dxa"/>
            <w:vAlign w:val="bottom"/>
            <w:tcBorders>
              <w:bottom w:val="single" w:sz="8" w:color="0000EE"/>
            </w:tcBorders>
          </w:tcPr>
          <w:p>
            <w:pPr>
              <w:spacing w:after="0"/>
              <w:rPr>
                <w:rFonts w:ascii="Arial" w:cs="Arial" w:eastAsia="Arial" w:hAnsi="Arial"/>
                <w:sz w:val="18"/>
                <w:szCs w:val="18"/>
                <w:color w:val="0000EE"/>
                <w:w w:val="84"/>
              </w:rPr>
            </w:pPr>
            <w:hyperlink r:id="rId182">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27</w:t>
              </w:r>
            </w:hyperlink>
          </w:p>
        </w:tc>
        <w:tc>
          <w:tcPr>
            <w:tcW w:w="1140" w:type="dxa"/>
            <w:vAlign w:val="bottom"/>
          </w:tcPr>
          <w:p>
            <w:pPr>
              <w:spacing w:after="0"/>
              <w:rPr>
                <w:sz w:val="24"/>
                <w:szCs w:val="24"/>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88"/>
              </w:rPr>
              <w:t>Amendment to the Share Purchase Agreement, dated as of September 8, 2016, by and among Magnus Pacific Corporation, now known</w:t>
            </w:r>
          </w:p>
        </w:tc>
        <w:tc>
          <w:tcPr>
            <w:tcW w:w="20" w:type="dxa"/>
            <w:vAlign w:val="bottom"/>
          </w:tcPr>
          <w:p>
            <w:pPr>
              <w:spacing w:after="0"/>
              <w:rPr>
                <w:sz w:val="24"/>
                <w:szCs w:val="24"/>
                <w:color w:val="auto"/>
              </w:rPr>
            </w:pPr>
          </w:p>
        </w:tc>
      </w:tr>
      <w:tr>
        <w:trPr>
          <w:trHeight w:val="221"/>
        </w:trPr>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as Great Lakes Environmental and Infrastructure, LLC and Great Lakes Environmental and Infrastructure Solutions,</w:t>
            </w:r>
          </w:p>
        </w:tc>
        <w:tc>
          <w:tcPr>
            <w:tcW w:w="20" w:type="dxa"/>
            <w:vAlign w:val="bottom"/>
          </w:tcPr>
          <w:p>
            <w:pPr>
              <w:spacing w:after="0"/>
              <w:rPr>
                <w:sz w:val="19"/>
                <w:szCs w:val="19"/>
                <w:color w:val="auto"/>
              </w:rPr>
            </w:pPr>
          </w:p>
        </w:tc>
      </w:tr>
      <w:tr>
        <w:trPr>
          <w:trHeight w:val="213"/>
        </w:trPr>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8"/>
              </w:rPr>
              <w:t>LLC. (Incorporated by reference to Great Lakes Dredge &amp; Dock Corporation’s Quarterly Report on Form 10-Q filed with the</w:t>
            </w:r>
          </w:p>
        </w:tc>
        <w:tc>
          <w:tcPr>
            <w:tcW w:w="20" w:type="dxa"/>
            <w:vAlign w:val="bottom"/>
          </w:tcPr>
          <w:p>
            <w:pPr>
              <w:spacing w:after="0"/>
              <w:rPr>
                <w:sz w:val="18"/>
                <w:szCs w:val="18"/>
                <w:color w:val="auto"/>
              </w:rPr>
            </w:pPr>
          </w:p>
        </w:tc>
      </w:tr>
      <w:tr>
        <w:trPr>
          <w:trHeight w:val="224"/>
        </w:trPr>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Commission on November 2, 2016 (Commission file no. 001-33225)).##</w:t>
            </w:r>
          </w:p>
        </w:tc>
        <w:tc>
          <w:tcPr>
            <w:tcW w:w="20" w:type="dxa"/>
            <w:vAlign w:val="bottom"/>
          </w:tcPr>
          <w:p>
            <w:pPr>
              <w:spacing w:after="0"/>
              <w:rPr>
                <w:sz w:val="19"/>
                <w:szCs w:val="19"/>
                <w:color w:val="auto"/>
              </w:rPr>
            </w:pPr>
          </w:p>
        </w:tc>
      </w:tr>
      <w:tr>
        <w:trPr>
          <w:trHeight w:val="415"/>
        </w:trPr>
        <w:tc>
          <w:tcPr>
            <w:tcW w:w="400" w:type="dxa"/>
            <w:vAlign w:val="bottom"/>
            <w:tcBorders>
              <w:bottom w:val="single" w:sz="8" w:color="0000EE"/>
            </w:tcBorders>
          </w:tcPr>
          <w:p>
            <w:pPr>
              <w:spacing w:after="0"/>
              <w:rPr>
                <w:rFonts w:ascii="Arial" w:cs="Arial" w:eastAsia="Arial" w:hAnsi="Arial"/>
                <w:sz w:val="18"/>
                <w:szCs w:val="18"/>
                <w:color w:val="0000EE"/>
                <w:w w:val="84"/>
              </w:rPr>
            </w:pPr>
            <w:hyperlink r:id="rId183">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28</w:t>
              </w:r>
            </w:hyperlink>
          </w:p>
        </w:tc>
        <w:tc>
          <w:tcPr>
            <w:tcW w:w="1140" w:type="dxa"/>
            <w:vAlign w:val="bottom"/>
          </w:tcPr>
          <w:p>
            <w:pPr>
              <w:spacing w:after="0"/>
              <w:rPr>
                <w:sz w:val="24"/>
                <w:szCs w:val="24"/>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4"/>
              </w:rPr>
              <w:t>Purchase Agreement, dated November 19, 2014, by and among the Company, certain subsidiary guarantors named therein and</w:t>
            </w:r>
          </w:p>
        </w:tc>
        <w:tc>
          <w:tcPr>
            <w:tcW w:w="20" w:type="dxa"/>
            <w:vAlign w:val="bottom"/>
          </w:tcPr>
          <w:p>
            <w:pPr>
              <w:spacing w:after="0"/>
              <w:rPr>
                <w:sz w:val="24"/>
                <w:szCs w:val="24"/>
                <w:color w:val="auto"/>
              </w:rPr>
            </w:pPr>
          </w:p>
        </w:tc>
      </w:tr>
      <w:tr>
        <w:trPr>
          <w:trHeight w:val="221"/>
        </w:trPr>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4"/>
              </w:rPr>
              <w:t>Deutsche Bank Securities Inc., as the initial purchaser. (Incorporated by reference to Great Lakes Dredge &amp; Dock Corporation’s</w:t>
            </w:r>
          </w:p>
        </w:tc>
        <w:tc>
          <w:tcPr>
            <w:tcW w:w="20" w:type="dxa"/>
            <w:vAlign w:val="bottom"/>
          </w:tcPr>
          <w:p>
            <w:pPr>
              <w:spacing w:after="0"/>
              <w:rPr>
                <w:sz w:val="19"/>
                <w:szCs w:val="19"/>
                <w:color w:val="auto"/>
              </w:rPr>
            </w:pPr>
          </w:p>
        </w:tc>
      </w:tr>
      <w:tr>
        <w:trPr>
          <w:trHeight w:val="224"/>
        </w:trPr>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Current Report on Form 8-K filed with the Commission on November 24, 2014 (Commission file no. 001-33225)).</w:t>
            </w:r>
          </w:p>
        </w:tc>
        <w:tc>
          <w:tcPr>
            <w:tcW w:w="20" w:type="dxa"/>
            <w:vAlign w:val="bottom"/>
          </w:tcPr>
          <w:p>
            <w:pPr>
              <w:spacing w:after="0"/>
              <w:rPr>
                <w:sz w:val="19"/>
                <w:szCs w:val="19"/>
                <w:color w:val="auto"/>
              </w:rPr>
            </w:pPr>
          </w:p>
        </w:tc>
      </w:tr>
      <w:tr>
        <w:trPr>
          <w:trHeight w:val="653"/>
        </w:trPr>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80" w:type="dxa"/>
            <w:vAlign w:val="bottom"/>
            <w:gridSpan w:val="2"/>
          </w:tcPr>
          <w:p>
            <w:pPr>
              <w:jc w:val="right"/>
              <w:ind w:right="5491"/>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4"/>
                <w:szCs w:val="24"/>
                <w:color w:val="auto"/>
              </w:rPr>
            </w:pPr>
          </w:p>
        </w:tc>
      </w:tr>
      <w:tr>
        <w:trPr>
          <w:trHeight w:val="115"/>
        </w:trPr>
        <w:tc>
          <w:tcPr>
            <w:tcW w:w="4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6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34" w:right="21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1"/>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20"/>
                <w:szCs w:val="20"/>
                <w:color w:val="auto"/>
              </w:rPr>
            </w:pPr>
          </w:p>
        </w:tc>
        <w:tc>
          <w:tcPr>
            <w:tcW w:w="9640" w:type="dxa"/>
            <w:vAlign w:val="bottom"/>
            <w:tcBorders>
              <w:bottom w:val="single" w:sz="8" w:color="auto"/>
            </w:tcBorders>
          </w:tcPr>
          <w:p>
            <w:pPr>
              <w:ind w:left="3960"/>
              <w:spacing w:after="0"/>
              <w:rPr>
                <w:sz w:val="20"/>
                <w:szCs w:val="20"/>
                <w:color w:val="auto"/>
              </w:rPr>
            </w:pPr>
            <w:r>
              <w:rPr>
                <w:rFonts w:ascii="Arial" w:cs="Arial" w:eastAsia="Arial" w:hAnsi="Arial"/>
                <w:sz w:val="18"/>
                <w:szCs w:val="18"/>
                <w:b w:val="1"/>
                <w:bCs w:val="1"/>
                <w:color w:val="auto"/>
              </w:rPr>
              <w:t>Document Description</w:t>
            </w:r>
          </w:p>
        </w:tc>
      </w:tr>
      <w:tr>
        <w:trPr>
          <w:trHeight w:val="181"/>
        </w:trPr>
        <w:tc>
          <w:tcPr>
            <w:tcW w:w="1540" w:type="dxa"/>
            <w:vAlign w:val="bottom"/>
            <w:gridSpan w:val="2"/>
          </w:tcPr>
          <w:p>
            <w:pPr>
              <w:spacing w:after="0" w:line="181" w:lineRule="exact"/>
              <w:rPr>
                <w:rFonts w:ascii="Arial" w:cs="Arial" w:eastAsia="Arial" w:hAnsi="Arial"/>
                <w:sz w:val="18"/>
                <w:szCs w:val="18"/>
                <w:color w:val="0000EE"/>
              </w:rPr>
            </w:pPr>
            <w:hyperlink r:id="rId186">
              <w:r>
                <w:rPr>
                  <w:rFonts w:ascii="Arial" w:cs="Arial" w:eastAsia="Arial" w:hAnsi="Arial"/>
                  <w:sz w:val="18"/>
                  <w:szCs w:val="18"/>
                  <w:color w:val="0000EE"/>
                </w:rPr>
                <w:t>10.</w:t>
              </w:r>
              <w:r>
                <w:rPr>
                  <w:rFonts w:ascii="Arial" w:cs="Arial" w:eastAsia="Arial" w:hAnsi="Arial"/>
                  <w:sz w:val="18"/>
                  <w:szCs w:val="18"/>
                  <w:u w:val="single" w:color="auto"/>
                  <w:color w:val="0000EE"/>
                </w:rPr>
                <w:t>29</w:t>
              </w:r>
            </w:hyperlink>
          </w:p>
        </w:tc>
        <w:tc>
          <w:tcPr>
            <w:tcW w:w="9880" w:type="dxa"/>
            <w:vAlign w:val="bottom"/>
            <w:gridSpan w:val="2"/>
          </w:tcPr>
          <w:p>
            <w:pPr>
              <w:ind w:left="240"/>
              <w:spacing w:after="0" w:line="181" w:lineRule="exact"/>
              <w:rPr>
                <w:sz w:val="20"/>
                <w:szCs w:val="20"/>
                <w:color w:val="auto"/>
              </w:rPr>
            </w:pPr>
            <w:r>
              <w:rPr>
                <w:rFonts w:ascii="Arial" w:cs="Arial" w:eastAsia="Arial" w:hAnsi="Arial"/>
                <w:sz w:val="18"/>
                <w:szCs w:val="18"/>
                <w:color w:val="auto"/>
                <w:w w:val="91"/>
              </w:rPr>
              <w:t>Purchase Agreement, dated May 18, 2017, by and among the Company, certain subsidiary guarantors named therein and Deutsche</w:t>
            </w:r>
          </w:p>
        </w:tc>
      </w:tr>
      <w:tr>
        <w:trPr>
          <w:trHeight w:val="221"/>
        </w:trPr>
        <w:tc>
          <w:tcPr>
            <w:tcW w:w="400" w:type="dxa"/>
            <w:vAlign w:val="bottom"/>
            <w:tcBorders>
              <w:top w:val="single" w:sz="8" w:color="0000EE"/>
            </w:tcBorders>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Bank Securities Inc., as representative of the initial purchasers named therein.</w:t>
            </w:r>
          </w:p>
        </w:tc>
      </w:tr>
      <w:tr>
        <w:trPr>
          <w:trHeight w:val="213"/>
        </w:trPr>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2"/>
              </w:rPr>
              <w:t>(Incorporated by reference to Great Lakes Dredge &amp; Dock Corporation’s Current Report on Form 8-K filed with the Commission on</w:t>
            </w:r>
          </w:p>
        </w:tc>
      </w:tr>
      <w:tr>
        <w:trPr>
          <w:trHeight w:val="224"/>
        </w:trPr>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May 24, 2017 (Commission file no. 001-33225)).</w:t>
            </w:r>
          </w:p>
        </w:tc>
      </w:tr>
      <w:tr>
        <w:trPr>
          <w:trHeight w:val="415"/>
        </w:trPr>
        <w:tc>
          <w:tcPr>
            <w:tcW w:w="1540" w:type="dxa"/>
            <w:vAlign w:val="bottom"/>
            <w:gridSpan w:val="2"/>
          </w:tcPr>
          <w:p>
            <w:pPr>
              <w:spacing w:after="0"/>
              <w:rPr>
                <w:rFonts w:ascii="Arial" w:cs="Arial" w:eastAsia="Arial" w:hAnsi="Arial"/>
                <w:sz w:val="18"/>
                <w:szCs w:val="18"/>
                <w:color w:val="0000EE"/>
              </w:rPr>
            </w:pPr>
            <w:hyperlink r:id="rId187">
              <w:r>
                <w:rPr>
                  <w:rFonts w:ascii="Arial" w:cs="Arial" w:eastAsia="Arial" w:hAnsi="Arial"/>
                  <w:sz w:val="18"/>
                  <w:szCs w:val="18"/>
                  <w:color w:val="0000EE"/>
                </w:rPr>
                <w:t>10.</w:t>
              </w:r>
              <w:r>
                <w:rPr>
                  <w:rFonts w:ascii="Arial" w:cs="Arial" w:eastAsia="Arial" w:hAnsi="Arial"/>
                  <w:sz w:val="18"/>
                  <w:szCs w:val="18"/>
                  <w:u w:val="single" w:color="auto"/>
                  <w:color w:val="0000EE"/>
                </w:rPr>
                <w:t>30</w:t>
              </w:r>
            </w:hyperlink>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89"/>
              </w:rPr>
              <w:t>Registration Rights Agreement, dated January 28, 2011, by and among the Company, certain subsidiary guarantors named therein and</w:t>
            </w:r>
          </w:p>
        </w:tc>
      </w:tr>
      <w:tr>
        <w:trPr>
          <w:trHeight w:val="221"/>
        </w:trPr>
        <w:tc>
          <w:tcPr>
            <w:tcW w:w="400" w:type="dxa"/>
            <w:vAlign w:val="bottom"/>
            <w:tcBorders>
              <w:top w:val="single" w:sz="8" w:color="0000EE"/>
            </w:tcBorders>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4"/>
              </w:rPr>
              <w:t>the initial purchasers named therein. (Incorporated by reference to Great Lakes Dredge &amp; Dock Corporation’s Current Report on</w:t>
            </w:r>
          </w:p>
        </w:tc>
      </w:tr>
      <w:tr>
        <w:trPr>
          <w:trHeight w:val="224"/>
        </w:trPr>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Form 8-K filed with the Commission on January 28, 2011 (Commission file no. 001-33225)).</w:t>
            </w:r>
          </w:p>
        </w:tc>
      </w:tr>
      <w:tr>
        <w:trPr>
          <w:trHeight w:val="415"/>
        </w:trPr>
        <w:tc>
          <w:tcPr>
            <w:tcW w:w="1540" w:type="dxa"/>
            <w:vAlign w:val="bottom"/>
            <w:gridSpan w:val="2"/>
          </w:tcPr>
          <w:p>
            <w:pPr>
              <w:spacing w:after="0"/>
              <w:rPr>
                <w:rFonts w:ascii="Arial" w:cs="Arial" w:eastAsia="Arial" w:hAnsi="Arial"/>
                <w:sz w:val="18"/>
                <w:szCs w:val="18"/>
                <w:color w:val="0000EE"/>
              </w:rPr>
            </w:pPr>
            <w:hyperlink r:id="rId188">
              <w:r>
                <w:rPr>
                  <w:rFonts w:ascii="Arial" w:cs="Arial" w:eastAsia="Arial" w:hAnsi="Arial"/>
                  <w:sz w:val="18"/>
                  <w:szCs w:val="18"/>
                  <w:color w:val="0000EE"/>
                </w:rPr>
                <w:t>10.</w:t>
              </w:r>
              <w:r>
                <w:rPr>
                  <w:rFonts w:ascii="Arial" w:cs="Arial" w:eastAsia="Arial" w:hAnsi="Arial"/>
                  <w:sz w:val="18"/>
                  <w:szCs w:val="18"/>
                  <w:u w:val="single" w:color="auto"/>
                  <w:color w:val="0000EE"/>
                </w:rPr>
                <w:t>31</w:t>
              </w:r>
            </w:hyperlink>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0"/>
              </w:rPr>
              <w:t>Registration Rights Agreement, dated November 24, 2014, by and among the Company, certain subsidiary guarantors named therein</w:t>
            </w:r>
          </w:p>
        </w:tc>
      </w:tr>
      <w:tr>
        <w:trPr>
          <w:trHeight w:val="221"/>
        </w:trPr>
        <w:tc>
          <w:tcPr>
            <w:tcW w:w="400" w:type="dxa"/>
            <w:vAlign w:val="bottom"/>
            <w:tcBorders>
              <w:top w:val="single" w:sz="8" w:color="0000EE"/>
            </w:tcBorders>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1"/>
              </w:rPr>
              <w:t>and Deutsche Bank Securities Inc., as the initial purchaser. (Incorporated by reference to Great Lakes Dredge &amp; Dock Corporation’s</w:t>
            </w:r>
          </w:p>
        </w:tc>
      </w:tr>
      <w:tr>
        <w:trPr>
          <w:trHeight w:val="224"/>
        </w:trPr>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Current Report on Form 8-K filed with the Commission on November 24, 2014 (Commission file no. 001-33225)).</w:t>
            </w:r>
          </w:p>
        </w:tc>
      </w:tr>
      <w:tr>
        <w:trPr>
          <w:trHeight w:val="415"/>
        </w:trPr>
        <w:tc>
          <w:tcPr>
            <w:tcW w:w="1540" w:type="dxa"/>
            <w:vAlign w:val="bottom"/>
            <w:gridSpan w:val="2"/>
          </w:tcPr>
          <w:p>
            <w:pPr>
              <w:spacing w:after="0"/>
              <w:rPr>
                <w:rFonts w:ascii="Arial" w:cs="Arial" w:eastAsia="Arial" w:hAnsi="Arial"/>
                <w:sz w:val="18"/>
                <w:szCs w:val="18"/>
                <w:color w:val="0000EE"/>
              </w:rPr>
            </w:pPr>
            <w:hyperlink r:id="rId189">
              <w:r>
                <w:rPr>
                  <w:rFonts w:ascii="Arial" w:cs="Arial" w:eastAsia="Arial" w:hAnsi="Arial"/>
                  <w:sz w:val="18"/>
                  <w:szCs w:val="18"/>
                  <w:color w:val="0000EE"/>
                </w:rPr>
                <w:t>10.</w:t>
              </w:r>
              <w:r>
                <w:rPr>
                  <w:rFonts w:ascii="Arial" w:cs="Arial" w:eastAsia="Arial" w:hAnsi="Arial"/>
                  <w:sz w:val="18"/>
                  <w:szCs w:val="18"/>
                  <w:u w:val="single" w:color="auto"/>
                  <w:color w:val="0000EE"/>
                </w:rPr>
                <w:t>32</w:t>
              </w:r>
            </w:hyperlink>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1"/>
              </w:rPr>
              <w:t>Registration Rights Agreement, dated May 24, 2017, by and among the Company, certain subsidiary guarantors named therein and</w:t>
            </w:r>
          </w:p>
        </w:tc>
      </w:tr>
      <w:tr>
        <w:trPr>
          <w:trHeight w:val="221"/>
        </w:trPr>
        <w:tc>
          <w:tcPr>
            <w:tcW w:w="400" w:type="dxa"/>
            <w:vAlign w:val="bottom"/>
            <w:tcBorders>
              <w:top w:val="single" w:sz="8" w:color="0000EE"/>
            </w:tcBorders>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2"/>
              </w:rPr>
              <w:t>Deutsche Bank Securities Inc., as representative of the initial purchasers named therein. (Incorporated by reference to Great Lakes</w:t>
            </w:r>
          </w:p>
        </w:tc>
      </w:tr>
      <w:tr>
        <w:trPr>
          <w:trHeight w:val="213"/>
        </w:trPr>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4"/>
              </w:rPr>
              <w:t>Dredge &amp; Dock Corporation’s Current Report on Form 8-K filed with the Commission on May 24, 2017 (Commission file no. 001-</w:t>
            </w:r>
          </w:p>
        </w:tc>
      </w:tr>
      <w:tr>
        <w:trPr>
          <w:trHeight w:val="224"/>
        </w:trPr>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33225)).</w:t>
            </w:r>
          </w:p>
        </w:tc>
      </w:tr>
      <w:tr>
        <w:trPr>
          <w:trHeight w:val="415"/>
        </w:trPr>
        <w:tc>
          <w:tcPr>
            <w:tcW w:w="1540" w:type="dxa"/>
            <w:vAlign w:val="bottom"/>
            <w:gridSpan w:val="2"/>
          </w:tcPr>
          <w:p>
            <w:pPr>
              <w:spacing w:after="0"/>
              <w:rPr>
                <w:rFonts w:ascii="Arial" w:cs="Arial" w:eastAsia="Arial" w:hAnsi="Arial"/>
                <w:sz w:val="18"/>
                <w:szCs w:val="18"/>
                <w:color w:val="0000EE"/>
              </w:rPr>
            </w:pPr>
            <w:hyperlink r:id="rId190">
              <w:r>
                <w:rPr>
                  <w:rFonts w:ascii="Arial" w:cs="Arial" w:eastAsia="Arial" w:hAnsi="Arial"/>
                  <w:sz w:val="18"/>
                  <w:szCs w:val="18"/>
                  <w:color w:val="0000EE"/>
                </w:rPr>
                <w:t>10.</w:t>
              </w:r>
              <w:r>
                <w:rPr>
                  <w:rFonts w:ascii="Arial" w:cs="Arial" w:eastAsia="Arial" w:hAnsi="Arial"/>
                  <w:sz w:val="18"/>
                  <w:szCs w:val="18"/>
                  <w:u w:val="single" w:color="auto"/>
                  <w:color w:val="0000EE"/>
                </w:rPr>
                <w:t>33</w:t>
              </w:r>
            </w:hyperlink>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0"/>
              </w:rPr>
              <w:t>Revolving Credit and Security Agreement dated as of December 30, 2016 by and among Great Lakes Dredge &amp; Dock Corporation, as</w:t>
            </w:r>
          </w:p>
        </w:tc>
      </w:tr>
      <w:tr>
        <w:trPr>
          <w:trHeight w:val="221"/>
        </w:trPr>
        <w:tc>
          <w:tcPr>
            <w:tcW w:w="400" w:type="dxa"/>
            <w:vAlign w:val="bottom"/>
            <w:tcBorders>
              <w:top w:val="single" w:sz="8" w:color="0000EE"/>
            </w:tcBorders>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0"/>
              </w:rPr>
              <w:t>Borrower, each other Credit Party party hereto from time to time, the financial institutions which are now or which hereafter become a</w:t>
            </w:r>
          </w:p>
        </w:tc>
      </w:tr>
      <w:tr>
        <w:trPr>
          <w:trHeight w:val="213"/>
        </w:trPr>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3"/>
              </w:rPr>
              <w:t>party hereto as lenders, PNC Capital Markets, The PrivateBank and Trust Company, Capital One, National Association, Suntrust</w:t>
            </w:r>
          </w:p>
        </w:tc>
      </w:tr>
      <w:tr>
        <w:trPr>
          <w:trHeight w:val="213"/>
        </w:trPr>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3"/>
              </w:rPr>
              <w:t>Robinson Humphrey, Inc., and Bank of America, N.A., as joint lead arrangers and joint bookrunners, Texas Capital Bank, National</w:t>
            </w:r>
          </w:p>
        </w:tc>
      </w:tr>
      <w:tr>
        <w:trPr>
          <w:trHeight w:val="213"/>
        </w:trPr>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1"/>
              </w:rPr>
              <w:t>Association, as syndication agent, Woodforest Nation Bank, as documentation agent, and PNC Bank, National Association, as agent</w:t>
            </w:r>
          </w:p>
        </w:tc>
      </w:tr>
      <w:tr>
        <w:trPr>
          <w:trHeight w:val="213"/>
        </w:trPr>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4"/>
              </w:rPr>
              <w:t>for lenders. (Incorporated by reference to Great Lakes Dredge &amp; Dock Corporation’s Current Report on Form 10-K filed with the</w:t>
            </w:r>
          </w:p>
        </w:tc>
      </w:tr>
      <w:tr>
        <w:trPr>
          <w:trHeight w:val="224"/>
        </w:trPr>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Commission on February 28, 2017 (Commission file no. 001-33225)).##</w:t>
            </w:r>
          </w:p>
        </w:tc>
      </w:tr>
      <w:tr>
        <w:trPr>
          <w:trHeight w:val="415"/>
        </w:trPr>
        <w:tc>
          <w:tcPr>
            <w:tcW w:w="1540" w:type="dxa"/>
            <w:vAlign w:val="bottom"/>
            <w:gridSpan w:val="2"/>
          </w:tcPr>
          <w:p>
            <w:pPr>
              <w:spacing w:after="0"/>
              <w:rPr>
                <w:rFonts w:ascii="Arial" w:cs="Arial" w:eastAsia="Arial" w:hAnsi="Arial"/>
                <w:sz w:val="18"/>
                <w:szCs w:val="18"/>
                <w:color w:val="0000EE"/>
              </w:rPr>
            </w:pPr>
            <w:hyperlink r:id="rId191">
              <w:r>
                <w:rPr>
                  <w:rFonts w:ascii="Arial" w:cs="Arial" w:eastAsia="Arial" w:hAnsi="Arial"/>
                  <w:sz w:val="18"/>
                  <w:szCs w:val="18"/>
                  <w:color w:val="0000EE"/>
                </w:rPr>
                <w:t>10.</w:t>
              </w:r>
              <w:r>
                <w:rPr>
                  <w:rFonts w:ascii="Arial" w:cs="Arial" w:eastAsia="Arial" w:hAnsi="Arial"/>
                  <w:sz w:val="18"/>
                  <w:szCs w:val="18"/>
                  <w:u w:val="single" w:color="auto"/>
                  <w:color w:val="0000EE"/>
                </w:rPr>
                <w:t>34</w:t>
              </w:r>
            </w:hyperlink>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1"/>
              </w:rPr>
              <w:t>Waiver and Amendment No. 1 to the Revolving Credit and Security Agreement, dated as of February 27, 2017, by and among Great</w:t>
            </w:r>
          </w:p>
        </w:tc>
      </w:tr>
      <w:tr>
        <w:trPr>
          <w:trHeight w:val="221"/>
        </w:trPr>
        <w:tc>
          <w:tcPr>
            <w:tcW w:w="400" w:type="dxa"/>
            <w:vAlign w:val="bottom"/>
            <w:tcBorders>
              <w:top w:val="single" w:sz="8" w:color="0000EE"/>
            </w:tcBorders>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5"/>
              </w:rPr>
              <w:t>Lakes Dredge &amp; Dock Corporation, as Borrower, each other Credit Party party hereto from time to time, the financial institutions</w:t>
            </w:r>
          </w:p>
        </w:tc>
      </w:tr>
      <w:tr>
        <w:trPr>
          <w:trHeight w:val="213"/>
        </w:trPr>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3"/>
              </w:rPr>
              <w:t>which are now or which hereafter become a party hereto as lenders, PNC Capital Markets, The PrivateBank and Trust Company,</w:t>
            </w:r>
          </w:p>
        </w:tc>
      </w:tr>
      <w:tr>
        <w:trPr>
          <w:trHeight w:val="213"/>
        </w:trPr>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2"/>
              </w:rPr>
              <w:t>Capital One, National Association, Suntrust Robinson Humphrey, Inc., and Bank of America, N.A., as joint lead arrangers and joint</w:t>
            </w:r>
          </w:p>
        </w:tc>
      </w:tr>
      <w:tr>
        <w:trPr>
          <w:trHeight w:val="213"/>
        </w:trPr>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0"/>
              </w:rPr>
              <w:t>bookrunners, Texas Capital Bank, National Association, as syndication agent, Woodforest Nation Bank, as documentation agent, and</w:t>
            </w:r>
          </w:p>
        </w:tc>
      </w:tr>
      <w:tr>
        <w:trPr>
          <w:trHeight w:val="213"/>
        </w:trPr>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5"/>
              </w:rPr>
              <w:t>PNC Bank, National Association, as agent for lenders. (Incorporated by reference to Great Lakes Dredge &amp; Dock Corporation’s</w:t>
            </w:r>
          </w:p>
        </w:tc>
      </w:tr>
      <w:tr>
        <w:trPr>
          <w:trHeight w:val="224"/>
        </w:trPr>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Current Report on Form 10-K filed with the Commission on February 28, 2017 (Commission file no. 001-33225)).</w:t>
            </w:r>
          </w:p>
        </w:tc>
      </w:tr>
      <w:tr>
        <w:trPr>
          <w:trHeight w:val="415"/>
        </w:trPr>
        <w:tc>
          <w:tcPr>
            <w:tcW w:w="1540" w:type="dxa"/>
            <w:vAlign w:val="bottom"/>
            <w:gridSpan w:val="2"/>
          </w:tcPr>
          <w:p>
            <w:pPr>
              <w:spacing w:after="0"/>
              <w:rPr>
                <w:rFonts w:ascii="Arial" w:cs="Arial" w:eastAsia="Arial" w:hAnsi="Arial"/>
                <w:sz w:val="18"/>
                <w:szCs w:val="18"/>
                <w:color w:val="0000EE"/>
              </w:rPr>
            </w:pPr>
            <w:hyperlink r:id="rId192">
              <w:r>
                <w:rPr>
                  <w:rFonts w:ascii="Arial" w:cs="Arial" w:eastAsia="Arial" w:hAnsi="Arial"/>
                  <w:sz w:val="18"/>
                  <w:szCs w:val="18"/>
                  <w:color w:val="0000EE"/>
                </w:rPr>
                <w:t>10.</w:t>
              </w:r>
              <w:r>
                <w:rPr>
                  <w:rFonts w:ascii="Arial" w:cs="Arial" w:eastAsia="Arial" w:hAnsi="Arial"/>
                  <w:sz w:val="18"/>
                  <w:szCs w:val="18"/>
                  <w:u w:val="single" w:color="auto"/>
                  <w:color w:val="0000EE"/>
                </w:rPr>
                <w:t>35</w:t>
              </w:r>
            </w:hyperlink>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88"/>
              </w:rPr>
              <w:t>Second Amendment to Amended and Restated Credit Agreement, dated May 18, 2017, by and among the Company, the subsidiaries of</w:t>
            </w:r>
          </w:p>
        </w:tc>
      </w:tr>
      <w:tr>
        <w:trPr>
          <w:trHeight w:val="221"/>
        </w:trPr>
        <w:tc>
          <w:tcPr>
            <w:tcW w:w="400" w:type="dxa"/>
            <w:vAlign w:val="bottom"/>
            <w:tcBorders>
              <w:top w:val="single" w:sz="8" w:color="0000EE"/>
            </w:tcBorders>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2"/>
              </w:rPr>
              <w:t>the Company named therein, and PNC Bank, N.A. as lender and agent, and certain other lenders named therein. (Incorporated by</w:t>
            </w:r>
          </w:p>
        </w:tc>
      </w:tr>
      <w:tr>
        <w:trPr>
          <w:trHeight w:val="213"/>
        </w:trPr>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4"/>
              </w:rPr>
              <w:t>reference to Great Lakes Dredge &amp; Dock Corporation’s Current Report on Form 8-K filed with the Commission on May 24, 2017</w:t>
            </w:r>
          </w:p>
        </w:tc>
      </w:tr>
      <w:tr>
        <w:trPr>
          <w:trHeight w:val="224"/>
        </w:trPr>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(Commission file no. 001-33225)).</w:t>
            </w:r>
          </w:p>
        </w:tc>
      </w:tr>
      <w:tr>
        <w:trPr>
          <w:trHeight w:val="415"/>
        </w:trPr>
        <w:tc>
          <w:tcPr>
            <w:tcW w:w="1540" w:type="dxa"/>
            <w:vAlign w:val="bottom"/>
            <w:gridSpan w:val="2"/>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10.</w:t>
              </w:r>
              <w:r>
                <w:rPr>
                  <w:rFonts w:ascii="Arial" w:cs="Arial" w:eastAsia="Arial" w:hAnsi="Arial"/>
                  <w:sz w:val="18"/>
                  <w:szCs w:val="18"/>
                  <w:u w:val="single" w:color="auto"/>
                  <w:color w:val="0000EE"/>
                </w:rPr>
                <w:t>36</w:t>
              </w:r>
            </w:hyperlink>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0"/>
              </w:rPr>
              <w:t>Consent and Amendment No. 3 to Amended and Restated Credit Agreement, dated December 6, 2017, by and among the Company,</w:t>
            </w:r>
          </w:p>
        </w:tc>
      </w:tr>
      <w:tr>
        <w:trPr>
          <w:trHeight w:val="232"/>
        </w:trPr>
        <w:tc>
          <w:tcPr>
            <w:tcW w:w="400" w:type="dxa"/>
            <w:vAlign w:val="bottom"/>
            <w:tcBorders>
              <w:top w:val="single" w:sz="8" w:color="0000EE"/>
            </w:tcBorders>
          </w:tcPr>
          <w:p>
            <w:pPr>
              <w:spacing w:after="0"/>
              <w:rPr>
                <w:sz w:val="20"/>
                <w:szCs w:val="20"/>
                <w:color w:val="auto"/>
              </w:rPr>
            </w:pPr>
          </w:p>
        </w:tc>
        <w:tc>
          <w:tcPr>
            <w:tcW w:w="1140" w:type="dxa"/>
            <w:vAlign w:val="bottom"/>
          </w:tcPr>
          <w:p>
            <w:pPr>
              <w:spacing w:after="0"/>
              <w:rPr>
                <w:sz w:val="20"/>
                <w:szCs w:val="20"/>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0"/>
              </w:rPr>
              <w:t>the subsidiaries of the Company named therein, and PNC Bank, N.A. as lender and agent, and certain other lenders named therein.#*</w:t>
            </w:r>
          </w:p>
        </w:tc>
      </w:tr>
      <w:tr>
        <w:trPr>
          <w:trHeight w:val="415"/>
        </w:trPr>
        <w:tc>
          <w:tcPr>
            <w:tcW w:w="1540" w:type="dxa"/>
            <w:vAlign w:val="bottom"/>
            <w:gridSpan w:val="2"/>
          </w:tcPr>
          <w:p>
            <w:pPr>
              <w:spacing w:after="0"/>
              <w:rPr>
                <w:rFonts w:ascii="Arial" w:cs="Arial" w:eastAsia="Arial" w:hAnsi="Arial"/>
                <w:sz w:val="18"/>
                <w:szCs w:val="18"/>
                <w:color w:val="0000EE"/>
              </w:rPr>
            </w:pPr>
            <w:hyperlink r:id="rId193">
              <w:r>
                <w:rPr>
                  <w:rFonts w:ascii="Arial" w:cs="Arial" w:eastAsia="Arial" w:hAnsi="Arial"/>
                  <w:sz w:val="18"/>
                  <w:szCs w:val="18"/>
                  <w:color w:val="0000EE"/>
                </w:rPr>
                <w:t>10.</w:t>
              </w:r>
              <w:r>
                <w:rPr>
                  <w:rFonts w:ascii="Arial" w:cs="Arial" w:eastAsia="Arial" w:hAnsi="Arial"/>
                  <w:sz w:val="18"/>
                  <w:szCs w:val="18"/>
                  <w:u w:val="single" w:color="auto"/>
                  <w:color w:val="0000EE"/>
                </w:rPr>
                <w:t>37</w:t>
              </w:r>
            </w:hyperlink>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89"/>
              </w:rPr>
              <w:t>Agreement of Indemnity, dated as of September 7, 2011, by and among Great Lakes Dredge &amp; Dock Corporation, Great Lakes Dredge</w:t>
            </w:r>
          </w:p>
        </w:tc>
      </w:tr>
      <w:tr>
        <w:trPr>
          <w:trHeight w:val="232"/>
        </w:trPr>
        <w:tc>
          <w:tcPr>
            <w:tcW w:w="400" w:type="dxa"/>
            <w:vAlign w:val="bottom"/>
            <w:tcBorders>
              <w:top w:val="single" w:sz="8" w:color="0000EE"/>
            </w:tcBorders>
          </w:tcPr>
          <w:p>
            <w:pPr>
              <w:spacing w:after="0"/>
              <w:rPr>
                <w:sz w:val="20"/>
                <w:szCs w:val="20"/>
                <w:color w:val="auto"/>
              </w:rPr>
            </w:pPr>
          </w:p>
        </w:tc>
        <w:tc>
          <w:tcPr>
            <w:tcW w:w="1140" w:type="dxa"/>
            <w:vAlign w:val="bottom"/>
          </w:tcPr>
          <w:p>
            <w:pPr>
              <w:spacing w:after="0"/>
              <w:rPr>
                <w:sz w:val="20"/>
                <w:szCs w:val="20"/>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6"/>
              </w:rPr>
              <w:t>&amp; Dock Company, LLC, Lydon Dredging and Construction Company, Ltd., Fifty-Three Dredging Corporation, Dawson Marine</w:t>
            </w:r>
          </w:p>
        </w:tc>
      </w:tr>
    </w:tbl>
    <w:p>
      <w:pPr>
        <w:ind w:left="1780" w:right="500"/>
        <w:spacing w:after="0" w:line="291" w:lineRule="auto"/>
        <w:rPr>
          <w:sz w:val="20"/>
          <w:szCs w:val="20"/>
          <w:color w:val="auto"/>
        </w:rPr>
      </w:pPr>
      <w:r>
        <w:rPr>
          <w:rFonts w:ascii="Arial" w:cs="Arial" w:eastAsia="Arial" w:hAnsi="Arial"/>
          <w:sz w:val="16"/>
          <w:szCs w:val="16"/>
          <w:color w:val="auto"/>
        </w:rPr>
        <w:t>Services Company, Great Lakes Dredge &amp; Dock Environmental, Inc. f/k/a Great Lakes Caribbean Dredging, Inc., NASDI, LLC, NASDI Holdings Corporation, Yankee Environmental Services, LLC, Great Lakes Dredge &amp; Dock (Bahamas) Ltd. and Zurich American Insurance Company and its subsidiaries and affiliates. (Incorporated by reference to Great Lakes Dredge &amp; Dock Corporation’s Annual Report on Form 10-K filed with the Commission on March 29, 2013 (Commission file no. 001-33225)).</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1"/>
        </w:trPr>
        <w:tc>
          <w:tcPr>
            <w:tcW w:w="15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20"/>
                <w:szCs w:val="20"/>
                <w:color w:val="auto"/>
              </w:rPr>
            </w:pPr>
          </w:p>
        </w:tc>
        <w:tc>
          <w:tcPr>
            <w:tcW w:w="9640" w:type="dxa"/>
            <w:vAlign w:val="bottom"/>
            <w:tcBorders>
              <w:bottom w:val="single" w:sz="8" w:color="auto"/>
            </w:tcBorders>
          </w:tcPr>
          <w:p>
            <w:pPr>
              <w:jc w:val="right"/>
              <w:ind w:right="3891"/>
              <w:spacing w:after="0"/>
              <w:rPr>
                <w:sz w:val="20"/>
                <w:szCs w:val="20"/>
                <w:color w:val="auto"/>
              </w:rPr>
            </w:pPr>
            <w:r>
              <w:rPr>
                <w:rFonts w:ascii="Arial" w:cs="Arial" w:eastAsia="Arial" w:hAnsi="Arial"/>
                <w:sz w:val="18"/>
                <w:szCs w:val="18"/>
                <w:b w:val="1"/>
                <w:bCs w:val="1"/>
                <w:color w:val="auto"/>
              </w:rPr>
              <w:t>Document Description</w:t>
            </w:r>
          </w:p>
        </w:tc>
        <w:tc>
          <w:tcPr>
            <w:tcW w:w="20" w:type="dxa"/>
            <w:vAlign w:val="bottom"/>
          </w:tcPr>
          <w:p>
            <w:pPr>
              <w:spacing w:after="0"/>
              <w:rPr>
                <w:sz w:val="20"/>
                <w:szCs w:val="20"/>
                <w:color w:val="auto"/>
              </w:rPr>
            </w:pPr>
          </w:p>
        </w:tc>
      </w:tr>
      <w:tr>
        <w:trPr>
          <w:trHeight w:val="181"/>
        </w:trPr>
        <w:tc>
          <w:tcPr>
            <w:tcW w:w="1540" w:type="dxa"/>
            <w:vAlign w:val="bottom"/>
            <w:gridSpan w:val="3"/>
          </w:tcPr>
          <w:p>
            <w:pPr>
              <w:spacing w:after="0" w:line="181" w:lineRule="exact"/>
              <w:rPr>
                <w:rFonts w:ascii="Arial" w:cs="Arial" w:eastAsia="Arial" w:hAnsi="Arial"/>
                <w:sz w:val="18"/>
                <w:szCs w:val="18"/>
                <w:color w:val="0000EE"/>
              </w:rPr>
            </w:pPr>
            <w:hyperlink r:id="rId153">
              <w:r>
                <w:rPr>
                  <w:rFonts w:ascii="Arial" w:cs="Arial" w:eastAsia="Arial" w:hAnsi="Arial"/>
                  <w:sz w:val="18"/>
                  <w:szCs w:val="18"/>
                  <w:color w:val="0000EE"/>
                </w:rPr>
                <w:t>10.</w:t>
              </w:r>
              <w:r>
                <w:rPr>
                  <w:rFonts w:ascii="Arial" w:cs="Arial" w:eastAsia="Arial" w:hAnsi="Arial"/>
                  <w:sz w:val="18"/>
                  <w:szCs w:val="18"/>
                  <w:u w:val="single" w:color="auto"/>
                  <w:color w:val="0000EE"/>
                </w:rPr>
                <w:t>38</w:t>
              </w:r>
            </w:hyperlink>
          </w:p>
        </w:tc>
        <w:tc>
          <w:tcPr>
            <w:tcW w:w="9880" w:type="dxa"/>
            <w:vAlign w:val="bottom"/>
            <w:gridSpan w:val="2"/>
          </w:tcPr>
          <w:p>
            <w:pPr>
              <w:ind w:left="240"/>
              <w:spacing w:after="0" w:line="181" w:lineRule="exact"/>
              <w:rPr>
                <w:sz w:val="20"/>
                <w:szCs w:val="20"/>
                <w:color w:val="auto"/>
              </w:rPr>
            </w:pPr>
            <w:r>
              <w:rPr>
                <w:rFonts w:ascii="Arial" w:cs="Arial" w:eastAsia="Arial" w:hAnsi="Arial"/>
                <w:sz w:val="18"/>
                <w:szCs w:val="18"/>
                <w:color w:val="auto"/>
                <w:w w:val="90"/>
              </w:rPr>
              <w:t>First Rider to the General Agreement of Indemnity, dated as of June 4, 2012, by and among Great Lakes Dredge &amp; Dock Corporation,</w:t>
            </w:r>
          </w:p>
        </w:tc>
        <w:tc>
          <w:tcPr>
            <w:tcW w:w="20" w:type="dxa"/>
            <w:vAlign w:val="bottom"/>
          </w:tcPr>
          <w:p>
            <w:pPr>
              <w:spacing w:after="0"/>
              <w:rPr>
                <w:sz w:val="15"/>
                <w:szCs w:val="15"/>
                <w:color w:val="auto"/>
              </w:rPr>
            </w:pPr>
          </w:p>
        </w:tc>
      </w:tr>
      <w:tr>
        <w:trPr>
          <w:trHeight w:val="221"/>
        </w:trPr>
        <w:tc>
          <w:tcPr>
            <w:tcW w:w="3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3"/>
              </w:rPr>
              <w:t>Great Lakes Dredge &amp; Dock Company, LLC, Lydon Dredging and Construction Company, Ltd., Fifty-Three Dredging Corporation,</w:t>
            </w:r>
          </w:p>
        </w:tc>
        <w:tc>
          <w:tcPr>
            <w:tcW w:w="20" w:type="dxa"/>
            <w:vAlign w:val="bottom"/>
          </w:tcPr>
          <w:p>
            <w:pPr>
              <w:spacing w:after="0"/>
              <w:rPr>
                <w:sz w:val="19"/>
                <w:szCs w:val="19"/>
                <w:color w:val="auto"/>
              </w:rPr>
            </w:pPr>
          </w:p>
        </w:tc>
      </w:tr>
      <w:tr>
        <w:trPr>
          <w:trHeight w:val="213"/>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Dawson Marine Services Company, Great Lakes Dredge &amp; Dock</w:t>
            </w:r>
          </w:p>
        </w:tc>
        <w:tc>
          <w:tcPr>
            <w:tcW w:w="20" w:type="dxa"/>
            <w:vAlign w:val="bottom"/>
          </w:tcPr>
          <w:p>
            <w:pPr>
              <w:spacing w:after="0"/>
              <w:rPr>
                <w:sz w:val="18"/>
                <w:szCs w:val="18"/>
                <w:color w:val="auto"/>
              </w:rPr>
            </w:pPr>
          </w:p>
        </w:tc>
      </w:tr>
      <w:tr>
        <w:trPr>
          <w:trHeight w:val="213"/>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2"/>
              </w:rPr>
              <w:t>Environmental, Inc. f/k/a Great Lakes Caribbean Dredging, Inc., Great Lakes Dredge &amp; Dock (Bahamas) Ltd. and Zurich American</w:t>
            </w:r>
          </w:p>
        </w:tc>
        <w:tc>
          <w:tcPr>
            <w:tcW w:w="20" w:type="dxa"/>
            <w:vAlign w:val="bottom"/>
          </w:tcPr>
          <w:p>
            <w:pPr>
              <w:spacing w:after="0"/>
              <w:rPr>
                <w:sz w:val="18"/>
                <w:szCs w:val="18"/>
                <w:color w:val="auto"/>
              </w:rPr>
            </w:pPr>
          </w:p>
        </w:tc>
      </w:tr>
      <w:tr>
        <w:trPr>
          <w:trHeight w:val="213"/>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5"/>
              </w:rPr>
              <w:t>Insurance Company and its subsidiaries and affiliates. (Incorporated by reference to Great Lakes Dredge &amp; Dock Corporation’s</w:t>
            </w:r>
          </w:p>
        </w:tc>
        <w:tc>
          <w:tcPr>
            <w:tcW w:w="20" w:type="dxa"/>
            <w:vAlign w:val="bottom"/>
          </w:tcPr>
          <w:p>
            <w:pPr>
              <w:spacing w:after="0"/>
              <w:rPr>
                <w:sz w:val="18"/>
                <w:szCs w:val="18"/>
                <w:color w:val="auto"/>
              </w:rPr>
            </w:pPr>
          </w:p>
        </w:tc>
      </w:tr>
      <w:tr>
        <w:trPr>
          <w:trHeight w:val="224"/>
        </w:trPr>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Quarterly Report on Form 10-Q filed with the Commission on August 4, 2015 (Commission file no. 001-33225)).</w:t>
            </w:r>
          </w:p>
        </w:tc>
        <w:tc>
          <w:tcPr>
            <w:tcW w:w="20" w:type="dxa"/>
            <w:vAlign w:val="bottom"/>
          </w:tcPr>
          <w:p>
            <w:pPr>
              <w:spacing w:after="0"/>
              <w:rPr>
                <w:sz w:val="19"/>
                <w:szCs w:val="19"/>
                <w:color w:val="auto"/>
              </w:rPr>
            </w:pPr>
          </w:p>
        </w:tc>
      </w:tr>
      <w:tr>
        <w:trPr>
          <w:trHeight w:val="415"/>
        </w:trPr>
        <w:tc>
          <w:tcPr>
            <w:tcW w:w="1540" w:type="dxa"/>
            <w:vAlign w:val="bottom"/>
            <w:gridSpan w:val="3"/>
          </w:tcPr>
          <w:p>
            <w:pPr>
              <w:spacing w:after="0"/>
              <w:rPr>
                <w:rFonts w:ascii="Arial" w:cs="Arial" w:eastAsia="Arial" w:hAnsi="Arial"/>
                <w:sz w:val="18"/>
                <w:szCs w:val="18"/>
                <w:color w:val="0000EE"/>
              </w:rPr>
            </w:pPr>
            <w:hyperlink r:id="rId195">
              <w:r>
                <w:rPr>
                  <w:rFonts w:ascii="Arial" w:cs="Arial" w:eastAsia="Arial" w:hAnsi="Arial"/>
                  <w:sz w:val="18"/>
                  <w:szCs w:val="18"/>
                  <w:color w:val="0000EE"/>
                </w:rPr>
                <w:t>10.</w:t>
              </w:r>
              <w:r>
                <w:rPr>
                  <w:rFonts w:ascii="Arial" w:cs="Arial" w:eastAsia="Arial" w:hAnsi="Arial"/>
                  <w:sz w:val="18"/>
                  <w:szCs w:val="18"/>
                  <w:u w:val="single" w:color="auto"/>
                  <w:color w:val="0000EE"/>
                </w:rPr>
                <w:t>39</w:t>
              </w:r>
            </w:hyperlink>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2"/>
              </w:rPr>
              <w:t>Loan Agreement dated as of November 4, 2014 by and among Great Lakes Dredge &amp; Dock Corporation, as Borrower, the Lenders</w:t>
            </w:r>
          </w:p>
        </w:tc>
        <w:tc>
          <w:tcPr>
            <w:tcW w:w="20" w:type="dxa"/>
            <w:vAlign w:val="bottom"/>
          </w:tcPr>
          <w:p>
            <w:pPr>
              <w:spacing w:after="0"/>
              <w:rPr>
                <w:sz w:val="24"/>
                <w:szCs w:val="24"/>
                <w:color w:val="auto"/>
              </w:rPr>
            </w:pPr>
          </w:p>
        </w:tc>
      </w:tr>
      <w:tr>
        <w:trPr>
          <w:trHeight w:val="221"/>
        </w:trPr>
        <w:tc>
          <w:tcPr>
            <w:tcW w:w="3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0"/>
              </w:rPr>
              <w:t>from time to time party hereto and Bank of America, N.A., as Administrative Agent. (Incorporated by reference to Great Lakes Dredge</w:t>
            </w:r>
          </w:p>
        </w:tc>
        <w:tc>
          <w:tcPr>
            <w:tcW w:w="20" w:type="dxa"/>
            <w:vAlign w:val="bottom"/>
          </w:tcPr>
          <w:p>
            <w:pPr>
              <w:spacing w:after="0"/>
              <w:rPr>
                <w:sz w:val="19"/>
                <w:szCs w:val="19"/>
                <w:color w:val="auto"/>
              </w:rPr>
            </w:pPr>
          </w:p>
        </w:tc>
      </w:tr>
      <w:tr>
        <w:trPr>
          <w:trHeight w:val="213"/>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3"/>
              </w:rPr>
              <w:t>&amp; Dock Corporation’s Annual Report on Form 10-K/A filed with the Commission on September 24, 2015 (Commission file no. 001-</w:t>
            </w:r>
          </w:p>
        </w:tc>
        <w:tc>
          <w:tcPr>
            <w:tcW w:w="20" w:type="dxa"/>
            <w:vAlign w:val="bottom"/>
          </w:tcPr>
          <w:p>
            <w:pPr>
              <w:spacing w:after="0"/>
              <w:rPr>
                <w:sz w:val="18"/>
                <w:szCs w:val="18"/>
                <w:color w:val="auto"/>
              </w:rPr>
            </w:pPr>
          </w:p>
        </w:tc>
      </w:tr>
      <w:tr>
        <w:trPr>
          <w:trHeight w:val="224"/>
        </w:trPr>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33225)).##</w:t>
            </w:r>
          </w:p>
        </w:tc>
        <w:tc>
          <w:tcPr>
            <w:tcW w:w="20" w:type="dxa"/>
            <w:vAlign w:val="bottom"/>
          </w:tcPr>
          <w:p>
            <w:pPr>
              <w:spacing w:after="0"/>
              <w:rPr>
                <w:sz w:val="19"/>
                <w:szCs w:val="19"/>
                <w:color w:val="auto"/>
              </w:rPr>
            </w:pPr>
          </w:p>
        </w:tc>
      </w:tr>
      <w:tr>
        <w:trPr>
          <w:trHeight w:val="415"/>
        </w:trPr>
        <w:tc>
          <w:tcPr>
            <w:tcW w:w="1540" w:type="dxa"/>
            <w:vAlign w:val="bottom"/>
            <w:gridSpan w:val="3"/>
          </w:tcPr>
          <w:p>
            <w:pPr>
              <w:spacing w:after="0"/>
              <w:rPr>
                <w:rFonts w:ascii="Arial" w:cs="Arial" w:eastAsia="Arial" w:hAnsi="Arial"/>
                <w:sz w:val="18"/>
                <w:szCs w:val="18"/>
                <w:color w:val="0000EE"/>
              </w:rPr>
            </w:pPr>
            <w:hyperlink r:id="rId196">
              <w:r>
                <w:rPr>
                  <w:rFonts w:ascii="Arial" w:cs="Arial" w:eastAsia="Arial" w:hAnsi="Arial"/>
                  <w:sz w:val="18"/>
                  <w:szCs w:val="18"/>
                  <w:color w:val="0000EE"/>
                </w:rPr>
                <w:t>10.</w:t>
              </w:r>
              <w:r>
                <w:rPr>
                  <w:rFonts w:ascii="Arial" w:cs="Arial" w:eastAsia="Arial" w:hAnsi="Arial"/>
                  <w:sz w:val="18"/>
                  <w:szCs w:val="18"/>
                  <w:u w:val="single" w:color="auto"/>
                  <w:color w:val="0000EE"/>
                </w:rPr>
                <w:t>40</w:t>
              </w:r>
            </w:hyperlink>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0"/>
              </w:rPr>
              <w:t>Vessel Construction Agreement, dated January 10, 2014 by and between Eastern Shipbuilding Group, Inc. and Great Lakes Dredge &amp;</w:t>
            </w:r>
          </w:p>
        </w:tc>
        <w:tc>
          <w:tcPr>
            <w:tcW w:w="20" w:type="dxa"/>
            <w:vAlign w:val="bottom"/>
          </w:tcPr>
          <w:p>
            <w:pPr>
              <w:spacing w:after="0"/>
              <w:rPr>
                <w:sz w:val="24"/>
                <w:szCs w:val="24"/>
                <w:color w:val="auto"/>
              </w:rPr>
            </w:pPr>
          </w:p>
        </w:tc>
      </w:tr>
      <w:tr>
        <w:trPr>
          <w:trHeight w:val="221"/>
        </w:trPr>
        <w:tc>
          <w:tcPr>
            <w:tcW w:w="3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3"/>
              </w:rPr>
              <w:t>Dock Company, LLC. (Incorporated by reference to Great Lakes Dredge &amp; Dock Corporation’s Current Report on Form 10-K filed</w:t>
            </w:r>
          </w:p>
        </w:tc>
        <w:tc>
          <w:tcPr>
            <w:tcW w:w="20" w:type="dxa"/>
            <w:vAlign w:val="bottom"/>
          </w:tcPr>
          <w:p>
            <w:pPr>
              <w:spacing w:after="0"/>
              <w:rPr>
                <w:sz w:val="19"/>
                <w:szCs w:val="19"/>
                <w:color w:val="auto"/>
              </w:rPr>
            </w:pPr>
          </w:p>
        </w:tc>
      </w:tr>
      <w:tr>
        <w:trPr>
          <w:trHeight w:val="224"/>
        </w:trPr>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with the Commission on March 11, 2014 (Commission file no. 001-33225)).##</w:t>
            </w:r>
          </w:p>
        </w:tc>
        <w:tc>
          <w:tcPr>
            <w:tcW w:w="20" w:type="dxa"/>
            <w:vAlign w:val="bottom"/>
          </w:tcPr>
          <w:p>
            <w:pPr>
              <w:spacing w:after="0"/>
              <w:rPr>
                <w:sz w:val="19"/>
                <w:szCs w:val="19"/>
                <w:color w:val="auto"/>
              </w:rPr>
            </w:pPr>
          </w:p>
        </w:tc>
      </w:tr>
      <w:tr>
        <w:trPr>
          <w:trHeight w:val="415"/>
        </w:trPr>
        <w:tc>
          <w:tcPr>
            <w:tcW w:w="1540" w:type="dxa"/>
            <w:vAlign w:val="bottom"/>
            <w:gridSpan w:val="3"/>
          </w:tcPr>
          <w:p>
            <w:pPr>
              <w:spacing w:after="0"/>
              <w:rPr>
                <w:rFonts w:ascii="Arial" w:cs="Arial" w:eastAsia="Arial" w:hAnsi="Arial"/>
                <w:sz w:val="18"/>
                <w:szCs w:val="18"/>
                <w:color w:val="0000EE"/>
              </w:rPr>
            </w:pPr>
            <w:hyperlink r:id="rId197">
              <w:r>
                <w:rPr>
                  <w:rFonts w:ascii="Arial" w:cs="Arial" w:eastAsia="Arial" w:hAnsi="Arial"/>
                  <w:sz w:val="18"/>
                  <w:szCs w:val="18"/>
                  <w:color w:val="0000EE"/>
                </w:rPr>
                <w:t>10.</w:t>
              </w:r>
              <w:r>
                <w:rPr>
                  <w:rFonts w:ascii="Arial" w:cs="Arial" w:eastAsia="Arial" w:hAnsi="Arial"/>
                  <w:sz w:val="18"/>
                  <w:szCs w:val="18"/>
                  <w:u w:val="single" w:color="auto"/>
                  <w:color w:val="0000EE"/>
                </w:rPr>
                <w:t>41</w:t>
              </w:r>
            </w:hyperlink>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89"/>
              </w:rPr>
              <w:t>Amendment to Vessel Construction Agreement, dated December 23, 2016 by and between Eastern Shipbuilding Group, Inc. and Great</w:t>
            </w:r>
          </w:p>
        </w:tc>
        <w:tc>
          <w:tcPr>
            <w:tcW w:w="20" w:type="dxa"/>
            <w:vAlign w:val="bottom"/>
          </w:tcPr>
          <w:p>
            <w:pPr>
              <w:spacing w:after="0"/>
              <w:rPr>
                <w:sz w:val="24"/>
                <w:szCs w:val="24"/>
                <w:color w:val="auto"/>
              </w:rPr>
            </w:pPr>
          </w:p>
        </w:tc>
      </w:tr>
      <w:tr>
        <w:trPr>
          <w:trHeight w:val="221"/>
        </w:trPr>
        <w:tc>
          <w:tcPr>
            <w:tcW w:w="3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3"/>
              </w:rPr>
              <w:t>Lakes Dredge &amp; Dock Company, LLC. (Incorporated by reference to Great Lakes Dredge &amp; Dock Corporation’s Current Report on</w:t>
            </w:r>
          </w:p>
        </w:tc>
        <w:tc>
          <w:tcPr>
            <w:tcW w:w="20" w:type="dxa"/>
            <w:vAlign w:val="bottom"/>
          </w:tcPr>
          <w:p>
            <w:pPr>
              <w:spacing w:after="0"/>
              <w:rPr>
                <w:sz w:val="19"/>
                <w:szCs w:val="19"/>
                <w:color w:val="auto"/>
              </w:rPr>
            </w:pPr>
          </w:p>
        </w:tc>
      </w:tr>
      <w:tr>
        <w:trPr>
          <w:trHeight w:val="224"/>
        </w:trPr>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Form 10-K filed with the Commission on February 28, 2017 (Commission file no. 001-33225)).##</w:t>
            </w:r>
          </w:p>
        </w:tc>
        <w:tc>
          <w:tcPr>
            <w:tcW w:w="20" w:type="dxa"/>
            <w:vAlign w:val="bottom"/>
          </w:tcPr>
          <w:p>
            <w:pPr>
              <w:spacing w:after="0"/>
              <w:rPr>
                <w:sz w:val="19"/>
                <w:szCs w:val="19"/>
                <w:color w:val="auto"/>
              </w:rPr>
            </w:pPr>
          </w:p>
        </w:tc>
      </w:tr>
      <w:tr>
        <w:trPr>
          <w:trHeight w:val="415"/>
        </w:trPr>
        <w:tc>
          <w:tcPr>
            <w:tcW w:w="1540" w:type="dxa"/>
            <w:vAlign w:val="bottom"/>
            <w:gridSpan w:val="3"/>
          </w:tcPr>
          <w:p>
            <w:pPr>
              <w:spacing w:after="0"/>
              <w:rPr>
                <w:rFonts w:ascii="Arial" w:cs="Arial" w:eastAsia="Arial" w:hAnsi="Arial"/>
                <w:sz w:val="18"/>
                <w:szCs w:val="18"/>
                <w:color w:val="0000EE"/>
              </w:rPr>
            </w:pPr>
            <w:hyperlink r:id="rId198">
              <w:r>
                <w:rPr>
                  <w:rFonts w:ascii="Arial" w:cs="Arial" w:eastAsia="Arial" w:hAnsi="Arial"/>
                  <w:sz w:val="18"/>
                  <w:szCs w:val="18"/>
                  <w:color w:val="0000EE"/>
                </w:rPr>
                <w:t>10.</w:t>
              </w:r>
              <w:r>
                <w:rPr>
                  <w:rFonts w:ascii="Arial" w:cs="Arial" w:eastAsia="Arial" w:hAnsi="Arial"/>
                  <w:sz w:val="18"/>
                  <w:szCs w:val="18"/>
                  <w:u w:val="single" w:color="auto"/>
                  <w:color w:val="0000EE"/>
                </w:rPr>
                <w:t>42</w:t>
              </w:r>
            </w:hyperlink>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3"/>
              </w:rPr>
              <w:t>Agreement dated December 27, 2016. (Incorporated by reference to Great Lakes Dredge &amp; Dock Corporation's Current Report on</w:t>
            </w:r>
          </w:p>
        </w:tc>
        <w:tc>
          <w:tcPr>
            <w:tcW w:w="20" w:type="dxa"/>
            <w:vAlign w:val="bottom"/>
          </w:tcPr>
          <w:p>
            <w:pPr>
              <w:spacing w:after="0"/>
              <w:rPr>
                <w:sz w:val="24"/>
                <w:szCs w:val="24"/>
                <w:color w:val="auto"/>
              </w:rPr>
            </w:pPr>
          </w:p>
        </w:tc>
      </w:tr>
      <w:tr>
        <w:trPr>
          <w:trHeight w:val="232"/>
        </w:trPr>
        <w:tc>
          <w:tcPr>
            <w:tcW w:w="3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140" w:type="dxa"/>
            <w:vAlign w:val="bottom"/>
          </w:tcPr>
          <w:p>
            <w:pPr>
              <w:spacing w:after="0"/>
              <w:rPr>
                <w:sz w:val="20"/>
                <w:szCs w:val="20"/>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Form 8-K filed with the Commission on December 30, 2016 (Commission file no. 001-33225)).</w:t>
            </w:r>
          </w:p>
        </w:tc>
        <w:tc>
          <w:tcPr>
            <w:tcW w:w="20" w:type="dxa"/>
            <w:vAlign w:val="bottom"/>
          </w:tcPr>
          <w:p>
            <w:pPr>
              <w:spacing w:after="0"/>
              <w:rPr>
                <w:sz w:val="20"/>
                <w:szCs w:val="20"/>
                <w:color w:val="auto"/>
              </w:rPr>
            </w:pPr>
          </w:p>
        </w:tc>
      </w:tr>
      <w:tr>
        <w:trPr>
          <w:trHeight w:val="415"/>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132">
              <w:r>
                <w:rPr>
                  <w:rFonts w:ascii="Arial" w:cs="Arial" w:eastAsia="Arial" w:hAnsi="Arial"/>
                  <w:sz w:val="18"/>
                  <w:szCs w:val="18"/>
                  <w:color w:val="0000EE"/>
                  <w:w w:val="85"/>
                </w:rPr>
                <w:t>12.</w:t>
              </w:r>
              <w:r>
                <w:rPr>
                  <w:rFonts w:ascii="Arial" w:cs="Arial" w:eastAsia="Arial" w:hAnsi="Arial"/>
                  <w:sz w:val="18"/>
                  <w:szCs w:val="18"/>
                  <w:u w:val="single" w:color="auto"/>
                  <w:color w:val="0000EE"/>
                  <w:w w:val="85"/>
                </w:rPr>
                <w:t>1</w:t>
              </w:r>
            </w:hyperlink>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Ratio of Earnings to Fixed Charges. *</w:t>
            </w:r>
          </w:p>
        </w:tc>
        <w:tc>
          <w:tcPr>
            <w:tcW w:w="20" w:type="dxa"/>
            <w:vAlign w:val="bottom"/>
          </w:tcPr>
          <w:p>
            <w:pPr>
              <w:spacing w:after="0"/>
              <w:rPr>
                <w:sz w:val="24"/>
                <w:szCs w:val="24"/>
                <w:color w:val="auto"/>
              </w:rPr>
            </w:pPr>
          </w:p>
        </w:tc>
      </w:tr>
      <w:tr>
        <w:trPr>
          <w:trHeight w:val="433"/>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r:id="rId199">
              <w:r>
                <w:rPr>
                  <w:rFonts w:ascii="Arial" w:cs="Arial" w:eastAsia="Arial" w:hAnsi="Arial"/>
                  <w:sz w:val="18"/>
                  <w:szCs w:val="18"/>
                  <w:color w:val="0000EE"/>
                  <w:w w:val="85"/>
                </w:rPr>
                <w:t>14.</w:t>
              </w:r>
              <w:r>
                <w:rPr>
                  <w:rFonts w:ascii="Arial" w:cs="Arial" w:eastAsia="Arial" w:hAnsi="Arial"/>
                  <w:sz w:val="18"/>
                  <w:szCs w:val="18"/>
                  <w:u w:val="single" w:color="auto"/>
                  <w:color w:val="0000EE"/>
                  <w:w w:val="85"/>
                </w:rPr>
                <w:t>1</w:t>
              </w:r>
            </w:hyperlink>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2"/>
              </w:rPr>
              <w:t>Code of Business Conduct and Ethics. (Incorporated by reference to Great Lakes Dredge &amp; Dock Corporation’s Current Report on</w:t>
            </w:r>
          </w:p>
        </w:tc>
        <w:tc>
          <w:tcPr>
            <w:tcW w:w="20" w:type="dxa"/>
            <w:vAlign w:val="bottom"/>
          </w:tcPr>
          <w:p>
            <w:pPr>
              <w:spacing w:after="0"/>
              <w:rPr>
                <w:sz w:val="24"/>
                <w:szCs w:val="24"/>
                <w:color w:val="auto"/>
              </w:rPr>
            </w:pPr>
          </w:p>
        </w:tc>
      </w:tr>
      <w:tr>
        <w:trPr>
          <w:trHeight w:val="232"/>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Form 8-K filed with the Commission on May 18, 2016 (Commission file no. 001-33225)).</w:t>
            </w:r>
          </w:p>
        </w:tc>
        <w:tc>
          <w:tcPr>
            <w:tcW w:w="20" w:type="dxa"/>
            <w:vAlign w:val="bottom"/>
          </w:tcPr>
          <w:p>
            <w:pPr>
              <w:spacing w:after="0"/>
              <w:rPr>
                <w:sz w:val="20"/>
                <w:szCs w:val="20"/>
                <w:color w:val="auto"/>
              </w:rPr>
            </w:pPr>
          </w:p>
        </w:tc>
      </w:tr>
      <w:tr>
        <w:trPr>
          <w:trHeight w:val="415"/>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133">
              <w:r>
                <w:rPr>
                  <w:rFonts w:ascii="Arial" w:cs="Arial" w:eastAsia="Arial" w:hAnsi="Arial"/>
                  <w:sz w:val="18"/>
                  <w:szCs w:val="18"/>
                  <w:color w:val="0000EE"/>
                  <w:w w:val="85"/>
                </w:rPr>
                <w:t>21.</w:t>
              </w:r>
              <w:r>
                <w:rPr>
                  <w:rFonts w:ascii="Arial" w:cs="Arial" w:eastAsia="Arial" w:hAnsi="Arial"/>
                  <w:sz w:val="18"/>
                  <w:szCs w:val="18"/>
                  <w:u w:val="single" w:color="auto"/>
                  <w:color w:val="0000EE"/>
                  <w:w w:val="85"/>
                </w:rPr>
                <w:t>1</w:t>
              </w:r>
            </w:hyperlink>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Subsidiaries of Great Lakes Dredge &amp; Dock Corporation. *</w:t>
            </w:r>
          </w:p>
        </w:tc>
        <w:tc>
          <w:tcPr>
            <w:tcW w:w="20" w:type="dxa"/>
            <w:vAlign w:val="bottom"/>
          </w:tcPr>
          <w:p>
            <w:pPr>
              <w:spacing w:after="0"/>
              <w:rPr>
                <w:sz w:val="24"/>
                <w:szCs w:val="24"/>
                <w:color w:val="auto"/>
              </w:rPr>
            </w:pPr>
          </w:p>
        </w:tc>
      </w:tr>
      <w:tr>
        <w:trPr>
          <w:trHeight w:val="433"/>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134">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hyperlink>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Consent of Deloitte &amp; Touche LLP. *</w:t>
            </w:r>
          </w:p>
        </w:tc>
        <w:tc>
          <w:tcPr>
            <w:tcW w:w="20" w:type="dxa"/>
            <w:vAlign w:val="bottom"/>
          </w:tcPr>
          <w:p>
            <w:pPr>
              <w:spacing w:after="0"/>
              <w:rPr>
                <w:sz w:val="24"/>
                <w:szCs w:val="24"/>
                <w:color w:val="auto"/>
              </w:rPr>
            </w:pPr>
          </w:p>
        </w:tc>
      </w:tr>
      <w:tr>
        <w:trPr>
          <w:trHeight w:val="433"/>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135">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2</w:t>
              </w:r>
            </w:hyperlink>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Consent of CohnReznick LLP. *</w:t>
            </w:r>
          </w:p>
        </w:tc>
        <w:tc>
          <w:tcPr>
            <w:tcW w:w="20" w:type="dxa"/>
            <w:vAlign w:val="bottom"/>
          </w:tcPr>
          <w:p>
            <w:pPr>
              <w:spacing w:after="0"/>
              <w:rPr>
                <w:sz w:val="24"/>
                <w:szCs w:val="24"/>
                <w:color w:val="auto"/>
              </w:rPr>
            </w:pPr>
          </w:p>
        </w:tc>
      </w:tr>
      <w:tr>
        <w:trPr>
          <w:trHeight w:val="433"/>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136">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3</w:t>
              </w:r>
            </w:hyperlink>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Consent of CohnReznick LLP. *</w:t>
            </w:r>
          </w:p>
        </w:tc>
        <w:tc>
          <w:tcPr>
            <w:tcW w:w="20" w:type="dxa"/>
            <w:vAlign w:val="bottom"/>
          </w:tcPr>
          <w:p>
            <w:pPr>
              <w:spacing w:after="0"/>
              <w:rPr>
                <w:sz w:val="24"/>
                <w:szCs w:val="24"/>
                <w:color w:val="auto"/>
              </w:rPr>
            </w:pPr>
          </w:p>
        </w:tc>
      </w:tr>
      <w:tr>
        <w:trPr>
          <w:trHeight w:val="433"/>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137">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hyperlink>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0"/>
              </w:rPr>
              <w:t>Certification Pursuant to Rules 13a-14 and 15d-14 under the Securities Exchange Act of 1934, as Adopted Pursuant to Section 302 of</w:t>
            </w:r>
          </w:p>
        </w:tc>
        <w:tc>
          <w:tcPr>
            <w:tcW w:w="20" w:type="dxa"/>
            <w:vAlign w:val="bottom"/>
          </w:tcPr>
          <w:p>
            <w:pPr>
              <w:spacing w:after="0"/>
              <w:rPr>
                <w:sz w:val="24"/>
                <w:szCs w:val="24"/>
                <w:color w:val="auto"/>
              </w:rPr>
            </w:pPr>
          </w:p>
        </w:tc>
      </w:tr>
      <w:tr>
        <w:trPr>
          <w:trHeight w:val="232"/>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the Sarbanes-Oxley Act of 2002. *</w:t>
            </w:r>
          </w:p>
        </w:tc>
        <w:tc>
          <w:tcPr>
            <w:tcW w:w="20" w:type="dxa"/>
            <w:vAlign w:val="bottom"/>
          </w:tcPr>
          <w:p>
            <w:pPr>
              <w:spacing w:after="0"/>
              <w:rPr>
                <w:sz w:val="20"/>
                <w:szCs w:val="20"/>
                <w:color w:val="auto"/>
              </w:rPr>
            </w:pPr>
          </w:p>
        </w:tc>
      </w:tr>
      <w:tr>
        <w:trPr>
          <w:trHeight w:val="415"/>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138">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0"/>
              </w:rPr>
              <w:t>Certification Pursuant to Rules 13a-14 and 15d-14 under the Securities Exchange Act of 1934, as Adopted Pursuant to Section 302 of</w:t>
            </w:r>
          </w:p>
        </w:tc>
        <w:tc>
          <w:tcPr>
            <w:tcW w:w="20" w:type="dxa"/>
            <w:vAlign w:val="bottom"/>
          </w:tcPr>
          <w:p>
            <w:pPr>
              <w:spacing w:after="0"/>
              <w:rPr>
                <w:sz w:val="24"/>
                <w:szCs w:val="24"/>
                <w:color w:val="auto"/>
              </w:rPr>
            </w:pPr>
          </w:p>
        </w:tc>
      </w:tr>
      <w:tr>
        <w:trPr>
          <w:trHeight w:val="232"/>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the Sarbanes-Oxley Act of 2002. *</w:t>
            </w:r>
          </w:p>
        </w:tc>
        <w:tc>
          <w:tcPr>
            <w:tcW w:w="20" w:type="dxa"/>
            <w:vAlign w:val="bottom"/>
          </w:tcPr>
          <w:p>
            <w:pPr>
              <w:spacing w:after="0"/>
              <w:rPr>
                <w:sz w:val="20"/>
                <w:szCs w:val="20"/>
                <w:color w:val="auto"/>
              </w:rPr>
            </w:pPr>
          </w:p>
        </w:tc>
      </w:tr>
      <w:tr>
        <w:trPr>
          <w:trHeight w:val="415"/>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139">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hyperlink>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8"/>
              </w:rPr>
              <w:t>Certification Pursuant to 18 U.S.C. Section 1350, as Adopted Pursuant to Section 906 of the Sarbanes-Oxley Act of 2002. *</w:t>
            </w:r>
          </w:p>
        </w:tc>
        <w:tc>
          <w:tcPr>
            <w:tcW w:w="20" w:type="dxa"/>
            <w:vAlign w:val="bottom"/>
          </w:tcPr>
          <w:p>
            <w:pPr>
              <w:spacing w:after="0"/>
              <w:rPr>
                <w:sz w:val="24"/>
                <w:szCs w:val="24"/>
                <w:color w:val="auto"/>
              </w:rPr>
            </w:pPr>
          </w:p>
        </w:tc>
      </w:tr>
      <w:tr>
        <w:trPr>
          <w:trHeight w:val="433"/>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140">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2</w:t>
              </w:r>
            </w:hyperlink>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8"/>
              </w:rPr>
              <w:t>Certification Pursuant to 18 U.S.C. Section 1350, as Adopted Pursuant to Section 906 of the Sarbanes-Oxley Act of 2002. *</w:t>
            </w:r>
          </w:p>
        </w:tc>
        <w:tc>
          <w:tcPr>
            <w:tcW w:w="20" w:type="dxa"/>
            <w:vAlign w:val="bottom"/>
          </w:tcPr>
          <w:p>
            <w:pPr>
              <w:spacing w:after="0"/>
              <w:rPr>
                <w:sz w:val="24"/>
                <w:szCs w:val="24"/>
                <w:color w:val="auto"/>
              </w:rPr>
            </w:pPr>
          </w:p>
        </w:tc>
      </w:tr>
      <w:tr>
        <w:trPr>
          <w:trHeight w:val="433"/>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141">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5"/>
              </w:rPr>
              <w:t>Financial Statements of TerraSea Environmental Solutions, LLC as of December 31, 2016 (Unaudited), and for the Period from</w:t>
            </w:r>
          </w:p>
        </w:tc>
        <w:tc>
          <w:tcPr>
            <w:tcW w:w="20" w:type="dxa"/>
            <w:vAlign w:val="bottom"/>
          </w:tcPr>
          <w:p>
            <w:pPr>
              <w:spacing w:after="0"/>
              <w:rPr>
                <w:sz w:val="24"/>
                <w:szCs w:val="24"/>
                <w:color w:val="auto"/>
              </w:rPr>
            </w:pPr>
          </w:p>
        </w:tc>
      </w:tr>
      <w:tr>
        <w:trPr>
          <w:trHeight w:val="232"/>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January 1, 2017 to August 28, 2017 (Unaudited) and for the Years Ended December 31, 2016 (Unaudited) and 2015.*</w:t>
            </w:r>
          </w:p>
        </w:tc>
        <w:tc>
          <w:tcPr>
            <w:tcW w:w="20" w:type="dxa"/>
            <w:vAlign w:val="bottom"/>
          </w:tcPr>
          <w:p>
            <w:pPr>
              <w:spacing w:after="0"/>
              <w:rPr>
                <w:sz w:val="20"/>
                <w:szCs w:val="20"/>
                <w:color w:val="auto"/>
              </w:rPr>
            </w:pPr>
          </w:p>
        </w:tc>
      </w:tr>
      <w:tr>
        <w:trPr>
          <w:trHeight w:val="415"/>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153">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hyperlink>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1"/>
              </w:rPr>
              <w:t>Financial Statements of Amboy Aggregates Joint Venture and Subsidiaries as of December 31, 2016 (unaudited) and for the Period</w:t>
            </w:r>
          </w:p>
        </w:tc>
        <w:tc>
          <w:tcPr>
            <w:tcW w:w="20" w:type="dxa"/>
            <w:vAlign w:val="bottom"/>
          </w:tcPr>
          <w:p>
            <w:pPr>
              <w:spacing w:after="0"/>
              <w:rPr>
                <w:sz w:val="24"/>
                <w:szCs w:val="24"/>
                <w:color w:val="auto"/>
              </w:rPr>
            </w:pPr>
          </w:p>
        </w:tc>
      </w:tr>
      <w:tr>
        <w:trPr>
          <w:trHeight w:val="221"/>
        </w:trPr>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w w:val="92"/>
              </w:rPr>
              <w:t>from January 1, 2017 to December 29, 2017 (unaudited), the Year Ended December 31, 2016 (unaudited) and for the Periods from</w:t>
            </w:r>
          </w:p>
        </w:tc>
        <w:tc>
          <w:tcPr>
            <w:tcW w:w="20" w:type="dxa"/>
            <w:vAlign w:val="bottom"/>
          </w:tcPr>
          <w:p>
            <w:pPr>
              <w:spacing w:after="0"/>
              <w:rPr>
                <w:sz w:val="19"/>
                <w:szCs w:val="19"/>
                <w:color w:val="auto"/>
              </w:rPr>
            </w:pPr>
          </w:p>
        </w:tc>
      </w:tr>
      <w:tr>
        <w:trPr>
          <w:trHeight w:val="224"/>
        </w:trPr>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January 1, 2015 to June 30, 2015 and July 1, 2015 to December 31, 2015.*</w:t>
            </w:r>
          </w:p>
        </w:tc>
        <w:tc>
          <w:tcPr>
            <w:tcW w:w="20" w:type="dxa"/>
            <w:vAlign w:val="bottom"/>
          </w:tcPr>
          <w:p>
            <w:pPr>
              <w:spacing w:after="0"/>
              <w:rPr>
                <w:sz w:val="19"/>
                <w:szCs w:val="19"/>
                <w:color w:val="auto"/>
              </w:rPr>
            </w:pPr>
          </w:p>
        </w:tc>
      </w:tr>
      <w:tr>
        <w:trPr>
          <w:trHeight w:val="653"/>
        </w:trPr>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80" w:type="dxa"/>
            <w:vAlign w:val="bottom"/>
            <w:gridSpan w:val="2"/>
          </w:tcPr>
          <w:p>
            <w:pPr>
              <w:jc w:val="right"/>
              <w:ind w:right="5491"/>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4"/>
                <w:szCs w:val="24"/>
                <w:color w:val="auto"/>
              </w:rPr>
            </w:pPr>
          </w:p>
        </w:tc>
      </w:tr>
      <w:tr>
        <w:trPr>
          <w:trHeight w:val="115"/>
        </w:trPr>
        <w:tc>
          <w:tcPr>
            <w:tcW w:w="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6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34" w:right="21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1"/>
        </w:trPr>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20"/>
                <w:szCs w:val="20"/>
                <w:color w:val="auto"/>
              </w:rPr>
            </w:pPr>
          </w:p>
        </w:tc>
        <w:tc>
          <w:tcPr>
            <w:tcW w:w="9640" w:type="dxa"/>
            <w:vAlign w:val="bottom"/>
            <w:tcBorders>
              <w:bottom w:val="single" w:sz="8" w:color="auto"/>
            </w:tcBorders>
          </w:tcPr>
          <w:p>
            <w:pPr>
              <w:ind w:left="3960"/>
              <w:spacing w:after="0"/>
              <w:rPr>
                <w:sz w:val="20"/>
                <w:szCs w:val="20"/>
                <w:color w:val="auto"/>
              </w:rPr>
            </w:pPr>
            <w:r>
              <w:rPr>
                <w:rFonts w:ascii="Arial" w:cs="Arial" w:eastAsia="Arial" w:hAnsi="Arial"/>
                <w:sz w:val="18"/>
                <w:szCs w:val="18"/>
                <w:b w:val="1"/>
                <w:bCs w:val="1"/>
                <w:color w:val="auto"/>
              </w:rPr>
              <w:t>Document Description</w:t>
            </w:r>
          </w:p>
        </w:tc>
      </w:tr>
      <w:tr>
        <w:trPr>
          <w:trHeight w:val="219"/>
        </w:trPr>
        <w:tc>
          <w:tcPr>
            <w:tcW w:w="1540" w:type="dxa"/>
            <w:vAlign w:val="bottom"/>
          </w:tcPr>
          <w:p>
            <w:pPr>
              <w:spacing w:after="0"/>
              <w:rPr>
                <w:sz w:val="20"/>
                <w:szCs w:val="20"/>
                <w:color w:val="auto"/>
              </w:rPr>
            </w:pPr>
            <w:r>
              <w:rPr>
                <w:rFonts w:ascii="Arial" w:cs="Arial" w:eastAsia="Arial" w:hAnsi="Arial"/>
                <w:sz w:val="18"/>
                <w:szCs w:val="18"/>
                <w:color w:val="auto"/>
              </w:rPr>
              <w:t>101.INS</w:t>
            </w: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XBRL Instance Document. *</w:t>
            </w:r>
          </w:p>
        </w:tc>
      </w:tr>
      <w:tr>
        <w:trPr>
          <w:trHeight w:val="453"/>
        </w:trPr>
        <w:tc>
          <w:tcPr>
            <w:tcW w:w="1540" w:type="dxa"/>
            <w:vAlign w:val="bottom"/>
          </w:tcPr>
          <w:p>
            <w:pPr>
              <w:spacing w:after="0"/>
              <w:rPr>
                <w:sz w:val="20"/>
                <w:szCs w:val="20"/>
                <w:color w:val="auto"/>
              </w:rPr>
            </w:pPr>
            <w:r>
              <w:rPr>
                <w:rFonts w:ascii="Arial" w:cs="Arial" w:eastAsia="Arial" w:hAnsi="Arial"/>
                <w:sz w:val="18"/>
                <w:szCs w:val="18"/>
                <w:color w:val="auto"/>
              </w:rPr>
              <w:t>101.SCH</w:t>
            </w: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XBRL Taxonomy Extension Schema. *</w:t>
            </w:r>
          </w:p>
        </w:tc>
      </w:tr>
      <w:tr>
        <w:trPr>
          <w:trHeight w:val="453"/>
        </w:trPr>
        <w:tc>
          <w:tcPr>
            <w:tcW w:w="1540" w:type="dxa"/>
            <w:vAlign w:val="bottom"/>
          </w:tcPr>
          <w:p>
            <w:pPr>
              <w:spacing w:after="0"/>
              <w:rPr>
                <w:sz w:val="20"/>
                <w:szCs w:val="20"/>
                <w:color w:val="auto"/>
              </w:rPr>
            </w:pPr>
            <w:r>
              <w:rPr>
                <w:rFonts w:ascii="Arial" w:cs="Arial" w:eastAsia="Arial" w:hAnsi="Arial"/>
                <w:sz w:val="18"/>
                <w:szCs w:val="18"/>
                <w:color w:val="auto"/>
              </w:rPr>
              <w:t>101.CAL</w:t>
            </w: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XBRL Taxonomy Extension Calculation Linkbase. *</w:t>
            </w:r>
          </w:p>
        </w:tc>
      </w:tr>
      <w:tr>
        <w:trPr>
          <w:trHeight w:val="453"/>
        </w:trPr>
        <w:tc>
          <w:tcPr>
            <w:tcW w:w="1540" w:type="dxa"/>
            <w:vAlign w:val="bottom"/>
          </w:tcPr>
          <w:p>
            <w:pPr>
              <w:spacing w:after="0"/>
              <w:rPr>
                <w:sz w:val="20"/>
                <w:szCs w:val="20"/>
                <w:color w:val="auto"/>
              </w:rPr>
            </w:pPr>
            <w:r>
              <w:rPr>
                <w:rFonts w:ascii="Arial" w:cs="Arial" w:eastAsia="Arial" w:hAnsi="Arial"/>
                <w:sz w:val="18"/>
                <w:szCs w:val="18"/>
                <w:color w:val="auto"/>
              </w:rPr>
              <w:t>101.DEF</w:t>
            </w: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XBRL Taxonomy Extension Definition Linkbase. *</w:t>
            </w:r>
          </w:p>
        </w:tc>
      </w:tr>
      <w:tr>
        <w:trPr>
          <w:trHeight w:val="453"/>
        </w:trPr>
        <w:tc>
          <w:tcPr>
            <w:tcW w:w="1540" w:type="dxa"/>
            <w:vAlign w:val="bottom"/>
          </w:tcPr>
          <w:p>
            <w:pPr>
              <w:spacing w:after="0"/>
              <w:rPr>
                <w:sz w:val="20"/>
                <w:szCs w:val="20"/>
                <w:color w:val="auto"/>
              </w:rPr>
            </w:pPr>
            <w:r>
              <w:rPr>
                <w:rFonts w:ascii="Arial" w:cs="Arial" w:eastAsia="Arial" w:hAnsi="Arial"/>
                <w:sz w:val="18"/>
                <w:szCs w:val="18"/>
                <w:color w:val="auto"/>
              </w:rPr>
              <w:t>101.LAB</w:t>
            </w: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XBRL Taxonomy Extension Label Linkbase. *</w:t>
            </w:r>
          </w:p>
        </w:tc>
      </w:tr>
      <w:tr>
        <w:trPr>
          <w:trHeight w:val="453"/>
        </w:trPr>
        <w:tc>
          <w:tcPr>
            <w:tcW w:w="1540" w:type="dxa"/>
            <w:vAlign w:val="bottom"/>
          </w:tcPr>
          <w:p>
            <w:pPr>
              <w:spacing w:after="0"/>
              <w:rPr>
                <w:sz w:val="20"/>
                <w:szCs w:val="20"/>
                <w:color w:val="auto"/>
              </w:rPr>
            </w:pPr>
            <w:r>
              <w:rPr>
                <w:rFonts w:ascii="Arial" w:cs="Arial" w:eastAsia="Arial" w:hAnsi="Arial"/>
                <w:sz w:val="18"/>
                <w:szCs w:val="18"/>
                <w:color w:val="auto"/>
              </w:rPr>
              <w:t>101.PRE</w:t>
            </w: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XBRL Taxonomy Extension Presentation Linkbase.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68580</wp:posOffset>
            </wp:positionV>
            <wp:extent cx="121094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2">
                      <a:extLst>
                        <a:ext uri="{28A0092B-C50C-407E-A947-70E740481C1C}"/>
                      </a:extLst>
                    </a:blip>
                    <a:srcRect/>
                    <a:stretch>
                      <a:fillRect/>
                    </a:stretch>
                  </pic:blipFill>
                  <pic:spPr bwMode="auto">
                    <a:xfrm>
                      <a:off x="0" y="0"/>
                      <a:ext cx="1210945" cy="8255"/>
                    </a:xfrm>
                    <a:prstGeom prst="rect">
                      <a:avLst/>
                    </a:prstGeom>
                    <a:noFill/>
                  </pic:spPr>
                </pic:pic>
              </a:graphicData>
            </a:graphic>
          </wp:anchor>
        </w:drawing>
      </w:r>
    </w:p>
    <w:p>
      <w:pPr>
        <w:spacing w:after="0" w:line="116" w:lineRule="exact"/>
        <w:rPr>
          <w:sz w:val="20"/>
          <w:szCs w:val="20"/>
          <w:color w:val="auto"/>
        </w:rPr>
      </w:pPr>
    </w:p>
    <w:p>
      <w:pPr>
        <w:ind w:left="520" w:hanging="513"/>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p>
    <w:p>
      <w:pPr>
        <w:ind w:left="520" w:hanging="513"/>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Compensatory plan or arrangement</w:t>
      </w:r>
    </w:p>
    <w:p>
      <w:pPr>
        <w:spacing w:after="0" w:line="17" w:lineRule="exact"/>
        <w:rPr>
          <w:sz w:val="20"/>
          <w:szCs w:val="20"/>
          <w:color w:val="auto"/>
        </w:rPr>
      </w:pPr>
    </w:p>
    <w:p>
      <w:pPr>
        <w:ind w:left="520" w:right="180" w:hanging="513"/>
        <w:spacing w:after="0" w:line="247"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Portions of this exhibit have been omitted pending a determination by the Securities and Exchange Commission as to whether these portions should be granted confidential treatment.</w:t>
      </w:r>
    </w:p>
    <w:p>
      <w:pPr>
        <w:spacing w:after="0" w:line="1" w:lineRule="exact"/>
        <w:rPr>
          <w:sz w:val="20"/>
          <w:szCs w:val="20"/>
          <w:color w:val="auto"/>
        </w:rPr>
      </w:pPr>
    </w:p>
    <w:p>
      <w:pPr>
        <w:ind w:left="5580" w:right="2280" w:hanging="5573"/>
        <w:spacing w:after="0" w:line="749" w:lineRule="auto"/>
        <w:tabs>
          <w:tab w:leader="none" w:pos="513"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Portions of this exhibit have been previously granted confidential treatment by the Securities and Exchange Commission.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-221615</wp:posOffset>
            </wp:positionV>
            <wp:extent cx="729043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105" w:name="page106"/>
    <w:bookmarkEnd w:id="105"/>
    <w:p>
      <w:pPr>
        <w:jc w:val="center"/>
        <w:ind w:right="-559"/>
        <w:spacing w:after="0"/>
        <w:rPr>
          <w:sz w:val="20"/>
          <w:szCs w:val="20"/>
          <w:color w:val="auto"/>
        </w:rPr>
      </w:pPr>
      <w:r>
        <w:rPr>
          <w:rFonts w:ascii="Arial" w:cs="Arial" w:eastAsia="Arial" w:hAnsi="Arial"/>
          <w:sz w:val="18"/>
          <w:szCs w:val="18"/>
          <w:b w:val="1"/>
          <w:bCs w:val="1"/>
          <w:color w:val="auto"/>
        </w:rPr>
        <w:t>SIGNATURES</w:t>
      </w:r>
    </w:p>
    <w:p>
      <w:pPr>
        <w:spacing w:after="0" w:line="226" w:lineRule="exact"/>
        <w:rPr>
          <w:sz w:val="20"/>
          <w:szCs w:val="20"/>
          <w:color w:val="auto"/>
        </w:rPr>
      </w:pPr>
    </w:p>
    <w:p>
      <w:pPr>
        <w:ind w:right="180" w:firstLine="518"/>
        <w:spacing w:after="0" w:line="26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Great Lakes Dredge &amp; Dock Corporation</w:t>
      </w:r>
    </w:p>
    <w:p>
      <w:pPr>
        <w:spacing w:after="0" w:line="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35" w:lineRule="exact"/>
        <w:rPr>
          <w:sz w:val="20"/>
          <w:szCs w:val="20"/>
          <w:color w:val="auto"/>
        </w:rPr>
      </w:pPr>
    </w:p>
    <w:p>
      <w:pPr>
        <w:ind w:left="5720"/>
        <w:spacing w:after="0"/>
        <w:tabs>
          <w:tab w:leader="none" w:pos="7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W. M</w:t>
      </w:r>
      <w:r>
        <w:rPr>
          <w:rFonts w:ascii="Arial" w:cs="Arial" w:eastAsia="Arial" w:hAnsi="Arial"/>
          <w:sz w:val="12"/>
          <w:szCs w:val="12"/>
          <w:color w:val="auto"/>
        </w:rPr>
        <w:t>ARINKO</w:t>
      </w:r>
    </w:p>
    <w:p>
      <w:pPr>
        <w:spacing w:after="0" w:line="11" w:lineRule="exact"/>
        <w:rPr>
          <w:sz w:val="20"/>
          <w:szCs w:val="20"/>
          <w:color w:val="auto"/>
        </w:rPr>
      </w:pPr>
    </w:p>
    <w:p>
      <w:pPr>
        <w:jc w:val="center"/>
        <w:ind w:left="6080"/>
        <w:spacing w:after="0"/>
        <w:rPr>
          <w:sz w:val="20"/>
          <w:szCs w:val="20"/>
          <w:color w:val="auto"/>
        </w:rPr>
      </w:pPr>
      <w:r>
        <w:rPr>
          <w:rFonts w:ascii="Arial" w:cs="Arial" w:eastAsia="Arial" w:hAnsi="Arial"/>
          <w:sz w:val="14"/>
          <w:szCs w:val="14"/>
          <w:color w:val="auto"/>
        </w:rPr>
        <w:t>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-96520</wp:posOffset>
            </wp:positionV>
            <wp:extent cx="33870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4">
                      <a:extLst>
                        <a:ext uri="{28A0092B-C50C-407E-A947-70E740481C1C}"/>
                      </a:extLst>
                    </a:blip>
                    <a:srcRect/>
                    <a:stretch>
                      <a:fillRect/>
                    </a:stretch>
                  </pic:blipFill>
                  <pic:spPr bwMode="auto">
                    <a:xfrm>
                      <a:off x="0" y="0"/>
                      <a:ext cx="3387090" cy="8255"/>
                    </a:xfrm>
                    <a:prstGeom prst="rect">
                      <a:avLst/>
                    </a:prstGeom>
                    <a:noFill/>
                  </pic:spPr>
                </pic:pic>
              </a:graphicData>
            </a:graphic>
          </wp:anchor>
        </w:drawing>
      </w:r>
    </w:p>
    <w:p>
      <w:pPr>
        <w:jc w:val="center"/>
        <w:ind w:left="6080"/>
        <w:spacing w:after="0" w:line="218" w:lineRule="auto"/>
        <w:rPr>
          <w:sz w:val="20"/>
          <w:szCs w:val="20"/>
          <w:color w:val="auto"/>
        </w:rPr>
      </w:pPr>
      <w:r>
        <w:rPr>
          <w:rFonts w:ascii="Arial" w:cs="Arial" w:eastAsia="Arial" w:hAnsi="Arial"/>
          <w:sz w:val="14"/>
          <w:szCs w:val="14"/>
          <w:color w:val="auto"/>
        </w:rPr>
        <w:t>Senior Vice President and Chief Financial Officer</w:t>
      </w:r>
    </w:p>
    <w:p>
      <w:pPr>
        <w:jc w:val="center"/>
        <w:ind w:left="6080"/>
        <w:spacing w:after="0"/>
        <w:rPr>
          <w:sz w:val="20"/>
          <w:szCs w:val="20"/>
          <w:color w:val="auto"/>
        </w:rPr>
      </w:pPr>
      <w:r>
        <w:rPr>
          <w:rFonts w:ascii="Arial" w:cs="Arial" w:eastAsia="Arial" w:hAnsi="Arial"/>
          <w:sz w:val="13"/>
          <w:szCs w:val="13"/>
          <w:color w:val="auto"/>
        </w:rPr>
        <w:t>(Principal Financial and Accounting Officer and Duly Authorized Officer)</w:t>
      </w:r>
    </w:p>
    <w:p>
      <w:pPr>
        <w:spacing w:after="0" w:line="23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February 28, 2018</w:t>
      </w:r>
    </w:p>
    <w:p>
      <w:pPr>
        <w:spacing w:after="0" w:line="220" w:lineRule="exact"/>
        <w:rPr>
          <w:sz w:val="20"/>
          <w:szCs w:val="20"/>
          <w:color w:val="auto"/>
        </w:rPr>
      </w:pPr>
    </w:p>
    <w:p>
      <w:pPr>
        <w:ind w:right="20" w:firstLine="518"/>
        <w:spacing w:after="0" w:line="26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capabilities and on the dates indicated.</w:t>
      </w:r>
    </w:p>
    <w:p>
      <w:pPr>
        <w:spacing w:after="0" w:line="172"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146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86"/>
              </w:rPr>
              <w:t>Signature</w:t>
            </w:r>
          </w:p>
        </w:tc>
        <w:tc>
          <w:tcPr>
            <w:tcW w:w="740" w:type="dxa"/>
            <w:vAlign w:val="bottom"/>
          </w:tcPr>
          <w:p>
            <w:pPr>
              <w:spacing w:after="0"/>
              <w:rPr>
                <w:sz w:val="17"/>
                <w:szCs w:val="17"/>
                <w:color w:val="auto"/>
              </w:rPr>
            </w:pPr>
          </w:p>
        </w:tc>
        <w:tc>
          <w:tcPr>
            <w:tcW w:w="114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2"/>
              </w:rPr>
              <w:t>Date</w:t>
            </w:r>
          </w:p>
        </w:tc>
        <w:tc>
          <w:tcPr>
            <w:tcW w:w="2340" w:type="dxa"/>
            <w:vAlign w:val="bottom"/>
          </w:tcPr>
          <w:p>
            <w:pPr>
              <w:spacing w:after="0"/>
              <w:rPr>
                <w:sz w:val="17"/>
                <w:szCs w:val="17"/>
                <w:color w:val="auto"/>
              </w:rPr>
            </w:pPr>
          </w:p>
        </w:tc>
        <w:tc>
          <w:tcPr>
            <w:tcW w:w="2380" w:type="dxa"/>
            <w:vAlign w:val="bottom"/>
            <w:gridSpan w:val="2"/>
          </w:tcPr>
          <w:p>
            <w:pPr>
              <w:jc w:val="center"/>
              <w:ind w:right="2040"/>
              <w:spacing w:after="0"/>
              <w:rPr>
                <w:sz w:val="20"/>
                <w:szCs w:val="20"/>
                <w:color w:val="auto"/>
              </w:rPr>
            </w:pPr>
            <w:r>
              <w:rPr>
                <w:rFonts w:ascii="Arial" w:cs="Arial" w:eastAsia="Arial" w:hAnsi="Arial"/>
                <w:sz w:val="18"/>
                <w:szCs w:val="18"/>
                <w:b w:val="1"/>
                <w:bCs w:val="1"/>
                <w:color w:val="auto"/>
                <w:w w:val="91"/>
              </w:rPr>
              <w:t>Title</w:t>
            </w:r>
          </w:p>
        </w:tc>
      </w:tr>
      <w:tr>
        <w:trPr>
          <w:trHeight w:val="20"/>
        </w:trPr>
        <w:tc>
          <w:tcPr>
            <w:tcW w:w="7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72"/>
        </w:trPr>
        <w:tc>
          <w:tcPr>
            <w:tcW w:w="21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5"/>
              </w:rPr>
              <w:t>/s/ Lasse J. Petterson</w:t>
            </w:r>
          </w:p>
        </w:tc>
        <w:tc>
          <w:tcPr>
            <w:tcW w:w="188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February 28, 2018</w:t>
            </w:r>
          </w:p>
        </w:tc>
        <w:tc>
          <w:tcPr>
            <w:tcW w:w="4720" w:type="dxa"/>
            <w:vAlign w:val="bottom"/>
            <w:gridSpan w:val="3"/>
          </w:tcPr>
          <w:p>
            <w:pPr>
              <w:jc w:val="center"/>
              <w:ind w:left="191"/>
              <w:spacing w:after="0"/>
              <w:rPr>
                <w:sz w:val="20"/>
                <w:szCs w:val="20"/>
                <w:color w:val="auto"/>
              </w:rPr>
            </w:pPr>
            <w:r>
              <w:rPr>
                <w:rFonts w:ascii="Arial" w:cs="Arial" w:eastAsia="Arial" w:hAnsi="Arial"/>
                <w:sz w:val="18"/>
                <w:szCs w:val="18"/>
                <w:color w:val="auto"/>
                <w:w w:val="92"/>
              </w:rPr>
              <w:t>Chief Executive Officer and Director</w:t>
            </w:r>
          </w:p>
        </w:tc>
      </w:tr>
      <w:tr>
        <w:trPr>
          <w:trHeight w:val="220"/>
        </w:trPr>
        <w:tc>
          <w:tcPr>
            <w:tcW w:w="2180" w:type="dxa"/>
            <w:vAlign w:val="bottom"/>
            <w:gridSpan w:val="3"/>
          </w:tcPr>
          <w:p>
            <w:pPr>
              <w:jc w:val="center"/>
              <w:ind w:right="20"/>
              <w:spacing w:after="0"/>
              <w:rPr>
                <w:sz w:val="20"/>
                <w:szCs w:val="20"/>
                <w:color w:val="auto"/>
              </w:rPr>
            </w:pPr>
            <w:r>
              <w:rPr>
                <w:rFonts w:ascii="Arial" w:cs="Arial" w:eastAsia="Arial" w:hAnsi="Arial"/>
                <w:sz w:val="18"/>
                <w:szCs w:val="18"/>
                <w:color w:val="auto"/>
                <w:w w:val="85"/>
              </w:rPr>
              <w:t>Lasse J. Petterson</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720" w:type="dxa"/>
            <w:vAlign w:val="bottom"/>
            <w:gridSpan w:val="3"/>
          </w:tcPr>
          <w:p>
            <w:pPr>
              <w:jc w:val="center"/>
              <w:ind w:left="211"/>
              <w:spacing w:after="0"/>
              <w:rPr>
                <w:sz w:val="20"/>
                <w:szCs w:val="20"/>
                <w:color w:val="auto"/>
              </w:rPr>
            </w:pPr>
            <w:r>
              <w:rPr>
                <w:rFonts w:ascii="Arial" w:cs="Arial" w:eastAsia="Arial" w:hAnsi="Arial"/>
                <w:sz w:val="18"/>
                <w:szCs w:val="18"/>
                <w:color w:val="auto"/>
                <w:w w:val="92"/>
              </w:rPr>
              <w:t>(Principal Executive Officer)</w:t>
            </w:r>
          </w:p>
        </w:tc>
      </w:tr>
      <w:tr>
        <w:trPr>
          <w:trHeight w:val="442"/>
        </w:trPr>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720" w:type="dxa"/>
            <w:vAlign w:val="bottom"/>
            <w:gridSpan w:val="3"/>
          </w:tcPr>
          <w:p>
            <w:pPr>
              <w:jc w:val="center"/>
              <w:ind w:left="211"/>
              <w:spacing w:after="0"/>
              <w:rPr>
                <w:sz w:val="20"/>
                <w:szCs w:val="20"/>
                <w:color w:val="auto"/>
              </w:rPr>
            </w:pPr>
            <w:r>
              <w:rPr>
                <w:rFonts w:ascii="Arial" w:cs="Arial" w:eastAsia="Arial" w:hAnsi="Arial"/>
                <w:sz w:val="18"/>
                <w:szCs w:val="18"/>
                <w:color w:val="auto"/>
                <w:w w:val="93"/>
              </w:rPr>
              <w:t>Chief Financial Officer</w:t>
            </w:r>
          </w:p>
        </w:tc>
      </w:tr>
      <w:tr>
        <w:trPr>
          <w:trHeight w:val="225"/>
        </w:trPr>
        <w:tc>
          <w:tcPr>
            <w:tcW w:w="21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2"/>
              </w:rPr>
              <w:t>/s/ Mark W. Marinko</w:t>
            </w:r>
          </w:p>
        </w:tc>
        <w:tc>
          <w:tcPr>
            <w:tcW w:w="188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February 28, 2018</w:t>
            </w:r>
          </w:p>
        </w:tc>
        <w:tc>
          <w:tcPr>
            <w:tcW w:w="4720" w:type="dxa"/>
            <w:vAlign w:val="bottom"/>
            <w:gridSpan w:val="3"/>
          </w:tcPr>
          <w:p>
            <w:pPr>
              <w:jc w:val="center"/>
              <w:ind w:left="211"/>
              <w:spacing w:after="0"/>
              <w:rPr>
                <w:sz w:val="20"/>
                <w:szCs w:val="20"/>
                <w:color w:val="auto"/>
              </w:rPr>
            </w:pPr>
            <w:r>
              <w:rPr>
                <w:rFonts w:ascii="Arial" w:cs="Arial" w:eastAsia="Arial" w:hAnsi="Arial"/>
                <w:sz w:val="18"/>
                <w:szCs w:val="18"/>
                <w:color w:val="auto"/>
                <w:w w:val="92"/>
              </w:rPr>
              <w:t>(Principal Financial Officer and Principal Accounting Officer)</w:t>
            </w:r>
          </w:p>
        </w:tc>
      </w:tr>
      <w:tr>
        <w:trPr>
          <w:trHeight w:val="219"/>
        </w:trPr>
        <w:tc>
          <w:tcPr>
            <w:tcW w:w="2180" w:type="dxa"/>
            <w:vAlign w:val="bottom"/>
            <w:gridSpan w:val="3"/>
          </w:tcPr>
          <w:p>
            <w:pPr>
              <w:jc w:val="center"/>
              <w:ind w:right="20"/>
              <w:spacing w:after="0"/>
              <w:rPr>
                <w:sz w:val="20"/>
                <w:szCs w:val="20"/>
                <w:color w:val="auto"/>
              </w:rPr>
            </w:pPr>
            <w:r>
              <w:rPr>
                <w:rFonts w:ascii="Arial" w:cs="Arial" w:eastAsia="Arial" w:hAnsi="Arial"/>
                <w:sz w:val="18"/>
                <w:szCs w:val="18"/>
                <w:color w:val="auto"/>
                <w:w w:val="94"/>
              </w:rPr>
              <w:t>Mark W. Marinko</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54"/>
        </w:trPr>
        <w:tc>
          <w:tcPr>
            <w:tcW w:w="21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4"/>
              </w:rPr>
              <w:t>/s/ Carl A. Albert</w:t>
            </w:r>
          </w:p>
        </w:tc>
        <w:tc>
          <w:tcPr>
            <w:tcW w:w="188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February 28, 2018</w:t>
            </w:r>
          </w:p>
        </w:tc>
        <w:tc>
          <w:tcPr>
            <w:tcW w:w="4720" w:type="dxa"/>
            <w:vAlign w:val="bottom"/>
            <w:gridSpan w:val="3"/>
          </w:tcPr>
          <w:p>
            <w:pPr>
              <w:jc w:val="center"/>
              <w:ind w:left="211"/>
              <w:spacing w:after="0"/>
              <w:rPr>
                <w:sz w:val="20"/>
                <w:szCs w:val="20"/>
                <w:color w:val="auto"/>
              </w:rPr>
            </w:pPr>
            <w:r>
              <w:rPr>
                <w:rFonts w:ascii="Arial" w:cs="Arial" w:eastAsia="Arial" w:hAnsi="Arial"/>
                <w:sz w:val="18"/>
                <w:szCs w:val="18"/>
                <w:color w:val="auto"/>
                <w:w w:val="91"/>
              </w:rPr>
              <w:t>Director</w:t>
            </w:r>
          </w:p>
        </w:tc>
      </w:tr>
      <w:tr>
        <w:trPr>
          <w:trHeight w:val="219"/>
        </w:trPr>
        <w:tc>
          <w:tcPr>
            <w:tcW w:w="2180" w:type="dxa"/>
            <w:vAlign w:val="bottom"/>
            <w:gridSpan w:val="3"/>
          </w:tcPr>
          <w:p>
            <w:pPr>
              <w:jc w:val="center"/>
              <w:ind w:right="20"/>
              <w:spacing w:after="0"/>
              <w:rPr>
                <w:sz w:val="20"/>
                <w:szCs w:val="20"/>
                <w:color w:val="auto"/>
              </w:rPr>
            </w:pPr>
            <w:r>
              <w:rPr>
                <w:rFonts w:ascii="Arial" w:cs="Arial" w:eastAsia="Arial" w:hAnsi="Arial"/>
                <w:sz w:val="18"/>
                <w:szCs w:val="18"/>
                <w:color w:val="auto"/>
                <w:w w:val="97"/>
              </w:rPr>
              <w:t>Carl A. Albert</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54"/>
        </w:trPr>
        <w:tc>
          <w:tcPr>
            <w:tcW w:w="21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9"/>
              </w:rPr>
              <w:t>/s/ Lawrence R. Dickerson</w:t>
            </w:r>
          </w:p>
        </w:tc>
        <w:tc>
          <w:tcPr>
            <w:tcW w:w="188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February 28, 2018</w:t>
            </w:r>
          </w:p>
        </w:tc>
        <w:tc>
          <w:tcPr>
            <w:tcW w:w="4720" w:type="dxa"/>
            <w:vAlign w:val="bottom"/>
            <w:gridSpan w:val="3"/>
          </w:tcPr>
          <w:p>
            <w:pPr>
              <w:jc w:val="center"/>
              <w:ind w:left="211"/>
              <w:spacing w:after="0"/>
              <w:rPr>
                <w:sz w:val="20"/>
                <w:szCs w:val="20"/>
                <w:color w:val="auto"/>
              </w:rPr>
            </w:pPr>
            <w:r>
              <w:rPr>
                <w:rFonts w:ascii="Arial" w:cs="Arial" w:eastAsia="Arial" w:hAnsi="Arial"/>
                <w:sz w:val="18"/>
                <w:szCs w:val="18"/>
                <w:color w:val="auto"/>
                <w:w w:val="91"/>
              </w:rPr>
              <w:t>Director</w:t>
            </w:r>
          </w:p>
        </w:tc>
      </w:tr>
      <w:tr>
        <w:trPr>
          <w:trHeight w:val="219"/>
        </w:trPr>
        <w:tc>
          <w:tcPr>
            <w:tcW w:w="218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Lawrence R. Dickerson</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54"/>
        </w:trPr>
        <w:tc>
          <w:tcPr>
            <w:tcW w:w="21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8"/>
              </w:rPr>
              <w:t>/s/ Ryan J. Levenson</w:t>
            </w:r>
          </w:p>
        </w:tc>
        <w:tc>
          <w:tcPr>
            <w:tcW w:w="188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February 28, 2018</w:t>
            </w:r>
          </w:p>
        </w:tc>
        <w:tc>
          <w:tcPr>
            <w:tcW w:w="4720" w:type="dxa"/>
            <w:vAlign w:val="bottom"/>
            <w:gridSpan w:val="3"/>
          </w:tcPr>
          <w:p>
            <w:pPr>
              <w:jc w:val="center"/>
              <w:ind w:left="211"/>
              <w:spacing w:after="0"/>
              <w:rPr>
                <w:sz w:val="20"/>
                <w:szCs w:val="20"/>
                <w:color w:val="auto"/>
              </w:rPr>
            </w:pPr>
            <w:r>
              <w:rPr>
                <w:rFonts w:ascii="Arial" w:cs="Arial" w:eastAsia="Arial" w:hAnsi="Arial"/>
                <w:sz w:val="18"/>
                <w:szCs w:val="18"/>
                <w:color w:val="auto"/>
                <w:w w:val="91"/>
              </w:rPr>
              <w:t>Director</w:t>
            </w:r>
          </w:p>
        </w:tc>
      </w:tr>
      <w:tr>
        <w:trPr>
          <w:trHeight w:val="219"/>
        </w:trPr>
        <w:tc>
          <w:tcPr>
            <w:tcW w:w="218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Ryan J. Levenson</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54"/>
        </w:trPr>
        <w:tc>
          <w:tcPr>
            <w:tcW w:w="21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0"/>
              </w:rPr>
              <w:t>/s/ D. Michael Steuert</w:t>
            </w:r>
          </w:p>
        </w:tc>
        <w:tc>
          <w:tcPr>
            <w:tcW w:w="188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February 28, 2018</w:t>
            </w:r>
          </w:p>
        </w:tc>
        <w:tc>
          <w:tcPr>
            <w:tcW w:w="4720" w:type="dxa"/>
            <w:vAlign w:val="bottom"/>
            <w:gridSpan w:val="3"/>
          </w:tcPr>
          <w:p>
            <w:pPr>
              <w:jc w:val="center"/>
              <w:ind w:left="211"/>
              <w:spacing w:after="0"/>
              <w:rPr>
                <w:sz w:val="20"/>
                <w:szCs w:val="20"/>
                <w:color w:val="auto"/>
              </w:rPr>
            </w:pPr>
            <w:r>
              <w:rPr>
                <w:rFonts w:ascii="Arial" w:cs="Arial" w:eastAsia="Arial" w:hAnsi="Arial"/>
                <w:sz w:val="18"/>
                <w:szCs w:val="18"/>
                <w:color w:val="auto"/>
                <w:w w:val="91"/>
              </w:rPr>
              <w:t>Director</w:t>
            </w:r>
          </w:p>
        </w:tc>
      </w:tr>
      <w:tr>
        <w:trPr>
          <w:trHeight w:val="219"/>
        </w:trPr>
        <w:tc>
          <w:tcPr>
            <w:tcW w:w="218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D. Michael Steuert</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54"/>
        </w:trPr>
        <w:tc>
          <w:tcPr>
            <w:tcW w:w="21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/s/ Robert B. Uhler</w:t>
            </w:r>
          </w:p>
        </w:tc>
        <w:tc>
          <w:tcPr>
            <w:tcW w:w="188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February 28, 2018</w:t>
            </w:r>
          </w:p>
        </w:tc>
        <w:tc>
          <w:tcPr>
            <w:tcW w:w="4720" w:type="dxa"/>
            <w:vAlign w:val="bottom"/>
            <w:gridSpan w:val="3"/>
          </w:tcPr>
          <w:p>
            <w:pPr>
              <w:jc w:val="center"/>
              <w:ind w:left="211"/>
              <w:spacing w:after="0"/>
              <w:rPr>
                <w:sz w:val="20"/>
                <w:szCs w:val="20"/>
                <w:color w:val="auto"/>
              </w:rPr>
            </w:pPr>
            <w:r>
              <w:rPr>
                <w:rFonts w:ascii="Arial" w:cs="Arial" w:eastAsia="Arial" w:hAnsi="Arial"/>
                <w:sz w:val="18"/>
                <w:szCs w:val="18"/>
                <w:color w:val="auto"/>
                <w:w w:val="91"/>
              </w:rPr>
              <w:t>Director</w:t>
            </w:r>
          </w:p>
        </w:tc>
      </w:tr>
      <w:tr>
        <w:trPr>
          <w:trHeight w:val="219"/>
        </w:trPr>
        <w:tc>
          <w:tcPr>
            <w:tcW w:w="2180" w:type="dxa"/>
            <w:vAlign w:val="bottom"/>
            <w:gridSpan w:val="3"/>
          </w:tcPr>
          <w:p>
            <w:pPr>
              <w:jc w:val="center"/>
              <w:spacing w:after="0"/>
              <w:rPr>
                <w:sz w:val="20"/>
                <w:szCs w:val="20"/>
                <w:color w:val="auto"/>
              </w:rPr>
            </w:pPr>
            <w:r>
              <w:rPr>
                <w:rFonts w:ascii="Arial" w:cs="Arial" w:eastAsia="Arial" w:hAnsi="Arial"/>
                <w:sz w:val="18"/>
                <w:szCs w:val="18"/>
                <w:color w:val="auto"/>
                <w:w w:val="91"/>
              </w:rPr>
              <w:t>Robert B. Uhler</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54"/>
        </w:trPr>
        <w:tc>
          <w:tcPr>
            <w:tcW w:w="21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9"/>
              </w:rPr>
              <w:t>/s/ Michael J. Walsh</w:t>
            </w:r>
          </w:p>
        </w:tc>
        <w:tc>
          <w:tcPr>
            <w:tcW w:w="188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February 28, 2018</w:t>
            </w:r>
          </w:p>
        </w:tc>
        <w:tc>
          <w:tcPr>
            <w:tcW w:w="4720" w:type="dxa"/>
            <w:vAlign w:val="bottom"/>
            <w:gridSpan w:val="3"/>
          </w:tcPr>
          <w:p>
            <w:pPr>
              <w:jc w:val="center"/>
              <w:ind w:left="211"/>
              <w:spacing w:after="0"/>
              <w:rPr>
                <w:sz w:val="20"/>
                <w:szCs w:val="20"/>
                <w:color w:val="auto"/>
              </w:rPr>
            </w:pPr>
            <w:r>
              <w:rPr>
                <w:rFonts w:ascii="Arial" w:cs="Arial" w:eastAsia="Arial" w:hAnsi="Arial"/>
                <w:sz w:val="18"/>
                <w:szCs w:val="18"/>
                <w:color w:val="auto"/>
                <w:w w:val="91"/>
              </w:rPr>
              <w:t>Director</w:t>
            </w:r>
          </w:p>
        </w:tc>
      </w:tr>
      <w:tr>
        <w:trPr>
          <w:trHeight w:val="219"/>
        </w:trPr>
        <w:tc>
          <w:tcPr>
            <w:tcW w:w="218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Michael J. Walsh</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54"/>
        </w:trPr>
        <w:tc>
          <w:tcPr>
            <w:tcW w:w="21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5"/>
              </w:rPr>
              <w:t>/s/ Jason G. Weiss</w:t>
            </w:r>
          </w:p>
        </w:tc>
        <w:tc>
          <w:tcPr>
            <w:tcW w:w="188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February 28, 2018</w:t>
            </w:r>
          </w:p>
        </w:tc>
        <w:tc>
          <w:tcPr>
            <w:tcW w:w="4720" w:type="dxa"/>
            <w:vAlign w:val="bottom"/>
            <w:gridSpan w:val="3"/>
          </w:tcPr>
          <w:p>
            <w:pPr>
              <w:jc w:val="center"/>
              <w:ind w:left="211"/>
              <w:spacing w:after="0"/>
              <w:rPr>
                <w:sz w:val="20"/>
                <w:szCs w:val="20"/>
                <w:color w:val="auto"/>
              </w:rPr>
            </w:pPr>
            <w:r>
              <w:rPr>
                <w:rFonts w:ascii="Arial" w:cs="Arial" w:eastAsia="Arial" w:hAnsi="Arial"/>
                <w:sz w:val="18"/>
                <w:szCs w:val="18"/>
                <w:color w:val="auto"/>
                <w:w w:val="91"/>
              </w:rPr>
              <w:t>Director</w:t>
            </w:r>
          </w:p>
        </w:tc>
      </w:tr>
      <w:tr>
        <w:trPr>
          <w:trHeight w:val="219"/>
        </w:trPr>
        <w:tc>
          <w:tcPr>
            <w:tcW w:w="2180" w:type="dxa"/>
            <w:vAlign w:val="bottom"/>
            <w:gridSpan w:val="3"/>
          </w:tcPr>
          <w:p>
            <w:pPr>
              <w:jc w:val="center"/>
              <w:ind w:right="20"/>
              <w:spacing w:after="0"/>
              <w:rPr>
                <w:sz w:val="20"/>
                <w:szCs w:val="20"/>
                <w:color w:val="auto"/>
              </w:rPr>
            </w:pPr>
            <w:r>
              <w:rPr>
                <w:rFonts w:ascii="Arial" w:cs="Arial" w:eastAsia="Arial" w:hAnsi="Arial"/>
                <w:sz w:val="18"/>
                <w:szCs w:val="18"/>
                <w:color w:val="auto"/>
                <w:w w:val="85"/>
              </w:rPr>
              <w:t>Jason G. Weiss</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860"/>
          </w:cols>
          <w:pgMar w:left="240" w:top="121" w:right="799" w:bottom="1440" w:gutter="0" w:footer="0" w:header="0"/>
        </w:sectPr>
      </w:pPr>
    </w:p>
    <w:bookmarkStart w:id="106" w:name="page107"/>
    <w:bookmarkEnd w:id="106"/>
    <w:tbl>
      <w:tblPr>
        <w:tblLayout w:type="fixed"/>
        <w:tblInd w:w="80" w:type="dxa"/>
        <w:tblCellMar>
          <w:top w:w="0" w:type="dxa"/>
          <w:left w:w="0" w:type="dxa"/>
          <w:bottom w:w="0" w:type="dxa"/>
          <w:right w:w="0" w:type="dxa"/>
        </w:tblCellMar>
      </w:tblPr>
      <w:tr>
        <w:trPr>
          <w:trHeight w:val="279"/>
        </w:trPr>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80" w:type="dxa"/>
            <w:vAlign w:val="bottom"/>
            <w:gridSpan w:val="3"/>
          </w:tcPr>
          <w:p>
            <w:pPr>
              <w:jc w:val="right"/>
              <w:spacing w:after="0"/>
              <w:rPr>
                <w:sz w:val="20"/>
                <w:szCs w:val="20"/>
                <w:color w:val="auto"/>
              </w:rPr>
            </w:pPr>
            <w:r>
              <w:rPr>
                <w:rFonts w:ascii="Arial" w:cs="Arial" w:eastAsia="Arial" w:hAnsi="Arial"/>
                <w:sz w:val="21"/>
                <w:szCs w:val="21"/>
                <w:b w:val="1"/>
                <w:bCs w:val="1"/>
                <w:color w:val="auto"/>
              </w:rPr>
              <w:t>EXHIBIT 10.25</w:t>
            </w:r>
          </w:p>
        </w:tc>
      </w:tr>
      <w:tr>
        <w:trPr>
          <w:trHeight w:val="869"/>
        </w:trPr>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320" w:type="dxa"/>
            <w:vAlign w:val="bottom"/>
            <w:gridSpan w:val="5"/>
          </w:tcPr>
          <w:p>
            <w:pPr>
              <w:jc w:val="right"/>
              <w:ind w:right="3180"/>
              <w:spacing w:after="0"/>
              <w:rPr>
                <w:sz w:val="20"/>
                <w:szCs w:val="20"/>
                <w:color w:val="auto"/>
              </w:rPr>
            </w:pPr>
            <w:r>
              <w:rPr>
                <w:rFonts w:ascii="Arial" w:cs="Arial" w:eastAsia="Arial" w:hAnsi="Arial"/>
                <w:sz w:val="21"/>
                <w:szCs w:val="21"/>
                <w:b w:val="1"/>
                <w:bCs w:val="1"/>
                <w:color w:val="auto"/>
              </w:rPr>
              <w:t>GREAT LAKES DREDGE &amp; DOCK CORPORATION</w:t>
            </w:r>
          </w:p>
        </w:tc>
      </w:tr>
      <w:tr>
        <w:trPr>
          <w:trHeight w:val="278"/>
        </w:trPr>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80" w:type="dxa"/>
            <w:vAlign w:val="bottom"/>
            <w:gridSpan w:val="4"/>
          </w:tcPr>
          <w:p>
            <w:pPr>
              <w:jc w:val="right"/>
              <w:ind w:right="4200"/>
              <w:spacing w:after="0"/>
              <w:rPr>
                <w:sz w:val="20"/>
                <w:szCs w:val="20"/>
                <w:color w:val="auto"/>
              </w:rPr>
            </w:pPr>
            <w:r>
              <w:rPr>
                <w:rFonts w:ascii="Arial" w:cs="Arial" w:eastAsia="Arial" w:hAnsi="Arial"/>
                <w:sz w:val="21"/>
                <w:szCs w:val="21"/>
                <w:b w:val="1"/>
                <w:bCs w:val="1"/>
                <w:color w:val="auto"/>
              </w:rPr>
              <w:t>DIRECTOR DEFERRAL PLAN</w:t>
            </w:r>
          </w:p>
        </w:tc>
      </w:tr>
      <w:tr>
        <w:trPr>
          <w:trHeight w:val="616"/>
        </w:trPr>
        <w:tc>
          <w:tcPr>
            <w:tcW w:w="480" w:type="dxa"/>
            <w:vAlign w:val="bottom"/>
          </w:tcPr>
          <w:p>
            <w:pPr>
              <w:jc w:val="right"/>
              <w:ind w:right="213"/>
              <w:spacing w:after="0"/>
              <w:rPr>
                <w:sz w:val="20"/>
                <w:szCs w:val="20"/>
                <w:color w:val="auto"/>
              </w:rPr>
            </w:pPr>
            <w:r>
              <w:rPr>
                <w:rFonts w:ascii="Arial" w:cs="Arial" w:eastAsia="Arial" w:hAnsi="Arial"/>
                <w:sz w:val="21"/>
                <w:szCs w:val="21"/>
                <w:color w:val="auto"/>
                <w:w w:val="79"/>
              </w:rPr>
              <w:t>1.</w:t>
            </w:r>
          </w:p>
        </w:tc>
        <w:tc>
          <w:tcPr>
            <w:tcW w:w="1120" w:type="dxa"/>
            <w:vAlign w:val="bottom"/>
          </w:tcPr>
          <w:p>
            <w:pPr>
              <w:spacing w:after="0"/>
              <w:rPr>
                <w:sz w:val="24"/>
                <w:szCs w:val="24"/>
                <w:color w:val="auto"/>
              </w:rPr>
            </w:pPr>
          </w:p>
        </w:tc>
        <w:tc>
          <w:tcPr>
            <w:tcW w:w="9740" w:type="dxa"/>
            <w:vAlign w:val="bottom"/>
            <w:gridSpan w:val="8"/>
          </w:tcPr>
          <w:p>
            <w:pPr>
              <w:jc w:val="right"/>
              <w:spacing w:after="0"/>
              <w:rPr>
                <w:sz w:val="20"/>
                <w:szCs w:val="20"/>
                <w:color w:val="auto"/>
              </w:rPr>
            </w:pPr>
            <w:r>
              <w:rPr>
                <w:rFonts w:ascii="Arial" w:cs="Arial" w:eastAsia="Arial" w:hAnsi="Arial"/>
                <w:sz w:val="21"/>
                <w:szCs w:val="21"/>
                <w:color w:val="auto"/>
                <w:w w:val="95"/>
              </w:rPr>
              <w:t>Purpose. The purpose of the Great Lakes Dredge &amp; Dock Corporation Director Deferral Plan (this “Plan”) is to</w:t>
            </w:r>
          </w:p>
        </w:tc>
      </w:tr>
      <w:tr>
        <w:trPr>
          <w:trHeight w:val="20"/>
        </w:trPr>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39"/>
        </w:trPr>
        <w:tc>
          <w:tcPr>
            <w:tcW w:w="480" w:type="dxa"/>
            <w:vAlign w:val="bottom"/>
          </w:tcPr>
          <w:p>
            <w:pPr>
              <w:spacing w:after="0"/>
              <w:rPr>
                <w:sz w:val="20"/>
                <w:szCs w:val="20"/>
                <w:color w:val="auto"/>
              </w:rPr>
            </w:pPr>
          </w:p>
        </w:tc>
        <w:tc>
          <w:tcPr>
            <w:tcW w:w="10860" w:type="dxa"/>
            <w:vAlign w:val="bottom"/>
            <w:gridSpan w:val="9"/>
          </w:tcPr>
          <w:p>
            <w:pPr>
              <w:ind w:left="320"/>
              <w:spacing w:after="0" w:line="239" w:lineRule="exact"/>
              <w:rPr>
                <w:sz w:val="20"/>
                <w:szCs w:val="20"/>
                <w:color w:val="auto"/>
              </w:rPr>
            </w:pPr>
            <w:r>
              <w:rPr>
                <w:rFonts w:ascii="Arial" w:cs="Arial" w:eastAsia="Arial" w:hAnsi="Arial"/>
                <w:sz w:val="21"/>
                <w:szCs w:val="21"/>
                <w:color w:val="auto"/>
                <w:w w:val="93"/>
              </w:rPr>
              <w:t>promote the interests of the Corporation, its subsidiaries, and its stockholders by strengthening the Corporation’s ability to</w:t>
            </w:r>
          </w:p>
        </w:tc>
      </w:tr>
      <w:tr>
        <w:trPr>
          <w:trHeight w:val="240"/>
        </w:trPr>
        <w:tc>
          <w:tcPr>
            <w:tcW w:w="480" w:type="dxa"/>
            <w:vAlign w:val="bottom"/>
          </w:tcPr>
          <w:p>
            <w:pPr>
              <w:spacing w:after="0"/>
              <w:rPr>
                <w:sz w:val="20"/>
                <w:szCs w:val="20"/>
                <w:color w:val="auto"/>
              </w:rPr>
            </w:pPr>
          </w:p>
        </w:tc>
        <w:tc>
          <w:tcPr>
            <w:tcW w:w="10860" w:type="dxa"/>
            <w:vAlign w:val="bottom"/>
            <w:gridSpan w:val="9"/>
          </w:tcPr>
          <w:p>
            <w:pPr>
              <w:jc w:val="right"/>
              <w:spacing w:after="0" w:line="240" w:lineRule="exact"/>
              <w:rPr>
                <w:sz w:val="20"/>
                <w:szCs w:val="20"/>
                <w:color w:val="auto"/>
              </w:rPr>
            </w:pPr>
            <w:r>
              <w:rPr>
                <w:rFonts w:ascii="Arial" w:cs="Arial" w:eastAsia="Arial" w:hAnsi="Arial"/>
                <w:sz w:val="21"/>
                <w:szCs w:val="21"/>
                <w:color w:val="auto"/>
                <w:w w:val="98"/>
              </w:rPr>
              <w:t>attract and retain directors of experience and ability by (a) allowing them to acquire additional shares of Common Stock</w:t>
            </w:r>
          </w:p>
        </w:tc>
      </w:tr>
      <w:tr>
        <w:trPr>
          <w:trHeight w:val="240"/>
        </w:trPr>
        <w:tc>
          <w:tcPr>
            <w:tcW w:w="480" w:type="dxa"/>
            <w:vAlign w:val="bottom"/>
          </w:tcPr>
          <w:p>
            <w:pPr>
              <w:spacing w:after="0"/>
              <w:rPr>
                <w:sz w:val="20"/>
                <w:szCs w:val="20"/>
                <w:color w:val="auto"/>
              </w:rPr>
            </w:pPr>
          </w:p>
        </w:tc>
        <w:tc>
          <w:tcPr>
            <w:tcW w:w="10860" w:type="dxa"/>
            <w:vAlign w:val="bottom"/>
            <w:gridSpan w:val="9"/>
          </w:tcPr>
          <w:p>
            <w:pPr>
              <w:jc w:val="right"/>
              <w:spacing w:after="0" w:line="240" w:lineRule="exact"/>
              <w:rPr>
                <w:sz w:val="20"/>
                <w:szCs w:val="20"/>
                <w:color w:val="auto"/>
              </w:rPr>
            </w:pPr>
            <w:r>
              <w:rPr>
                <w:rFonts w:ascii="Arial" w:cs="Arial" w:eastAsia="Arial" w:hAnsi="Arial"/>
                <w:sz w:val="21"/>
                <w:szCs w:val="21"/>
                <w:color w:val="auto"/>
              </w:rPr>
              <w:t>and (b) providing them with tax deferral opportunities.  Capitalized terms used but not defined in this Plan have the</w:t>
            </w:r>
          </w:p>
        </w:tc>
      </w:tr>
      <w:tr>
        <w:trPr>
          <w:trHeight w:val="272"/>
        </w:trPr>
        <w:tc>
          <w:tcPr>
            <w:tcW w:w="480" w:type="dxa"/>
            <w:vAlign w:val="bottom"/>
          </w:tcPr>
          <w:p>
            <w:pPr>
              <w:spacing w:after="0"/>
              <w:rPr>
                <w:sz w:val="23"/>
                <w:szCs w:val="23"/>
                <w:color w:val="auto"/>
              </w:rPr>
            </w:pPr>
          </w:p>
        </w:tc>
        <w:tc>
          <w:tcPr>
            <w:tcW w:w="10860" w:type="dxa"/>
            <w:vAlign w:val="bottom"/>
            <w:gridSpan w:val="9"/>
          </w:tcPr>
          <w:p>
            <w:pPr>
              <w:ind w:left="320"/>
              <w:spacing w:after="0"/>
              <w:rPr>
                <w:sz w:val="20"/>
                <w:szCs w:val="20"/>
                <w:color w:val="auto"/>
              </w:rPr>
            </w:pPr>
            <w:r>
              <w:rPr>
                <w:rFonts w:ascii="Arial" w:cs="Arial" w:eastAsia="Arial" w:hAnsi="Arial"/>
                <w:sz w:val="21"/>
                <w:szCs w:val="21"/>
                <w:color w:val="auto"/>
              </w:rPr>
              <w:t>respective meanings provided in the Appendix.</w:t>
            </w:r>
          </w:p>
        </w:tc>
      </w:tr>
      <w:tr>
        <w:trPr>
          <w:trHeight w:val="403"/>
        </w:trPr>
        <w:tc>
          <w:tcPr>
            <w:tcW w:w="480" w:type="dxa"/>
            <w:vAlign w:val="bottom"/>
          </w:tcPr>
          <w:p>
            <w:pPr>
              <w:jc w:val="right"/>
              <w:ind w:right="213"/>
              <w:spacing w:after="0"/>
              <w:rPr>
                <w:sz w:val="20"/>
                <w:szCs w:val="20"/>
                <w:color w:val="auto"/>
              </w:rPr>
            </w:pPr>
            <w:r>
              <w:rPr>
                <w:rFonts w:ascii="Arial" w:cs="Arial" w:eastAsia="Arial" w:hAnsi="Arial"/>
                <w:sz w:val="21"/>
                <w:szCs w:val="21"/>
                <w:color w:val="auto"/>
                <w:w w:val="79"/>
              </w:rPr>
              <w:t>2.</w:t>
            </w:r>
          </w:p>
        </w:tc>
        <w:tc>
          <w:tcPr>
            <w:tcW w:w="112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Arial" w:cs="Arial" w:eastAsia="Arial" w:hAnsi="Arial"/>
                <w:sz w:val="21"/>
                <w:szCs w:val="21"/>
                <w:color w:val="auto"/>
              </w:rPr>
              <w:t>Administration.</w:t>
            </w: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33"/>
        </w:trPr>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Borders>
              <w:top w:val="single" w:sz="8" w:color="auto"/>
            </w:tcBorders>
          </w:tcPr>
          <w:p>
            <w:pPr>
              <w:jc w:val="right"/>
              <w:ind w:right="253"/>
              <w:spacing w:after="0"/>
              <w:rPr>
                <w:sz w:val="20"/>
                <w:szCs w:val="20"/>
                <w:color w:val="auto"/>
              </w:rPr>
            </w:pPr>
            <w:r>
              <w:rPr>
                <w:rFonts w:ascii="Arial" w:cs="Arial" w:eastAsia="Arial" w:hAnsi="Arial"/>
                <w:sz w:val="21"/>
                <w:szCs w:val="21"/>
                <w:color w:val="auto"/>
              </w:rPr>
              <w:t>2.1</w:t>
            </w: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80" w:type="dxa"/>
            <w:vAlign w:val="bottom"/>
            <w:gridSpan w:val="4"/>
          </w:tcPr>
          <w:p>
            <w:pPr>
              <w:jc w:val="right"/>
              <w:spacing w:after="0"/>
              <w:rPr>
                <w:sz w:val="20"/>
                <w:szCs w:val="20"/>
                <w:color w:val="auto"/>
              </w:rPr>
            </w:pPr>
            <w:r>
              <w:rPr>
                <w:rFonts w:ascii="Arial" w:cs="Arial" w:eastAsia="Arial" w:hAnsi="Arial"/>
                <w:sz w:val="21"/>
                <w:szCs w:val="21"/>
                <w:color w:val="auto"/>
                <w:w w:val="95"/>
              </w:rPr>
              <w:t>Administrator. The Plan will be administered by the Committee, which has the power</w:t>
            </w:r>
          </w:p>
        </w:tc>
      </w:tr>
      <w:tr>
        <w:trPr>
          <w:trHeight w:val="20"/>
        </w:trPr>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5"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 xml:space="preserve">to interpret the Plan and, subject to its provisions, to prescribe, amend, and rescind Plan rules and to make all determinations necessary for the Plan’s administration. Notwithstanding the foregoing, the Board has the authority to amend, discontinue, or terminate the Plan as provided in </w:t>
      </w:r>
      <w:r>
        <w:rPr>
          <w:rFonts w:ascii="Arial" w:cs="Arial" w:eastAsia="Arial" w:hAnsi="Arial"/>
          <w:sz w:val="21"/>
          <w:szCs w:val="21"/>
          <w:u w:val="single" w:color="auto"/>
          <w:color w:val="auto"/>
        </w:rPr>
        <w:t>Section 7</w:t>
      </w:r>
      <w:r>
        <w:rPr>
          <w:rFonts w:ascii="Arial" w:cs="Arial" w:eastAsia="Arial" w:hAnsi="Arial"/>
          <w:sz w:val="21"/>
          <w:szCs w:val="21"/>
          <w:color w:val="auto"/>
        </w:rPr>
        <w:t>.</w:t>
      </w:r>
    </w:p>
    <w:p>
      <w:pPr>
        <w:spacing w:after="0" w:line="170" w:lineRule="exact"/>
        <w:rPr>
          <w:sz w:val="20"/>
          <w:szCs w:val="20"/>
          <w:color w:val="auto"/>
        </w:rPr>
      </w:pPr>
    </w:p>
    <w:p>
      <w:pPr>
        <w:jc w:val="both"/>
        <w:ind w:firstLine="1755"/>
        <w:spacing w:after="0" w:line="272"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u w:val="single" w:color="auto"/>
          <w:color w:val="auto"/>
        </w:rPr>
        <w:t>Authority and Limitation of Liability</w:t>
      </w:r>
      <w:r>
        <w:rPr>
          <w:rFonts w:ascii="Arial" w:cs="Arial" w:eastAsia="Arial" w:hAnsi="Arial"/>
          <w:sz w:val="20"/>
          <w:szCs w:val="20"/>
          <w:color w:val="auto"/>
        </w:rPr>
        <w:t>. All action taken by the Committee or the Board in the administration and interpretation of the Plan will be final and binding upon all parties. No member of the Committee or the Board will be liable for any action or determination made in good faith by the Committee or the Board with respect to the Plan.</w:t>
      </w:r>
    </w:p>
    <w:p>
      <w:pPr>
        <w:spacing w:after="0" w:line="152"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1"/>
          <w:szCs w:val="21"/>
          <w:color w:val="auto"/>
        </w:rPr>
        <w:t xml:space="preserve">2.3 </w:t>
      </w:r>
      <w:r>
        <w:rPr>
          <w:rFonts w:ascii="Arial" w:cs="Arial" w:eastAsia="Arial" w:hAnsi="Arial"/>
          <w:sz w:val="21"/>
          <w:szCs w:val="21"/>
          <w:u w:val="single" w:color="auto"/>
          <w:color w:val="auto"/>
        </w:rPr>
        <w:t>Delegation</w:t>
      </w:r>
      <w:r>
        <w:rPr>
          <w:rFonts w:ascii="Arial" w:cs="Arial" w:eastAsia="Arial" w:hAnsi="Arial"/>
          <w:sz w:val="21"/>
          <w:szCs w:val="21"/>
          <w:color w:val="auto"/>
        </w:rPr>
        <w:t>. The Committee may delegate any of its administrative duties and powers to any officer or employee of the Corporation or its subsidiaries as it deems appropriate, except for any duties that may not be delegated pursuant to applicable law or regulation. In administering the Plan, the Committee may employ attorneys, consultants, accountants, or other persons, and the Corporation and the Committee will be entitled to rely on the advice or opinions of such persons. All ordinary and reasonable expenses of the Plan will be paid by the Corporation.</w:t>
      </w:r>
    </w:p>
    <w:p>
      <w:pPr>
        <w:spacing w:after="0" w:line="176" w:lineRule="exact"/>
        <w:rPr>
          <w:sz w:val="20"/>
          <w:szCs w:val="20"/>
          <w:color w:val="auto"/>
        </w:rPr>
      </w:pPr>
    </w:p>
    <w:p>
      <w:pPr>
        <w:jc w:val="both"/>
        <w:ind w:firstLine="1755"/>
        <w:spacing w:after="0" w:line="253" w:lineRule="auto"/>
        <w:rPr>
          <w:sz w:val="20"/>
          <w:szCs w:val="20"/>
          <w:color w:val="auto"/>
        </w:rPr>
      </w:pPr>
      <w:r>
        <w:rPr>
          <w:rFonts w:ascii="Arial" w:cs="Arial" w:eastAsia="Arial" w:hAnsi="Arial"/>
          <w:sz w:val="21"/>
          <w:szCs w:val="21"/>
          <w:color w:val="auto"/>
        </w:rPr>
        <w:t xml:space="preserve">2.4 </w:t>
      </w:r>
      <w:r>
        <w:rPr>
          <w:rFonts w:ascii="Arial" w:cs="Arial" w:eastAsia="Arial" w:hAnsi="Arial"/>
          <w:sz w:val="21"/>
          <w:szCs w:val="21"/>
          <w:u w:val="single" w:color="auto"/>
          <w:color w:val="auto"/>
        </w:rPr>
        <w:t>Source of Shares</w:t>
      </w:r>
      <w:r>
        <w:rPr>
          <w:rFonts w:ascii="Arial" w:cs="Arial" w:eastAsia="Arial" w:hAnsi="Arial"/>
          <w:sz w:val="21"/>
          <w:szCs w:val="21"/>
          <w:color w:val="auto"/>
        </w:rPr>
        <w:t>. This Plan does not constitute a separate source of shares of Common Stock. All grants of RSUs and issuance of shares of Common Stock in settlement of DSUs under this Plan will be made under, and subject to all of the terms and conditions of, the applicable LTIP, which is incorporated by reference into this Plan.</w:t>
      </w:r>
    </w:p>
    <w:p>
      <w:pPr>
        <w:spacing w:after="0" w:line="150" w:lineRule="exact"/>
        <w:rPr>
          <w:sz w:val="20"/>
          <w:szCs w:val="20"/>
          <w:color w:val="auto"/>
        </w:rPr>
      </w:pPr>
    </w:p>
    <w:tbl>
      <w:tblPr>
        <w:tblLayout w:type="fixed"/>
        <w:tblInd w:w="80" w:type="dxa"/>
        <w:tblCellMar>
          <w:top w:w="0" w:type="dxa"/>
          <w:left w:w="0" w:type="dxa"/>
          <w:bottom w:w="0" w:type="dxa"/>
          <w:right w:w="0" w:type="dxa"/>
        </w:tblCellMar>
      </w:tblPr>
      <w:tr>
        <w:trPr>
          <w:trHeight w:val="241"/>
        </w:trPr>
        <w:tc>
          <w:tcPr>
            <w:tcW w:w="1600" w:type="dxa"/>
            <w:vAlign w:val="bottom"/>
          </w:tcPr>
          <w:p>
            <w:pPr>
              <w:jc w:val="right"/>
              <w:ind w:right="1333"/>
              <w:spacing w:after="0"/>
              <w:rPr>
                <w:sz w:val="20"/>
                <w:szCs w:val="20"/>
                <w:color w:val="auto"/>
              </w:rPr>
            </w:pPr>
            <w:r>
              <w:rPr>
                <w:rFonts w:ascii="Arial" w:cs="Arial" w:eastAsia="Arial" w:hAnsi="Arial"/>
                <w:sz w:val="21"/>
                <w:szCs w:val="21"/>
                <w:color w:val="auto"/>
                <w:w w:val="79"/>
              </w:rPr>
              <w:t>3.</w:t>
            </w:r>
          </w:p>
        </w:tc>
        <w:tc>
          <w:tcPr>
            <w:tcW w:w="2260" w:type="dxa"/>
            <w:vAlign w:val="bottom"/>
            <w:gridSpan w:val="2"/>
          </w:tcPr>
          <w:p>
            <w:pPr>
              <w:spacing w:after="0"/>
              <w:rPr>
                <w:sz w:val="20"/>
                <w:szCs w:val="20"/>
                <w:color w:val="auto"/>
              </w:rPr>
            </w:pPr>
            <w:r>
              <w:rPr>
                <w:rFonts w:ascii="Arial" w:cs="Arial" w:eastAsia="Arial" w:hAnsi="Arial"/>
                <w:sz w:val="21"/>
                <w:szCs w:val="21"/>
                <w:color w:val="auto"/>
              </w:rPr>
              <w:t>Deferral Elections.</w:t>
            </w:r>
          </w:p>
        </w:tc>
        <w:tc>
          <w:tcPr>
            <w:tcW w:w="1100" w:type="dxa"/>
            <w:vAlign w:val="bottom"/>
          </w:tcPr>
          <w:p>
            <w:pPr>
              <w:spacing w:after="0"/>
              <w:rPr>
                <w:sz w:val="20"/>
                <w:szCs w:val="20"/>
                <w:color w:val="auto"/>
              </w:rPr>
            </w:pPr>
          </w:p>
        </w:tc>
        <w:tc>
          <w:tcPr>
            <w:tcW w:w="6380" w:type="dxa"/>
            <w:vAlign w:val="bottom"/>
          </w:tcPr>
          <w:p>
            <w:pPr>
              <w:spacing w:after="0"/>
              <w:rPr>
                <w:sz w:val="20"/>
                <w:szCs w:val="20"/>
                <w:color w:val="auto"/>
              </w:rPr>
            </w:pPr>
          </w:p>
        </w:tc>
      </w:tr>
      <w:tr>
        <w:trPr>
          <w:trHeight w:val="433"/>
        </w:trPr>
        <w:tc>
          <w:tcPr>
            <w:tcW w:w="1600" w:type="dxa"/>
            <w:vAlign w:val="bottom"/>
          </w:tcPr>
          <w:p>
            <w:pPr>
              <w:spacing w:after="0"/>
              <w:rPr>
                <w:sz w:val="24"/>
                <w:szCs w:val="24"/>
                <w:color w:val="auto"/>
              </w:rPr>
            </w:pPr>
          </w:p>
        </w:tc>
        <w:tc>
          <w:tcPr>
            <w:tcW w:w="1560" w:type="dxa"/>
            <w:vAlign w:val="bottom"/>
            <w:tcBorders>
              <w:top w:val="single" w:sz="8" w:color="auto"/>
            </w:tcBorders>
          </w:tcPr>
          <w:p>
            <w:pPr>
              <w:jc w:val="right"/>
              <w:ind w:right="1113"/>
              <w:spacing w:after="0"/>
              <w:rPr>
                <w:sz w:val="20"/>
                <w:szCs w:val="20"/>
                <w:color w:val="auto"/>
              </w:rPr>
            </w:pPr>
            <w:r>
              <w:rPr>
                <w:rFonts w:ascii="Arial" w:cs="Arial" w:eastAsia="Arial" w:hAnsi="Arial"/>
                <w:sz w:val="21"/>
                <w:szCs w:val="21"/>
                <w:color w:val="auto"/>
              </w:rPr>
              <w:t>3.1</w:t>
            </w:r>
          </w:p>
        </w:tc>
        <w:tc>
          <w:tcPr>
            <w:tcW w:w="700" w:type="dxa"/>
            <w:vAlign w:val="bottom"/>
          </w:tcPr>
          <w:p>
            <w:pPr>
              <w:spacing w:after="0"/>
              <w:rPr>
                <w:sz w:val="24"/>
                <w:szCs w:val="24"/>
                <w:color w:val="auto"/>
              </w:rPr>
            </w:pPr>
          </w:p>
        </w:tc>
        <w:tc>
          <w:tcPr>
            <w:tcW w:w="7480" w:type="dxa"/>
            <w:vAlign w:val="bottom"/>
            <w:gridSpan w:val="2"/>
          </w:tcPr>
          <w:p>
            <w:pPr>
              <w:spacing w:after="0"/>
              <w:rPr>
                <w:sz w:val="20"/>
                <w:szCs w:val="20"/>
                <w:color w:val="auto"/>
              </w:rPr>
            </w:pPr>
            <w:r>
              <w:rPr>
                <w:rFonts w:ascii="Arial" w:cs="Arial" w:eastAsia="Arial" w:hAnsi="Arial"/>
                <w:sz w:val="21"/>
                <w:szCs w:val="21"/>
                <w:color w:val="auto"/>
                <w:w w:val="97"/>
              </w:rPr>
              <w:t>Participation.  Participation in the Plan is voluntary.  Directors may elect to become</w:t>
            </w:r>
          </w:p>
        </w:tc>
      </w:tr>
      <w:tr>
        <w:trPr>
          <w:trHeight w:val="20"/>
        </w:trPr>
        <w:tc>
          <w:tcPr>
            <w:tcW w:w="1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r>
    </w:tbl>
    <w:p>
      <w:pPr>
        <w:spacing w:after="0" w:line="5"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 xml:space="preserve">Participants and to defer receipt of Cash Compensation or RSU Awards by filing an Election Form with the Committee or its designee as provided in this </w:t>
      </w:r>
      <w:r>
        <w:rPr>
          <w:rFonts w:ascii="Arial" w:cs="Arial" w:eastAsia="Arial" w:hAnsi="Arial"/>
          <w:sz w:val="21"/>
          <w:szCs w:val="21"/>
          <w:u w:val="single" w:color="auto"/>
          <w:color w:val="auto"/>
        </w:rPr>
        <w:t>Section 3</w:t>
      </w:r>
      <w:r>
        <w:rPr>
          <w:rFonts w:ascii="Arial" w:cs="Arial" w:eastAsia="Arial" w:hAnsi="Arial"/>
          <w:sz w:val="21"/>
          <w:szCs w:val="21"/>
          <w:color w:val="auto"/>
        </w:rPr>
        <w:t xml:space="preserve">. Each Participant’s Election Form will remain in effect unless and until superseded or revoked as provided in </w:t>
      </w:r>
      <w:r>
        <w:rPr>
          <w:rFonts w:ascii="Arial" w:cs="Arial" w:eastAsia="Arial" w:hAnsi="Arial"/>
          <w:sz w:val="21"/>
          <w:szCs w:val="21"/>
          <w:u w:val="single" w:color="auto"/>
          <w:color w:val="auto"/>
        </w:rPr>
        <w:t>Section 3.7</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108585</wp:posOffset>
            </wp:positionV>
            <wp:extent cx="729043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07" w:name="page108"/>
    <w:bookmarkEnd w:id="107"/>
    <w:p>
      <w:pPr>
        <w:ind w:left="1760"/>
        <w:spacing w:after="0"/>
        <w:tabs>
          <w:tab w:leader="none" w:pos="3920" w:val="left"/>
        </w:tabs>
        <w:rPr>
          <w:sz w:val="20"/>
          <w:szCs w:val="20"/>
          <w:color w:val="auto"/>
        </w:rPr>
      </w:pPr>
      <w:r>
        <w:rPr>
          <w:rFonts w:ascii="Arial" w:cs="Arial" w:eastAsia="Arial" w:hAnsi="Arial"/>
          <w:sz w:val="21"/>
          <w:szCs w:val="21"/>
          <w:color w:val="auto"/>
        </w:rPr>
        <w:t>3.2</w:t>
      </w:r>
      <w:r>
        <w:rPr>
          <w:sz w:val="20"/>
          <w:szCs w:val="20"/>
          <w:color w:val="auto"/>
        </w:rPr>
        <w:tab/>
      </w:r>
      <w:r>
        <w:rPr>
          <w:rFonts w:ascii="Arial" w:cs="Arial" w:eastAsia="Arial" w:hAnsi="Arial"/>
          <w:sz w:val="19"/>
          <w:szCs w:val="19"/>
          <w:u w:val="single" w:color="auto"/>
          <w:color w:val="auto"/>
        </w:rPr>
        <w:t>Deferral of Cash Compensation; Conversion to RSUs</w:t>
      </w:r>
      <w:r>
        <w:rPr>
          <w:rFonts w:ascii="Arial" w:cs="Arial" w:eastAsia="Arial" w:hAnsi="Arial"/>
          <w:sz w:val="19"/>
          <w:szCs w:val="19"/>
          <w:color w:val="auto"/>
        </w:rPr>
        <w:t>. Subject to the other terms and</w:t>
      </w:r>
    </w:p>
    <w:p>
      <w:pPr>
        <w:spacing w:after="0" w:line="17"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conditions of this Plan, a Participant may elect to defer up to a total of 100% of his or her Cash Compensation for a given Plan Year under the Plan, expressed as either a dollar amount or a percentage of the Participant’s Cash Compensation for such Plan Year (a “</w:t>
      </w:r>
      <w:r>
        <w:rPr>
          <w:rFonts w:ascii="Arial" w:cs="Arial" w:eastAsia="Arial" w:hAnsi="Arial"/>
          <w:sz w:val="20"/>
          <w:szCs w:val="20"/>
          <w:u w:val="single" w:color="auto"/>
          <w:color w:val="auto"/>
        </w:rPr>
        <w:t>Cash Deferral</w:t>
      </w:r>
      <w:r>
        <w:rPr>
          <w:rFonts w:ascii="Arial" w:cs="Arial" w:eastAsia="Arial" w:hAnsi="Arial"/>
          <w:sz w:val="20"/>
          <w:szCs w:val="20"/>
          <w:color w:val="auto"/>
        </w:rPr>
        <w:t>”). If expressed as a percentage, the Cash Deferral will be deducted from each payment made during the year. If expressed as a dollar amount, the Cash Deferral will be deducted from the earliest amounts earned as Cash Compensation. Effective as of the Deferral Date, each Cash Deferral will be converted into a number of fully-vested RSUs, issued under the Corporation’s then-current LTIP, by dividing the dollar value of the Cash Deferral by the closing price of a share of Common Stock on the Deferral Date (or through another valuation method approved by the Committee and consistent with the definition of Fair Market Value), rounded up to the next whole share (the “</w:t>
      </w:r>
      <w:r>
        <w:rPr>
          <w:rFonts w:ascii="Arial" w:cs="Arial" w:eastAsia="Arial" w:hAnsi="Arial"/>
          <w:sz w:val="20"/>
          <w:szCs w:val="20"/>
          <w:u w:val="single" w:color="auto"/>
          <w:color w:val="auto"/>
        </w:rPr>
        <w:t>Converted RSUs</w:t>
      </w:r>
      <w:r>
        <w:rPr>
          <w:rFonts w:ascii="Arial" w:cs="Arial" w:eastAsia="Arial" w:hAnsi="Arial"/>
          <w:sz w:val="20"/>
          <w:szCs w:val="20"/>
          <w:color w:val="auto"/>
        </w:rPr>
        <w:t>”).</w:t>
      </w:r>
    </w:p>
    <w:p>
      <w:pPr>
        <w:spacing w:after="0" w:line="168" w:lineRule="exact"/>
        <w:rPr>
          <w:sz w:val="20"/>
          <w:szCs w:val="20"/>
          <w:color w:val="auto"/>
        </w:rPr>
      </w:pPr>
    </w:p>
    <w:p>
      <w:pPr>
        <w:jc w:val="both"/>
        <w:ind w:firstLine="1755"/>
        <w:spacing w:after="0" w:line="253" w:lineRule="auto"/>
        <w:rPr>
          <w:sz w:val="20"/>
          <w:szCs w:val="20"/>
          <w:color w:val="auto"/>
        </w:rPr>
      </w:pPr>
      <w:r>
        <w:rPr>
          <w:rFonts w:ascii="Arial" w:cs="Arial" w:eastAsia="Arial" w:hAnsi="Arial"/>
          <w:sz w:val="21"/>
          <w:szCs w:val="21"/>
          <w:color w:val="auto"/>
        </w:rPr>
        <w:t xml:space="preserve">3.3 </w:t>
      </w:r>
      <w:r>
        <w:rPr>
          <w:rFonts w:ascii="Arial" w:cs="Arial" w:eastAsia="Arial" w:hAnsi="Arial"/>
          <w:sz w:val="21"/>
          <w:szCs w:val="21"/>
          <w:u w:val="single" w:color="auto"/>
          <w:color w:val="auto"/>
        </w:rPr>
        <w:t>Deferral of RSU Awards</w:t>
      </w:r>
      <w:r>
        <w:rPr>
          <w:rFonts w:ascii="Arial" w:cs="Arial" w:eastAsia="Arial" w:hAnsi="Arial"/>
          <w:sz w:val="21"/>
          <w:szCs w:val="21"/>
          <w:color w:val="auto"/>
        </w:rPr>
        <w:t>. Subject to the other terms and conditions of this Plan, a Participant may elect to defer the receipt of all or a portion of the shares of Common Stock that he or she is entitled to receive in connection with the payout of a RSU Award (“</w:t>
      </w:r>
      <w:r>
        <w:rPr>
          <w:rFonts w:ascii="Arial" w:cs="Arial" w:eastAsia="Arial" w:hAnsi="Arial"/>
          <w:sz w:val="21"/>
          <w:szCs w:val="21"/>
          <w:u w:val="single" w:color="auto"/>
          <w:color w:val="auto"/>
        </w:rPr>
        <w:t>Deferred RSUs</w:t>
      </w:r>
      <w:r>
        <w:rPr>
          <w:rFonts w:ascii="Arial" w:cs="Arial" w:eastAsia="Arial" w:hAnsi="Arial"/>
          <w:sz w:val="21"/>
          <w:szCs w:val="21"/>
          <w:color w:val="auto"/>
        </w:rPr>
        <w:t>” and, together with the Converted RSUs, the “</w:t>
      </w:r>
      <w:r>
        <w:rPr>
          <w:rFonts w:ascii="Arial" w:cs="Arial" w:eastAsia="Arial" w:hAnsi="Arial"/>
          <w:sz w:val="21"/>
          <w:szCs w:val="21"/>
          <w:u w:val="single" w:color="auto"/>
          <w:color w:val="auto"/>
        </w:rPr>
        <w:t>DSUs</w:t>
      </w:r>
      <w:r>
        <w:rPr>
          <w:rFonts w:ascii="Arial" w:cs="Arial" w:eastAsia="Arial" w:hAnsi="Arial"/>
          <w:sz w:val="21"/>
          <w:szCs w:val="21"/>
          <w:color w:val="auto"/>
        </w:rPr>
        <w:t>”).</w:t>
      </w:r>
    </w:p>
    <w:p>
      <w:pPr>
        <w:spacing w:after="0" w:line="170" w:lineRule="exact"/>
        <w:rPr>
          <w:sz w:val="20"/>
          <w:szCs w:val="20"/>
          <w:color w:val="auto"/>
        </w:rPr>
      </w:pPr>
    </w:p>
    <w:p>
      <w:pPr>
        <w:jc w:val="both"/>
        <w:ind w:firstLine="1755"/>
        <w:spacing w:after="0" w:line="261" w:lineRule="auto"/>
        <w:rPr>
          <w:sz w:val="20"/>
          <w:szCs w:val="20"/>
          <w:color w:val="auto"/>
        </w:rPr>
      </w:pPr>
      <w:r>
        <w:rPr>
          <w:rFonts w:ascii="Arial" w:cs="Arial" w:eastAsia="Arial" w:hAnsi="Arial"/>
          <w:sz w:val="20"/>
          <w:szCs w:val="20"/>
          <w:color w:val="auto"/>
        </w:rPr>
        <w:t xml:space="preserve">3.4 </w:t>
      </w:r>
      <w:r>
        <w:rPr>
          <w:rFonts w:ascii="Arial" w:cs="Arial" w:eastAsia="Arial" w:hAnsi="Arial"/>
          <w:sz w:val="20"/>
          <w:szCs w:val="20"/>
          <w:u w:val="single" w:color="auto"/>
          <w:color w:val="auto"/>
        </w:rPr>
        <w:t>Deferral Options</w:t>
      </w:r>
      <w:r>
        <w:rPr>
          <w:rFonts w:ascii="Arial" w:cs="Arial" w:eastAsia="Arial" w:hAnsi="Arial"/>
          <w:sz w:val="20"/>
          <w:szCs w:val="20"/>
          <w:color w:val="auto"/>
        </w:rPr>
        <w:t xml:space="preserve">. Subject to the terms and conditions of this Plan, each DSU represents the right to receive from the Corporation one share of Common Stock under the applicable LTIP and any related Account balance as provided in </w:t>
      </w:r>
      <w:r>
        <w:rPr>
          <w:rFonts w:ascii="Arial" w:cs="Arial" w:eastAsia="Arial" w:hAnsi="Arial"/>
          <w:sz w:val="20"/>
          <w:szCs w:val="20"/>
          <w:u w:val="single" w:color="auto"/>
          <w:color w:val="auto"/>
        </w:rPr>
        <w:t>Section 4</w:t>
      </w:r>
      <w:r>
        <w:rPr>
          <w:rFonts w:ascii="Arial" w:cs="Arial" w:eastAsia="Arial" w:hAnsi="Arial"/>
          <w:sz w:val="20"/>
          <w:szCs w:val="20"/>
          <w:color w:val="auto"/>
        </w:rPr>
        <w:t xml:space="preserve">. As provided in </w:t>
      </w:r>
      <w:r>
        <w:rPr>
          <w:rFonts w:ascii="Arial" w:cs="Arial" w:eastAsia="Arial" w:hAnsi="Arial"/>
          <w:sz w:val="20"/>
          <w:szCs w:val="20"/>
          <w:u w:val="single" w:color="auto"/>
          <w:color w:val="auto"/>
        </w:rPr>
        <w:t>Section 5</w:t>
      </w:r>
      <w:r>
        <w:rPr>
          <w:rFonts w:ascii="Arial" w:cs="Arial" w:eastAsia="Arial" w:hAnsi="Arial"/>
          <w:sz w:val="20"/>
          <w:szCs w:val="20"/>
          <w:color w:val="auto"/>
        </w:rPr>
        <w:t>, settlement and payout of DSUs will occur on the earliest to occur of (a) the Trigger Date selected by the Participant on the applicable Election Form; (b) a Change in Control; (c) the date of Participant’s death or departure from service on the Board due to Disability; or (d) the tenth anniversary of the Participant’s Service End Date.</w:t>
      </w:r>
    </w:p>
    <w:p>
      <w:pPr>
        <w:spacing w:after="0" w:line="163" w:lineRule="exact"/>
        <w:rPr>
          <w:sz w:val="20"/>
          <w:szCs w:val="20"/>
          <w:color w:val="auto"/>
        </w:rPr>
      </w:pPr>
    </w:p>
    <w:p>
      <w:pPr>
        <w:jc w:val="both"/>
        <w:ind w:firstLine="1755"/>
        <w:spacing w:after="0" w:line="244" w:lineRule="auto"/>
        <w:rPr>
          <w:sz w:val="20"/>
          <w:szCs w:val="20"/>
          <w:color w:val="auto"/>
        </w:rPr>
      </w:pPr>
      <w:r>
        <w:rPr>
          <w:rFonts w:ascii="Arial" w:cs="Arial" w:eastAsia="Arial" w:hAnsi="Arial"/>
          <w:sz w:val="21"/>
          <w:szCs w:val="21"/>
          <w:color w:val="auto"/>
        </w:rPr>
        <w:t xml:space="preserve">3.5 </w:t>
      </w:r>
      <w:r>
        <w:rPr>
          <w:rFonts w:ascii="Arial" w:cs="Arial" w:eastAsia="Arial" w:hAnsi="Arial"/>
          <w:sz w:val="21"/>
          <w:szCs w:val="21"/>
          <w:u w:val="single" w:color="auto"/>
          <w:color w:val="auto"/>
        </w:rPr>
        <w:t>Election Timing and Effective Dates</w:t>
      </w:r>
      <w:r>
        <w:rPr>
          <w:rFonts w:ascii="Arial" w:cs="Arial" w:eastAsia="Arial" w:hAnsi="Arial"/>
          <w:sz w:val="21"/>
          <w:szCs w:val="21"/>
          <w:color w:val="auto"/>
        </w:rPr>
        <w:t>. An Election Form must be filed prior to December 31 of the year immediately preceding the Plan Year for which it is effective or by such earlier deadline as the Committee may prescribe. Notwithstanding the foregoing, to the extent permitted by Code Section 409A, a Director who first becomes eligible to participate in the Plan (including any other plan that is required to be treated as a single plan with the Plan under Code Section 409A) may file an Election Form during the first 30 days of such eligibility; provided that such Election Form will apply only to compensation earned for the period following the date on which such Election Form is filed.</w:t>
      </w:r>
    </w:p>
    <w:p>
      <w:pPr>
        <w:spacing w:after="0" w:line="180" w:lineRule="exact"/>
        <w:rPr>
          <w:sz w:val="20"/>
          <w:szCs w:val="20"/>
          <w:color w:val="auto"/>
        </w:rPr>
      </w:pPr>
    </w:p>
    <w:p>
      <w:pPr>
        <w:jc w:val="both"/>
        <w:ind w:firstLine="1755"/>
        <w:spacing w:after="0" w:line="244" w:lineRule="auto"/>
        <w:rPr>
          <w:sz w:val="20"/>
          <w:szCs w:val="20"/>
          <w:color w:val="auto"/>
        </w:rPr>
      </w:pPr>
      <w:r>
        <w:rPr>
          <w:rFonts w:ascii="Arial" w:cs="Arial" w:eastAsia="Arial" w:hAnsi="Arial"/>
          <w:sz w:val="21"/>
          <w:szCs w:val="21"/>
          <w:color w:val="auto"/>
        </w:rPr>
        <w:t xml:space="preserve">3.6 </w:t>
      </w:r>
      <w:r>
        <w:rPr>
          <w:rFonts w:ascii="Arial" w:cs="Arial" w:eastAsia="Arial" w:hAnsi="Arial"/>
          <w:sz w:val="21"/>
          <w:szCs w:val="21"/>
          <w:u w:val="single" w:color="auto"/>
          <w:color w:val="auto"/>
        </w:rPr>
        <w:t>Contents of Election Forms</w:t>
      </w:r>
      <w:r>
        <w:rPr>
          <w:rFonts w:ascii="Arial" w:cs="Arial" w:eastAsia="Arial" w:hAnsi="Arial"/>
          <w:sz w:val="21"/>
          <w:szCs w:val="21"/>
          <w:color w:val="auto"/>
        </w:rPr>
        <w:t>. The Committee has the discretion to specify the contents of Election Forms. Subject to such discretion, each Election Form will set forth: (a) the type of compensation (Cash Compensation or RSU Awards) that the Participant is electing to defer, beginning with the next Plan Year; (b) the percentage of each (or, if Cash Compensation, the dollar amount) to be deferred; (c) the desired end date of the deferral period, following which shares of Common Stock will be issued to the Participant; and (d) whether the DSUs will settle and pay out all at once or in substantially equal annual installments over 2 to 5 years.</w:t>
      </w:r>
    </w:p>
    <w:p>
      <w:pPr>
        <w:spacing w:after="0" w:line="160" w:lineRule="exact"/>
        <w:rPr>
          <w:sz w:val="20"/>
          <w:szCs w:val="20"/>
          <w:color w:val="auto"/>
        </w:rPr>
      </w:pPr>
    </w:p>
    <w:tbl>
      <w:tblPr>
        <w:tblLayout w:type="fixed"/>
        <w:tblInd w:w="1760" w:type="dxa"/>
        <w:tblCellMar>
          <w:top w:w="0" w:type="dxa"/>
          <w:left w:w="0" w:type="dxa"/>
          <w:bottom w:w="0" w:type="dxa"/>
          <w:right w:w="0" w:type="dxa"/>
        </w:tblCellMar>
      </w:tblPr>
      <w:tr>
        <w:trPr>
          <w:trHeight w:val="241"/>
        </w:trPr>
        <w:tc>
          <w:tcPr>
            <w:tcW w:w="1660" w:type="dxa"/>
            <w:vAlign w:val="bottom"/>
          </w:tcPr>
          <w:p>
            <w:pPr>
              <w:jc w:val="right"/>
              <w:ind w:right="1293"/>
              <w:spacing w:after="0"/>
              <w:rPr>
                <w:sz w:val="20"/>
                <w:szCs w:val="20"/>
                <w:color w:val="auto"/>
              </w:rPr>
            </w:pPr>
            <w:r>
              <w:rPr>
                <w:rFonts w:ascii="Arial" w:cs="Arial" w:eastAsia="Arial" w:hAnsi="Arial"/>
                <w:sz w:val="21"/>
                <w:szCs w:val="21"/>
                <w:color w:val="auto"/>
                <w:w w:val="82"/>
              </w:rPr>
              <w:t>3.7</w:t>
            </w:r>
          </w:p>
        </w:tc>
        <w:tc>
          <w:tcPr>
            <w:tcW w:w="520" w:type="dxa"/>
            <w:vAlign w:val="bottom"/>
          </w:tcPr>
          <w:p>
            <w:pPr>
              <w:spacing w:after="0"/>
              <w:rPr>
                <w:sz w:val="20"/>
                <w:szCs w:val="20"/>
                <w:color w:val="auto"/>
              </w:rPr>
            </w:pPr>
          </w:p>
        </w:tc>
        <w:tc>
          <w:tcPr>
            <w:tcW w:w="7480" w:type="dxa"/>
            <w:vAlign w:val="bottom"/>
            <w:gridSpan w:val="2"/>
          </w:tcPr>
          <w:p>
            <w:pPr>
              <w:spacing w:after="0"/>
              <w:rPr>
                <w:sz w:val="20"/>
                <w:szCs w:val="20"/>
                <w:color w:val="auto"/>
              </w:rPr>
            </w:pPr>
            <w:r>
              <w:rPr>
                <w:rFonts w:ascii="Arial" w:cs="Arial" w:eastAsia="Arial" w:hAnsi="Arial"/>
                <w:sz w:val="21"/>
                <w:szCs w:val="21"/>
                <w:color w:val="auto"/>
              </w:rPr>
              <w:t>Modification or Revocation of Election by Participant.</w:t>
            </w:r>
          </w:p>
        </w:tc>
      </w:tr>
      <w:tr>
        <w:trPr>
          <w:trHeight w:val="20"/>
        </w:trPr>
        <w:tc>
          <w:tcPr>
            <w:tcW w:w="1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2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470"/>
        </w:trPr>
        <w:tc>
          <w:tcPr>
            <w:tcW w:w="1660" w:type="dxa"/>
            <w:vAlign w:val="bottom"/>
          </w:tcPr>
          <w:p>
            <w:pPr>
              <w:jc w:val="right"/>
              <w:ind w:right="433"/>
              <w:spacing w:after="0"/>
              <w:rPr>
                <w:sz w:val="20"/>
                <w:szCs w:val="20"/>
                <w:color w:val="auto"/>
              </w:rPr>
            </w:pPr>
            <w:r>
              <w:rPr>
                <w:rFonts w:ascii="Arial" w:cs="Arial" w:eastAsia="Arial" w:hAnsi="Arial"/>
                <w:sz w:val="21"/>
                <w:szCs w:val="21"/>
                <w:color w:val="auto"/>
              </w:rPr>
              <w:t>(a)</w:t>
            </w:r>
          </w:p>
        </w:tc>
        <w:tc>
          <w:tcPr>
            <w:tcW w:w="520" w:type="dxa"/>
            <w:vAlign w:val="bottom"/>
          </w:tcPr>
          <w:p>
            <w:pPr>
              <w:spacing w:after="0"/>
              <w:rPr>
                <w:sz w:val="24"/>
                <w:szCs w:val="24"/>
                <w:color w:val="auto"/>
              </w:rPr>
            </w:pPr>
          </w:p>
        </w:tc>
        <w:tc>
          <w:tcPr>
            <w:tcW w:w="7480" w:type="dxa"/>
            <w:vAlign w:val="bottom"/>
            <w:gridSpan w:val="2"/>
          </w:tcPr>
          <w:p>
            <w:pPr>
              <w:ind w:left="1500"/>
              <w:spacing w:after="0"/>
              <w:rPr>
                <w:sz w:val="20"/>
                <w:szCs w:val="20"/>
                <w:color w:val="auto"/>
              </w:rPr>
            </w:pPr>
            <w:r>
              <w:rPr>
                <w:rFonts w:ascii="Arial" w:cs="Arial" w:eastAsia="Arial" w:hAnsi="Arial"/>
                <w:sz w:val="21"/>
                <w:szCs w:val="21"/>
                <w:color w:val="auto"/>
                <w:w w:val="98"/>
              </w:rPr>
              <w:t>A Participant may not change his or her deferral election during a</w:t>
            </w:r>
          </w:p>
        </w:tc>
      </w:tr>
    </w:tbl>
    <w:p>
      <w:pPr>
        <w:ind w:left="880" w:right="3720" w:hanging="877"/>
        <w:spacing w:after="0" w:line="463" w:lineRule="auto"/>
        <w:rPr>
          <w:sz w:val="20"/>
          <w:szCs w:val="20"/>
          <w:color w:val="auto"/>
        </w:rPr>
      </w:pPr>
      <w:r>
        <w:rPr>
          <w:rFonts w:ascii="Arial" w:cs="Arial" w:eastAsia="Arial" w:hAnsi="Arial"/>
          <w:sz w:val="21"/>
          <w:szCs w:val="21"/>
          <w:color w:val="auto"/>
        </w:rPr>
        <w:t>Plan Year. However, a Participant may change his or her election for future Plan Years by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-93345</wp:posOffset>
            </wp:positionV>
            <wp:extent cx="729043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8" w:name="page109"/>
    <w:bookmarkEnd w:id="108"/>
    <w:p>
      <w:pPr>
        <w:spacing w:after="0"/>
        <w:rPr>
          <w:sz w:val="20"/>
          <w:szCs w:val="20"/>
          <w:color w:val="auto"/>
        </w:rPr>
      </w:pPr>
      <w:r>
        <w:rPr>
          <w:rFonts w:ascii="Arial" w:cs="Arial" w:eastAsia="Arial" w:hAnsi="Arial"/>
          <w:sz w:val="21"/>
          <w:szCs w:val="21"/>
          <w:color w:val="auto"/>
        </w:rPr>
        <w:t xml:space="preserve">submitting a revocation form or a new Election Form within the timeframe specified in </w:t>
      </w:r>
      <w:r>
        <w:rPr>
          <w:rFonts w:ascii="Arial" w:cs="Arial" w:eastAsia="Arial" w:hAnsi="Arial"/>
          <w:sz w:val="21"/>
          <w:szCs w:val="21"/>
          <w:u w:val="single" w:color="auto"/>
          <w:color w:val="auto"/>
        </w:rPr>
        <w:t>Section 3.5</w:t>
      </w:r>
      <w:r>
        <w:rPr>
          <w:rFonts w:ascii="Arial" w:cs="Arial" w:eastAsia="Arial" w:hAnsi="Arial"/>
          <w:sz w:val="21"/>
          <w:szCs w:val="21"/>
          <w:color w:val="auto"/>
        </w:rPr>
        <w:t>.</w:t>
      </w:r>
    </w:p>
    <w:p>
      <w:pPr>
        <w:spacing w:after="0" w:line="212" w:lineRule="exact"/>
        <w:rPr>
          <w:sz w:val="20"/>
          <w:szCs w:val="20"/>
          <w:color w:val="auto"/>
        </w:rPr>
      </w:pPr>
    </w:p>
    <w:p>
      <w:pPr>
        <w:jc w:val="both"/>
        <w:ind w:firstLine="2635"/>
        <w:spacing w:after="0" w:line="244" w:lineRule="auto"/>
        <w:rPr>
          <w:sz w:val="20"/>
          <w:szCs w:val="20"/>
          <w:color w:val="auto"/>
        </w:rPr>
      </w:pPr>
      <w:r>
        <w:rPr>
          <w:rFonts w:ascii="Arial" w:cs="Arial" w:eastAsia="Arial" w:hAnsi="Arial"/>
          <w:sz w:val="21"/>
          <w:szCs w:val="21"/>
          <w:color w:val="auto"/>
        </w:rPr>
        <w:t xml:space="preserve">(b) Notwithstanding </w:t>
      </w:r>
      <w:r>
        <w:rPr>
          <w:rFonts w:ascii="Arial" w:cs="Arial" w:eastAsia="Arial" w:hAnsi="Arial"/>
          <w:sz w:val="21"/>
          <w:szCs w:val="21"/>
          <w:u w:val="single" w:color="auto"/>
          <w:color w:val="auto"/>
        </w:rPr>
        <w:t>Section 3.7(a)</w:t>
      </w:r>
      <w:r>
        <w:rPr>
          <w:rFonts w:ascii="Arial" w:cs="Arial" w:eastAsia="Arial" w:hAnsi="Arial"/>
          <w:sz w:val="21"/>
          <w:szCs w:val="21"/>
          <w:color w:val="auto"/>
        </w:rPr>
        <w:t>, a Participant may discontinue participation if he or she experiences an unforeseeable emergency (as determined under Code Section 409A), by completing such forms, and subject to such limitations and restrictions, as the Committee may determine. If approved by the Committee, revocation will take effect as of the next regularly-scheduled date on which Cash Compensation is to be paid. If a Participant discontinues participation during a Plan Year, he or she will not be permitted to participate again in the Plan until the later of six months from the date of discontinuance or the commencement of the following Plan Year.</w:t>
      </w:r>
    </w:p>
    <w:p>
      <w:pPr>
        <w:spacing w:after="0" w:line="180" w:lineRule="exact"/>
        <w:rPr>
          <w:sz w:val="20"/>
          <w:szCs w:val="20"/>
          <w:color w:val="auto"/>
        </w:rPr>
      </w:pPr>
    </w:p>
    <w:p>
      <w:pPr>
        <w:jc w:val="both"/>
        <w:ind w:firstLine="2635"/>
        <w:spacing w:after="0" w:line="244" w:lineRule="auto"/>
        <w:rPr>
          <w:sz w:val="20"/>
          <w:szCs w:val="20"/>
          <w:color w:val="auto"/>
        </w:rPr>
      </w:pPr>
      <w:r>
        <w:rPr>
          <w:rFonts w:ascii="Arial" w:cs="Arial" w:eastAsia="Arial" w:hAnsi="Arial"/>
          <w:sz w:val="21"/>
          <w:szCs w:val="21"/>
          <w:color w:val="auto"/>
        </w:rPr>
        <w:t>(c) After the deadline for filing an Election Form for a given Plan Year has passed and a deferral election has become irrevocable, a Participant may elect to further defer receipt of the payout of his or her DSUs for an additional five-year period by completing a subsequent deferral Election Form. Any such election must comply with the rules of Code Section 409A governing subsequent deferral elections, including that (i) the election will not take effect for at least 12 months, (ii) the election must be made at least 12 months prior to the scheduled payment date, and (iii) the new date for payout must be at least five years after the scheduled payment date.</w:t>
      </w:r>
    </w:p>
    <w:p>
      <w:pPr>
        <w:spacing w:after="0" w:line="160" w:lineRule="exact"/>
        <w:rPr>
          <w:sz w:val="20"/>
          <w:szCs w:val="20"/>
          <w:color w:val="auto"/>
        </w:rPr>
      </w:pPr>
    </w:p>
    <w:tbl>
      <w:tblPr>
        <w:tblLayout w:type="fixed"/>
        <w:tblInd w:w="80" w:type="dxa"/>
        <w:tblCellMar>
          <w:top w:w="0" w:type="dxa"/>
          <w:left w:w="0" w:type="dxa"/>
          <w:bottom w:w="0" w:type="dxa"/>
          <w:right w:w="0" w:type="dxa"/>
        </w:tblCellMar>
      </w:tblPr>
      <w:tr>
        <w:trPr>
          <w:trHeight w:val="241"/>
        </w:trPr>
        <w:tc>
          <w:tcPr>
            <w:tcW w:w="1600" w:type="dxa"/>
            <w:vAlign w:val="bottom"/>
          </w:tcPr>
          <w:p>
            <w:pPr>
              <w:jc w:val="right"/>
              <w:ind w:right="1333"/>
              <w:spacing w:after="0"/>
              <w:rPr>
                <w:sz w:val="20"/>
                <w:szCs w:val="20"/>
                <w:color w:val="auto"/>
              </w:rPr>
            </w:pPr>
            <w:r>
              <w:rPr>
                <w:rFonts w:ascii="Arial" w:cs="Arial" w:eastAsia="Arial" w:hAnsi="Arial"/>
                <w:sz w:val="21"/>
                <w:szCs w:val="21"/>
                <w:color w:val="auto"/>
                <w:w w:val="79"/>
              </w:rPr>
              <w:t>4.</w:t>
            </w:r>
          </w:p>
        </w:tc>
        <w:tc>
          <w:tcPr>
            <w:tcW w:w="9740" w:type="dxa"/>
            <w:vAlign w:val="bottom"/>
            <w:gridSpan w:val="4"/>
          </w:tcPr>
          <w:p>
            <w:pPr>
              <w:spacing w:after="0"/>
              <w:rPr>
                <w:sz w:val="20"/>
                <w:szCs w:val="20"/>
                <w:color w:val="auto"/>
              </w:rPr>
            </w:pPr>
            <w:r>
              <w:rPr>
                <w:rFonts w:ascii="Arial" w:cs="Arial" w:eastAsia="Arial" w:hAnsi="Arial"/>
                <w:sz w:val="21"/>
                <w:szCs w:val="21"/>
                <w:color w:val="auto"/>
              </w:rPr>
              <w:t>Maintenance and Crediting of Accounts.</w:t>
            </w:r>
          </w:p>
        </w:tc>
      </w:tr>
      <w:tr>
        <w:trPr>
          <w:trHeight w:val="20"/>
        </w:trPr>
        <w:tc>
          <w:tcPr>
            <w:tcW w:w="160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r>
        <w:trPr>
          <w:trHeight w:val="433"/>
        </w:trPr>
        <w:tc>
          <w:tcPr>
            <w:tcW w:w="1600" w:type="dxa"/>
            <w:vAlign w:val="bottom"/>
          </w:tcPr>
          <w:p>
            <w:pPr>
              <w:spacing w:after="0"/>
              <w:rPr>
                <w:sz w:val="24"/>
                <w:szCs w:val="24"/>
                <w:color w:val="auto"/>
              </w:rPr>
            </w:pPr>
          </w:p>
        </w:tc>
        <w:tc>
          <w:tcPr>
            <w:tcW w:w="2260" w:type="dxa"/>
            <w:vAlign w:val="bottom"/>
          </w:tcPr>
          <w:p>
            <w:pPr>
              <w:jc w:val="right"/>
              <w:ind w:right="1813"/>
              <w:spacing w:after="0"/>
              <w:rPr>
                <w:sz w:val="20"/>
                <w:szCs w:val="20"/>
                <w:color w:val="auto"/>
              </w:rPr>
            </w:pPr>
            <w:r>
              <w:rPr>
                <w:rFonts w:ascii="Arial" w:cs="Arial" w:eastAsia="Arial" w:hAnsi="Arial"/>
                <w:sz w:val="21"/>
                <w:szCs w:val="21"/>
                <w:color w:val="auto"/>
              </w:rPr>
              <w:t>4.1</w:t>
            </w:r>
          </w:p>
        </w:tc>
        <w:tc>
          <w:tcPr>
            <w:tcW w:w="7480" w:type="dxa"/>
            <w:vAlign w:val="bottom"/>
            <w:gridSpan w:val="3"/>
          </w:tcPr>
          <w:p>
            <w:pPr>
              <w:spacing w:after="0"/>
              <w:rPr>
                <w:sz w:val="20"/>
                <w:szCs w:val="20"/>
                <w:color w:val="auto"/>
              </w:rPr>
            </w:pPr>
            <w:r>
              <w:rPr>
                <w:rFonts w:ascii="Arial" w:cs="Arial" w:eastAsia="Arial" w:hAnsi="Arial"/>
                <w:sz w:val="21"/>
                <w:szCs w:val="21"/>
                <w:color w:val="auto"/>
              </w:rPr>
              <w:t>Accounts.  The DSUs will be credited to an Account for each Participant.  Each</w:t>
            </w:r>
          </w:p>
        </w:tc>
      </w:tr>
      <w:tr>
        <w:trPr>
          <w:trHeight w:val="20"/>
        </w:trPr>
        <w:tc>
          <w:tcPr>
            <w:tcW w:w="16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bl>
    <w:p>
      <w:pPr>
        <w:spacing w:after="0" w:line="5"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Account will reflect the number of DSUs deferred each year by the Participant, as such number may be adjusted under the terms of applicable LTIP, as well as any additional DSUs, cash, or other property credited as a result of dividend equivalents, administered as follows:</w:t>
      </w:r>
    </w:p>
    <w:p>
      <w:pPr>
        <w:spacing w:after="0" w:line="170" w:lineRule="exact"/>
        <w:rPr>
          <w:sz w:val="20"/>
          <w:szCs w:val="20"/>
          <w:color w:val="auto"/>
        </w:rPr>
      </w:pPr>
    </w:p>
    <w:p>
      <w:pPr>
        <w:jc w:val="both"/>
        <w:ind w:firstLine="2635"/>
        <w:spacing w:after="0" w:line="268" w:lineRule="auto"/>
        <w:rPr>
          <w:sz w:val="20"/>
          <w:szCs w:val="20"/>
          <w:color w:val="auto"/>
        </w:rPr>
      </w:pPr>
      <w:r>
        <w:rPr>
          <w:rFonts w:ascii="Arial" w:cs="Arial" w:eastAsia="Arial" w:hAnsi="Arial"/>
          <w:sz w:val="21"/>
          <w:szCs w:val="21"/>
          <w:color w:val="auto"/>
        </w:rPr>
        <w:t>(a) The Account will be for recordkeeping purposes only, and no assets or other amounts will be set aside from the Corporation’s general assets with respect to such Account.</w:t>
      </w:r>
    </w:p>
    <w:p>
      <w:pPr>
        <w:spacing w:after="0" w:line="154" w:lineRule="exact"/>
        <w:rPr>
          <w:sz w:val="20"/>
          <w:szCs w:val="20"/>
          <w:color w:val="auto"/>
        </w:rPr>
      </w:pPr>
    </w:p>
    <w:p>
      <w:pPr>
        <w:ind w:left="2640"/>
        <w:spacing w:after="0"/>
        <w:tabs>
          <w:tab w:leader="none" w:pos="5440"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9"/>
          <w:szCs w:val="19"/>
          <w:color w:val="auto"/>
        </w:rPr>
        <w:t>If the Corporation declares a cash dividend payable any time between</w:t>
      </w:r>
    </w:p>
    <w:p>
      <w:pPr>
        <w:spacing w:after="0" w:line="40"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the time a DSU is credited to the Participant’s Account and the date the DSU settles in shares of Common Stock, the Participant will be credited with an amount equal to any cash that would have been received as a dividend had his or her outstanding DSUs been shares of Common Stock as of the record date with respect to which such cash dividend is to paid. The Corporation will credit such amount to the Participant’s Account, converting it into additional DSUs based on the Fair Market Value of a share of Common Stock on the date of payment, rounding to the nearest whole DSU.</w:t>
      </w:r>
    </w:p>
    <w:p>
      <w:pPr>
        <w:spacing w:after="0" w:line="183" w:lineRule="exact"/>
        <w:rPr>
          <w:sz w:val="20"/>
          <w:szCs w:val="20"/>
          <w:color w:val="auto"/>
        </w:rPr>
      </w:pPr>
    </w:p>
    <w:p>
      <w:pPr>
        <w:jc w:val="both"/>
        <w:ind w:firstLine="2635"/>
        <w:spacing w:after="0" w:line="248" w:lineRule="auto"/>
        <w:rPr>
          <w:sz w:val="20"/>
          <w:szCs w:val="20"/>
          <w:color w:val="auto"/>
        </w:rPr>
      </w:pPr>
      <w:r>
        <w:rPr>
          <w:rFonts w:ascii="Arial" w:cs="Arial" w:eastAsia="Arial" w:hAnsi="Arial"/>
          <w:sz w:val="21"/>
          <w:szCs w:val="21"/>
          <w:color w:val="auto"/>
        </w:rPr>
        <w:t>(c) If dividends are declared and paid in the form of shares of Common Stock rather than cash, then each Account will be credited with one additional DSU for each share of Common Stock that would have been received as a dividend had the Participant’s outstanding DSUs been shares of Common Stock on the applicable record date.</w:t>
      </w:r>
    </w:p>
    <w:p>
      <w:pPr>
        <w:spacing w:after="0" w:line="175" w:lineRule="exact"/>
        <w:rPr>
          <w:sz w:val="20"/>
          <w:szCs w:val="20"/>
          <w:color w:val="auto"/>
        </w:rPr>
      </w:pPr>
    </w:p>
    <w:p>
      <w:pPr>
        <w:jc w:val="both"/>
        <w:ind w:right="20" w:firstLine="2635"/>
        <w:spacing w:after="0" w:line="268" w:lineRule="auto"/>
        <w:rPr>
          <w:sz w:val="20"/>
          <w:szCs w:val="20"/>
          <w:color w:val="auto"/>
        </w:rPr>
      </w:pPr>
      <w:r>
        <w:rPr>
          <w:rFonts w:ascii="Arial" w:cs="Arial" w:eastAsia="Arial" w:hAnsi="Arial"/>
          <w:sz w:val="21"/>
          <w:szCs w:val="21"/>
          <w:color w:val="auto"/>
        </w:rPr>
        <w:t xml:space="preserve">(d) Except as otherwise provided in this </w:t>
      </w:r>
      <w:r>
        <w:rPr>
          <w:rFonts w:ascii="Arial" w:cs="Arial" w:eastAsia="Arial" w:hAnsi="Arial"/>
          <w:sz w:val="21"/>
          <w:szCs w:val="21"/>
          <w:u w:val="single" w:color="auto"/>
          <w:color w:val="auto"/>
        </w:rPr>
        <w:t>Section 4</w:t>
      </w:r>
      <w:r>
        <w:rPr>
          <w:rFonts w:ascii="Arial" w:cs="Arial" w:eastAsia="Arial" w:hAnsi="Arial"/>
          <w:sz w:val="21"/>
          <w:szCs w:val="21"/>
          <w:color w:val="auto"/>
        </w:rPr>
        <w:t>, if any dividends or distributions are made in securities or property other than cash or shares of Common Stock, each</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29043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9" w:name="page110"/>
    <w:bookmarkEnd w:id="109"/>
    <w:p>
      <w:pPr>
        <w:jc w:val="both"/>
        <w:spacing w:after="0" w:line="283" w:lineRule="auto"/>
        <w:rPr>
          <w:sz w:val="20"/>
          <w:szCs w:val="20"/>
          <w:color w:val="auto"/>
        </w:rPr>
      </w:pPr>
      <w:r>
        <w:rPr>
          <w:rFonts w:ascii="Arial" w:cs="Arial" w:eastAsia="Arial" w:hAnsi="Arial"/>
          <w:sz w:val="19"/>
          <w:szCs w:val="19"/>
          <w:color w:val="auto"/>
        </w:rPr>
        <w:t>Account will be credited with the fair market value, in cash, of any such dividends or distributions that would have been received had the Participant’s outstanding DSUs been shares of Common Stock on the applicable record date, as determined by the Committee in its discretion. Notwithstanding the foregoing, Committee may, in its discretion, deposit in each Participant’s Account the securities or property comprising such dividend or distribution in lieu of crediting the Account with the cash fair market value.</w:t>
      </w:r>
    </w:p>
    <w:p>
      <w:pPr>
        <w:spacing w:after="0" w:line="144" w:lineRule="exact"/>
        <w:rPr>
          <w:sz w:val="20"/>
          <w:szCs w:val="20"/>
          <w:color w:val="auto"/>
        </w:rPr>
      </w:pPr>
    </w:p>
    <w:p>
      <w:pPr>
        <w:jc w:val="both"/>
        <w:ind w:firstLine="1755"/>
        <w:spacing w:after="0" w:line="248"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u w:val="single" w:color="auto"/>
          <w:color w:val="auto"/>
        </w:rPr>
        <w:t>Adjustment Provisions</w:t>
      </w:r>
      <w:r>
        <w:rPr>
          <w:rFonts w:ascii="Arial" w:cs="Arial" w:eastAsia="Arial" w:hAnsi="Arial"/>
          <w:sz w:val="21"/>
          <w:szCs w:val="21"/>
          <w:color w:val="auto"/>
        </w:rPr>
        <w:t>. In the event of any recapitalization, reclassification, stock dividend, stock split, combination of shares or other change in the Common Stock, the number of outstanding DSUs credited to Accounts will be equitably adjusted in proportion to the change in outstanding shares of Common Stock, as provided in the applicable LTIP.</w:t>
      </w:r>
    </w:p>
    <w:p>
      <w:pPr>
        <w:spacing w:after="0" w:line="175" w:lineRule="exact"/>
        <w:rPr>
          <w:sz w:val="20"/>
          <w:szCs w:val="20"/>
          <w:color w:val="auto"/>
        </w:rPr>
      </w:pPr>
    </w:p>
    <w:p>
      <w:pPr>
        <w:jc w:val="both"/>
        <w:ind w:firstLine="1755"/>
        <w:spacing w:after="0" w:line="253" w:lineRule="auto"/>
        <w:rPr>
          <w:sz w:val="20"/>
          <w:szCs w:val="20"/>
          <w:color w:val="auto"/>
        </w:rPr>
      </w:pPr>
      <w:r>
        <w:rPr>
          <w:rFonts w:ascii="Arial" w:cs="Arial" w:eastAsia="Arial" w:hAnsi="Arial"/>
          <w:sz w:val="21"/>
          <w:szCs w:val="21"/>
          <w:color w:val="auto"/>
        </w:rPr>
        <w:t xml:space="preserve">4.3 </w:t>
      </w:r>
      <w:r>
        <w:rPr>
          <w:rFonts w:ascii="Arial" w:cs="Arial" w:eastAsia="Arial" w:hAnsi="Arial"/>
          <w:sz w:val="21"/>
          <w:szCs w:val="21"/>
          <w:u w:val="single" w:color="auto"/>
          <w:color w:val="auto"/>
        </w:rPr>
        <w:t>Account Balance Payout Timing</w:t>
      </w:r>
      <w:r>
        <w:rPr>
          <w:rFonts w:ascii="Arial" w:cs="Arial" w:eastAsia="Arial" w:hAnsi="Arial"/>
          <w:sz w:val="21"/>
          <w:szCs w:val="21"/>
          <w:color w:val="auto"/>
        </w:rPr>
        <w:t xml:space="preserve">. Any additional DSUs credited via dividend equivalents or any other securities or property credited to a Participant’s Account as provided in this </w:t>
      </w:r>
      <w:r>
        <w:rPr>
          <w:rFonts w:ascii="Arial" w:cs="Arial" w:eastAsia="Arial" w:hAnsi="Arial"/>
          <w:sz w:val="21"/>
          <w:szCs w:val="21"/>
          <w:u w:val="single" w:color="auto"/>
          <w:color w:val="auto"/>
        </w:rPr>
        <w:t>Section 4</w:t>
      </w:r>
      <w:r>
        <w:rPr>
          <w:rFonts w:ascii="Arial" w:cs="Arial" w:eastAsia="Arial" w:hAnsi="Arial"/>
          <w:sz w:val="21"/>
          <w:szCs w:val="21"/>
          <w:color w:val="auto"/>
        </w:rPr>
        <w:t xml:space="preserve"> will settle and be paid out at the same time and on the same terms as the DSUs to which they relate.</w:t>
      </w:r>
    </w:p>
    <w:p>
      <w:pPr>
        <w:spacing w:after="0" w:line="150" w:lineRule="exact"/>
        <w:rPr>
          <w:sz w:val="20"/>
          <w:szCs w:val="20"/>
          <w:color w:val="auto"/>
        </w:rPr>
      </w:pPr>
    </w:p>
    <w:tbl>
      <w:tblPr>
        <w:tblLayout w:type="fixed"/>
        <w:tblInd w:w="80" w:type="dxa"/>
        <w:tblCellMar>
          <w:top w:w="0" w:type="dxa"/>
          <w:left w:w="0" w:type="dxa"/>
          <w:bottom w:w="0" w:type="dxa"/>
          <w:right w:w="0" w:type="dxa"/>
        </w:tblCellMar>
      </w:tblPr>
      <w:tr>
        <w:trPr>
          <w:trHeight w:val="241"/>
        </w:trPr>
        <w:tc>
          <w:tcPr>
            <w:tcW w:w="1600" w:type="dxa"/>
            <w:vAlign w:val="bottom"/>
          </w:tcPr>
          <w:p>
            <w:pPr>
              <w:jc w:val="right"/>
              <w:ind w:right="1333"/>
              <w:spacing w:after="0"/>
              <w:rPr>
                <w:sz w:val="20"/>
                <w:szCs w:val="20"/>
                <w:color w:val="auto"/>
              </w:rPr>
            </w:pPr>
            <w:r>
              <w:rPr>
                <w:rFonts w:ascii="Arial" w:cs="Arial" w:eastAsia="Arial" w:hAnsi="Arial"/>
                <w:sz w:val="21"/>
                <w:szCs w:val="21"/>
                <w:color w:val="auto"/>
                <w:w w:val="79"/>
              </w:rPr>
              <w:t>5.</w:t>
            </w:r>
          </w:p>
        </w:tc>
        <w:tc>
          <w:tcPr>
            <w:tcW w:w="2260" w:type="dxa"/>
            <w:vAlign w:val="bottom"/>
            <w:gridSpan w:val="2"/>
          </w:tcPr>
          <w:p>
            <w:pPr>
              <w:spacing w:after="0"/>
              <w:rPr>
                <w:sz w:val="20"/>
                <w:szCs w:val="20"/>
                <w:color w:val="auto"/>
              </w:rPr>
            </w:pPr>
            <w:r>
              <w:rPr>
                <w:rFonts w:ascii="Arial" w:cs="Arial" w:eastAsia="Arial" w:hAnsi="Arial"/>
                <w:sz w:val="21"/>
                <w:szCs w:val="21"/>
                <w:color w:val="auto"/>
              </w:rPr>
              <w:t>Distribution of Benefits.</w:t>
            </w:r>
          </w:p>
        </w:tc>
        <w:tc>
          <w:tcPr>
            <w:tcW w:w="1600" w:type="dxa"/>
            <w:vAlign w:val="bottom"/>
          </w:tcPr>
          <w:p>
            <w:pPr>
              <w:spacing w:after="0"/>
              <w:rPr>
                <w:sz w:val="21"/>
                <w:szCs w:val="21"/>
                <w:color w:val="auto"/>
              </w:rPr>
            </w:pPr>
          </w:p>
        </w:tc>
        <w:tc>
          <w:tcPr>
            <w:tcW w:w="5880" w:type="dxa"/>
            <w:vAlign w:val="bottom"/>
          </w:tcPr>
          <w:p>
            <w:pPr>
              <w:spacing w:after="0"/>
              <w:rPr>
                <w:sz w:val="21"/>
                <w:szCs w:val="21"/>
                <w:color w:val="auto"/>
              </w:rPr>
            </w:pPr>
          </w:p>
        </w:tc>
      </w:tr>
      <w:tr>
        <w:trPr>
          <w:trHeight w:val="433"/>
        </w:trPr>
        <w:tc>
          <w:tcPr>
            <w:tcW w:w="1600" w:type="dxa"/>
            <w:vAlign w:val="bottom"/>
          </w:tcPr>
          <w:p>
            <w:pPr>
              <w:spacing w:after="0"/>
              <w:rPr>
                <w:sz w:val="24"/>
                <w:szCs w:val="24"/>
                <w:color w:val="auto"/>
              </w:rPr>
            </w:pPr>
          </w:p>
        </w:tc>
        <w:tc>
          <w:tcPr>
            <w:tcW w:w="2040" w:type="dxa"/>
            <w:vAlign w:val="bottom"/>
            <w:tcBorders>
              <w:top w:val="single" w:sz="8" w:color="auto"/>
            </w:tcBorders>
          </w:tcPr>
          <w:p>
            <w:pPr>
              <w:jc w:val="right"/>
              <w:ind w:right="1593"/>
              <w:spacing w:after="0"/>
              <w:rPr>
                <w:sz w:val="20"/>
                <w:szCs w:val="20"/>
                <w:color w:val="auto"/>
              </w:rPr>
            </w:pPr>
            <w:r>
              <w:rPr>
                <w:rFonts w:ascii="Arial" w:cs="Arial" w:eastAsia="Arial" w:hAnsi="Arial"/>
                <w:sz w:val="21"/>
                <w:szCs w:val="21"/>
                <w:color w:val="auto"/>
              </w:rPr>
              <w:t>5.1</w:t>
            </w:r>
          </w:p>
        </w:tc>
        <w:tc>
          <w:tcPr>
            <w:tcW w:w="220" w:type="dxa"/>
            <w:vAlign w:val="bottom"/>
          </w:tcPr>
          <w:p>
            <w:pPr>
              <w:spacing w:after="0"/>
              <w:rPr>
                <w:sz w:val="24"/>
                <w:szCs w:val="24"/>
                <w:color w:val="auto"/>
              </w:rPr>
            </w:pPr>
          </w:p>
        </w:tc>
        <w:tc>
          <w:tcPr>
            <w:tcW w:w="7480" w:type="dxa"/>
            <w:vAlign w:val="bottom"/>
            <w:gridSpan w:val="2"/>
          </w:tcPr>
          <w:p>
            <w:pPr>
              <w:spacing w:after="0"/>
              <w:rPr>
                <w:sz w:val="20"/>
                <w:szCs w:val="20"/>
                <w:color w:val="auto"/>
              </w:rPr>
            </w:pPr>
            <w:r>
              <w:rPr>
                <w:rFonts w:ascii="Arial" w:cs="Arial" w:eastAsia="Arial" w:hAnsi="Arial"/>
                <w:sz w:val="21"/>
                <w:szCs w:val="21"/>
                <w:color w:val="auto"/>
                <w:w w:val="99"/>
              </w:rPr>
              <w:t>Deferral Elections.  Each Participant may elect to receive settlement of his or her</w:t>
            </w:r>
          </w:p>
        </w:tc>
      </w:tr>
      <w:tr>
        <w:trPr>
          <w:trHeight w:val="20"/>
        </w:trPr>
        <w:tc>
          <w:tcPr>
            <w:tcW w:w="16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r>
    </w:tbl>
    <w:p>
      <w:pPr>
        <w:spacing w:after="0" w:line="5"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DSUs: (a) on his or her Service End Date; (b) on any one of the first five anniversaries of his or her Service End Date; (c) on January 15 of the first, second, third, fourth, or fifth year following the year in which the compensation was earned, or (d) on the earlier to occur of (a) and (c) (the earliest selected date for such DSUs, the “</w:t>
      </w:r>
      <w:r>
        <w:rPr>
          <w:rFonts w:ascii="Arial" w:cs="Arial" w:eastAsia="Arial" w:hAnsi="Arial"/>
          <w:sz w:val="21"/>
          <w:szCs w:val="21"/>
          <w:u w:val="single" w:color="auto"/>
          <w:color w:val="auto"/>
        </w:rPr>
        <w:t>Trigger Date</w:t>
      </w:r>
      <w:r>
        <w:rPr>
          <w:rFonts w:ascii="Arial" w:cs="Arial" w:eastAsia="Arial" w:hAnsi="Arial"/>
          <w:sz w:val="21"/>
          <w:szCs w:val="21"/>
          <w:color w:val="auto"/>
        </w:rPr>
        <w:t>”). The Participant may elect to receive settlement and payout of such DSUs either (x) all at once on the Trigger Date or (y) in substantially equal annual installments over a period of no less than two and no more than five years beginning on the Trigger Date and continuing on the applicable number of anniversary dates of such Trigger Date.</w:t>
      </w:r>
    </w:p>
    <w:p>
      <w:pPr>
        <w:spacing w:after="0" w:line="180" w:lineRule="exact"/>
        <w:rPr>
          <w:sz w:val="20"/>
          <w:szCs w:val="20"/>
          <w:color w:val="auto"/>
        </w:rPr>
      </w:pPr>
    </w:p>
    <w:p>
      <w:pPr>
        <w:jc w:val="both"/>
        <w:ind w:firstLine="1755"/>
        <w:spacing w:after="0" w:line="255" w:lineRule="auto"/>
        <w:rPr>
          <w:sz w:val="20"/>
          <w:szCs w:val="20"/>
          <w:color w:val="auto"/>
        </w:rPr>
      </w:pPr>
      <w:r>
        <w:rPr>
          <w:rFonts w:ascii="Arial" w:cs="Arial" w:eastAsia="Arial" w:hAnsi="Arial"/>
          <w:sz w:val="20"/>
          <w:szCs w:val="20"/>
          <w:color w:val="auto"/>
        </w:rPr>
        <w:t xml:space="preserve">5.2 </w:t>
      </w:r>
      <w:r>
        <w:rPr>
          <w:rFonts w:ascii="Arial" w:cs="Arial" w:eastAsia="Arial" w:hAnsi="Arial"/>
          <w:sz w:val="20"/>
          <w:szCs w:val="20"/>
          <w:u w:val="single" w:color="auto"/>
          <w:color w:val="auto"/>
        </w:rPr>
        <w:t>Early Payout Triggers</w:t>
      </w:r>
      <w:r>
        <w:rPr>
          <w:rFonts w:ascii="Arial" w:cs="Arial" w:eastAsia="Arial" w:hAnsi="Arial"/>
          <w:sz w:val="20"/>
          <w:szCs w:val="20"/>
          <w:color w:val="auto"/>
        </w:rPr>
        <w:t>. Notwithstanding any election made by a Participant, (a) in the event of a Change in Control, all outstanding DSUs will settle and be paid out in shares of Common Stock to each Participant immediately prior to the closing of the Change in Control; (b) in the event of a Participant’s death or end of service due to Disability, all of his or her outstanding DSUs will settle and be paid out in shares of Common Stock within 15 days of the Service End Date; and</w:t>
      </w:r>
    </w:p>
    <w:p>
      <w:pPr>
        <w:spacing w:after="0" w:line="1" w:lineRule="exact"/>
        <w:rPr>
          <w:sz w:val="20"/>
          <w:szCs w:val="20"/>
          <w:color w:val="auto"/>
        </w:rPr>
      </w:pPr>
    </w:p>
    <w:p>
      <w:pPr>
        <w:ind w:firstLine="7"/>
        <w:spacing w:after="0" w:line="251" w:lineRule="auto"/>
        <w:tabs>
          <w:tab w:leader="none" w:pos="297" w:val="left"/>
        </w:tabs>
        <w:numPr>
          <w:ilvl w:val="0"/>
          <w:numId w:val="35"/>
        </w:numPr>
        <w:rPr>
          <w:rFonts w:ascii="Arial" w:cs="Arial" w:eastAsia="Arial" w:hAnsi="Arial"/>
          <w:sz w:val="21"/>
          <w:szCs w:val="21"/>
          <w:color w:val="auto"/>
        </w:rPr>
      </w:pPr>
      <w:r>
        <w:rPr>
          <w:rFonts w:ascii="Arial" w:cs="Arial" w:eastAsia="Arial" w:hAnsi="Arial"/>
          <w:sz w:val="21"/>
          <w:szCs w:val="21"/>
          <w:color w:val="auto"/>
        </w:rPr>
        <w:t>on the tenth anniversary of his or her Service End Date, any remaining DSUs and any balance in his or her Account will pay out and settle in shares of Common Stock with 15 days of such anniversary.</w:t>
      </w:r>
    </w:p>
    <w:p>
      <w:pPr>
        <w:spacing w:after="0" w:line="170"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1"/>
          <w:szCs w:val="21"/>
          <w:color w:val="auto"/>
        </w:rPr>
        <w:t xml:space="preserve">5.3 </w:t>
      </w:r>
      <w:r>
        <w:rPr>
          <w:rFonts w:ascii="Arial" w:cs="Arial" w:eastAsia="Arial" w:hAnsi="Arial"/>
          <w:sz w:val="21"/>
          <w:szCs w:val="21"/>
          <w:u w:val="single" w:color="auto"/>
          <w:color w:val="auto"/>
        </w:rPr>
        <w:t>Withholding of Taxes</w:t>
      </w:r>
      <w:r>
        <w:rPr>
          <w:rFonts w:ascii="Arial" w:cs="Arial" w:eastAsia="Arial" w:hAnsi="Arial"/>
          <w:sz w:val="21"/>
          <w:szCs w:val="21"/>
          <w:color w:val="auto"/>
        </w:rPr>
        <w:t>. Notwithstanding any other provision of this Plan, the Corporation is authorized to withhold from any amounts owed to or deferred by the Participant under this Plan any amount (in cash, shares of Common Stock, or other securities) of taxes required or permitted to be withheld (up to the maximum statutory tax rate in the relevant jurisdiction) and to take such other action as may be necessary or appropriate in the opinion of the Corporation to satisfy any such withholding obligation.</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29043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0" w:name="page111"/>
    <w:bookmarkEnd w:id="110"/>
    <w:p>
      <w:pPr>
        <w:ind w:left="1760"/>
        <w:spacing w:after="0"/>
        <w:tabs>
          <w:tab w:leader="none" w:pos="3920" w:val="left"/>
        </w:tabs>
        <w:rPr>
          <w:sz w:val="20"/>
          <w:szCs w:val="20"/>
          <w:color w:val="auto"/>
        </w:rPr>
      </w:pPr>
      <w:r>
        <w:rPr>
          <w:rFonts w:ascii="Arial" w:cs="Arial" w:eastAsia="Arial" w:hAnsi="Arial"/>
          <w:sz w:val="21"/>
          <w:szCs w:val="21"/>
          <w:color w:val="auto"/>
        </w:rPr>
        <w:t>5.4</w:t>
      </w:r>
      <w:r>
        <w:rPr>
          <w:sz w:val="20"/>
          <w:szCs w:val="20"/>
          <w:color w:val="auto"/>
        </w:rPr>
        <w:tab/>
      </w:r>
      <w:r>
        <w:rPr>
          <w:rFonts w:ascii="Arial" w:cs="Arial" w:eastAsia="Arial" w:hAnsi="Arial"/>
          <w:sz w:val="20"/>
          <w:szCs w:val="20"/>
          <w:u w:val="single" w:color="auto"/>
          <w:color w:val="auto"/>
        </w:rPr>
        <w:t>Acceleration of Payment</w:t>
      </w:r>
      <w:r>
        <w:rPr>
          <w:rFonts w:ascii="Arial" w:cs="Arial" w:eastAsia="Arial" w:hAnsi="Arial"/>
          <w:sz w:val="20"/>
          <w:szCs w:val="20"/>
          <w:color w:val="auto"/>
        </w:rPr>
        <w:t>. A Participant will have no right to compel any accelerated</w:t>
      </w:r>
    </w:p>
    <w:p>
      <w:pPr>
        <w:spacing w:after="0" w:line="17" w:lineRule="exact"/>
        <w:rPr>
          <w:sz w:val="20"/>
          <w:szCs w:val="20"/>
          <w:color w:val="auto"/>
        </w:rPr>
      </w:pPr>
    </w:p>
    <w:p>
      <w:pPr>
        <w:jc w:val="both"/>
        <w:spacing w:after="0" w:line="251" w:lineRule="auto"/>
        <w:rPr>
          <w:sz w:val="20"/>
          <w:szCs w:val="20"/>
          <w:color w:val="auto"/>
        </w:rPr>
      </w:pPr>
      <w:r>
        <w:rPr>
          <w:rFonts w:ascii="Arial" w:cs="Arial" w:eastAsia="Arial" w:hAnsi="Arial"/>
          <w:sz w:val="21"/>
          <w:szCs w:val="21"/>
          <w:color w:val="auto"/>
        </w:rPr>
        <w:t>payment of any amounts due to a Participant under the Plan. The Corporation may accelerate the payment of some or all of the amounts due to a Participant in a given year only in accordance with Code Section 409A and the terms of this Plan.</w:t>
      </w:r>
    </w:p>
    <w:p>
      <w:pPr>
        <w:spacing w:after="0" w:line="170" w:lineRule="exact"/>
        <w:rPr>
          <w:sz w:val="20"/>
          <w:szCs w:val="20"/>
          <w:color w:val="auto"/>
        </w:rPr>
      </w:pPr>
    </w:p>
    <w:p>
      <w:pPr>
        <w:jc w:val="both"/>
        <w:ind w:firstLine="1755"/>
        <w:spacing w:after="0" w:line="242" w:lineRule="auto"/>
        <w:rPr>
          <w:sz w:val="20"/>
          <w:szCs w:val="20"/>
          <w:color w:val="auto"/>
        </w:rPr>
      </w:pPr>
      <w:r>
        <w:rPr>
          <w:rFonts w:ascii="Arial" w:cs="Arial" w:eastAsia="Arial" w:hAnsi="Arial"/>
          <w:sz w:val="21"/>
          <w:szCs w:val="21"/>
          <w:color w:val="auto"/>
        </w:rPr>
        <w:t xml:space="preserve">5.5 </w:t>
      </w:r>
      <w:r>
        <w:rPr>
          <w:rFonts w:ascii="Arial" w:cs="Arial" w:eastAsia="Arial" w:hAnsi="Arial"/>
          <w:sz w:val="21"/>
          <w:szCs w:val="21"/>
          <w:u w:val="single" w:color="auto"/>
          <w:color w:val="auto"/>
        </w:rPr>
        <w:t>Issuance of Shares</w:t>
      </w:r>
      <w:r>
        <w:rPr>
          <w:rFonts w:ascii="Arial" w:cs="Arial" w:eastAsia="Arial" w:hAnsi="Arial"/>
          <w:sz w:val="21"/>
          <w:szCs w:val="21"/>
          <w:color w:val="auto"/>
        </w:rPr>
        <w:t>. All shares of Common Stock or other securities delivered under the Plan and the applicable LTIP will be subject to such stop transfer orders and other restrictions as the Committee may deem advisable under the Plan or the rules, regulations, and other requirements of the Securities and Exchange Commission, any stock exchange on which such shares of Common Stock or other securities are then listed, and any applicable federal, state, or local securities laws, and the Board may cause one or more legends to be put on any such certificates to make appropriate reference to such restrictions. Notwithstanding anything in this Plan to the contrary, the Corporation may elect to settle a DSU in whole or in part in cash if, as of the date of payment, an insufficient number of shares of Common Stock remain available for grant under the applicable LTIP.</w:t>
      </w:r>
    </w:p>
    <w:p>
      <w:pPr>
        <w:spacing w:after="0" w:line="186" w:lineRule="exact"/>
        <w:rPr>
          <w:sz w:val="20"/>
          <w:szCs w:val="20"/>
          <w:color w:val="auto"/>
        </w:rPr>
      </w:pPr>
    </w:p>
    <w:p>
      <w:pPr>
        <w:jc w:val="both"/>
        <w:ind w:firstLine="1755"/>
        <w:spacing w:after="0" w:line="259" w:lineRule="auto"/>
        <w:rPr>
          <w:sz w:val="20"/>
          <w:szCs w:val="20"/>
          <w:color w:val="auto"/>
        </w:rPr>
      </w:pPr>
      <w:r>
        <w:rPr>
          <w:rFonts w:ascii="Arial" w:cs="Arial" w:eastAsia="Arial" w:hAnsi="Arial"/>
          <w:sz w:val="20"/>
          <w:szCs w:val="20"/>
          <w:color w:val="auto"/>
        </w:rPr>
        <w:t xml:space="preserve">5.6 </w:t>
      </w:r>
      <w:r>
        <w:rPr>
          <w:rFonts w:ascii="Arial" w:cs="Arial" w:eastAsia="Arial" w:hAnsi="Arial"/>
          <w:sz w:val="20"/>
          <w:szCs w:val="20"/>
          <w:u w:val="single" w:color="auto"/>
          <w:color w:val="auto"/>
        </w:rPr>
        <w:t>Rights of Ownership</w:t>
      </w:r>
      <w:r>
        <w:rPr>
          <w:rFonts w:ascii="Arial" w:cs="Arial" w:eastAsia="Arial" w:hAnsi="Arial"/>
          <w:sz w:val="20"/>
          <w:szCs w:val="20"/>
          <w:color w:val="auto"/>
        </w:rPr>
        <w:t xml:space="preserve">. Once shares of Common Stock have been issued to a Participant in settlement of his or her DSUs, the Participant is free to hold or dispose of such shares, subject to applicable securities laws and any internal policy of the Corporation then in effect and applicable to the Participant, including but not limited to the Securities Trading and Disclosure of Confidential Information policy and the Director Stock Retention Requirements. Notwithstanding the foregoing and except as provided in </w:t>
      </w:r>
      <w:r>
        <w:rPr>
          <w:rFonts w:ascii="Arial" w:cs="Arial" w:eastAsia="Arial" w:hAnsi="Arial"/>
          <w:sz w:val="20"/>
          <w:szCs w:val="20"/>
          <w:u w:val="single" w:color="auto"/>
          <w:color w:val="auto"/>
        </w:rPr>
        <w:t>Section 4</w:t>
      </w:r>
      <w:r>
        <w:rPr>
          <w:rFonts w:ascii="Arial" w:cs="Arial" w:eastAsia="Arial" w:hAnsi="Arial"/>
          <w:sz w:val="20"/>
          <w:szCs w:val="20"/>
          <w:color w:val="auto"/>
        </w:rPr>
        <w:t>, a DSU, prior to settlement, will not entitle the Participant to any rights or privileges of ownership (including, without limitation, dividend and voting rights) in any share of Common Stock.</w:t>
      </w:r>
    </w:p>
    <w:p>
      <w:pPr>
        <w:spacing w:after="0" w:line="144" w:lineRule="exact"/>
        <w:rPr>
          <w:sz w:val="20"/>
          <w:szCs w:val="20"/>
          <w:color w:val="auto"/>
        </w:rPr>
      </w:pPr>
    </w:p>
    <w:tbl>
      <w:tblPr>
        <w:tblLayout w:type="fixed"/>
        <w:tblInd w:w="80" w:type="dxa"/>
        <w:tblCellMar>
          <w:top w:w="0" w:type="dxa"/>
          <w:left w:w="0" w:type="dxa"/>
          <w:bottom w:w="0" w:type="dxa"/>
          <w:right w:w="0" w:type="dxa"/>
        </w:tblCellMar>
      </w:tblPr>
      <w:tr>
        <w:trPr>
          <w:trHeight w:val="241"/>
        </w:trPr>
        <w:tc>
          <w:tcPr>
            <w:tcW w:w="480" w:type="dxa"/>
            <w:vAlign w:val="bottom"/>
          </w:tcPr>
          <w:p>
            <w:pPr>
              <w:jc w:val="right"/>
              <w:ind w:right="213"/>
              <w:spacing w:after="0"/>
              <w:rPr>
                <w:sz w:val="20"/>
                <w:szCs w:val="20"/>
                <w:color w:val="auto"/>
              </w:rPr>
            </w:pPr>
            <w:r>
              <w:rPr>
                <w:rFonts w:ascii="Arial" w:cs="Arial" w:eastAsia="Arial" w:hAnsi="Arial"/>
                <w:sz w:val="21"/>
                <w:szCs w:val="21"/>
                <w:color w:val="auto"/>
                <w:w w:val="79"/>
              </w:rPr>
              <w:t>6.</w:t>
            </w:r>
          </w:p>
        </w:tc>
        <w:tc>
          <w:tcPr>
            <w:tcW w:w="1120" w:type="dxa"/>
            <w:vAlign w:val="bottom"/>
          </w:tcPr>
          <w:p>
            <w:pPr>
              <w:spacing w:after="0"/>
              <w:rPr>
                <w:sz w:val="21"/>
                <w:szCs w:val="21"/>
                <w:color w:val="auto"/>
              </w:rPr>
            </w:pPr>
          </w:p>
        </w:tc>
        <w:tc>
          <w:tcPr>
            <w:tcW w:w="2260" w:type="dxa"/>
            <w:vAlign w:val="bottom"/>
            <w:gridSpan w:val="2"/>
          </w:tcPr>
          <w:p>
            <w:pPr>
              <w:spacing w:after="0"/>
              <w:rPr>
                <w:sz w:val="20"/>
                <w:szCs w:val="20"/>
                <w:color w:val="auto"/>
              </w:rPr>
            </w:pPr>
            <w:r>
              <w:rPr>
                <w:rFonts w:ascii="Arial" w:cs="Arial" w:eastAsia="Arial" w:hAnsi="Arial"/>
                <w:sz w:val="21"/>
                <w:szCs w:val="21"/>
                <w:color w:val="auto"/>
                <w:w w:val="98"/>
              </w:rPr>
              <w:t>Beneficiary Designation.</w:t>
            </w:r>
          </w:p>
        </w:tc>
        <w:tc>
          <w:tcPr>
            <w:tcW w:w="7480" w:type="dxa"/>
            <w:vAlign w:val="bottom"/>
            <w:gridSpan w:val="3"/>
          </w:tcPr>
          <w:p>
            <w:pPr>
              <w:jc w:val="right"/>
              <w:spacing w:after="0"/>
              <w:rPr>
                <w:sz w:val="20"/>
                <w:szCs w:val="20"/>
                <w:color w:val="auto"/>
              </w:rPr>
            </w:pPr>
            <w:r>
              <w:rPr>
                <w:rFonts w:ascii="Arial" w:cs="Arial" w:eastAsia="Arial" w:hAnsi="Arial"/>
                <w:sz w:val="21"/>
                <w:szCs w:val="21"/>
                <w:color w:val="auto"/>
                <w:w w:val="95"/>
              </w:rPr>
              <w:t>Each Participant has the right, at any time, to designate one or more Beneficiaries to</w:t>
            </w:r>
          </w:p>
        </w:tc>
      </w:tr>
      <w:tr>
        <w:trPr>
          <w:trHeight w:val="20"/>
        </w:trPr>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239"/>
        </w:trPr>
        <w:tc>
          <w:tcPr>
            <w:tcW w:w="480" w:type="dxa"/>
            <w:vAlign w:val="bottom"/>
          </w:tcPr>
          <w:p>
            <w:pPr>
              <w:spacing w:after="0"/>
              <w:rPr>
                <w:sz w:val="20"/>
                <w:szCs w:val="20"/>
                <w:color w:val="auto"/>
              </w:rPr>
            </w:pPr>
          </w:p>
        </w:tc>
        <w:tc>
          <w:tcPr>
            <w:tcW w:w="10860" w:type="dxa"/>
            <w:vAlign w:val="bottom"/>
            <w:gridSpan w:val="6"/>
          </w:tcPr>
          <w:p>
            <w:pPr>
              <w:jc w:val="right"/>
              <w:spacing w:after="0" w:line="239" w:lineRule="exact"/>
              <w:rPr>
                <w:sz w:val="20"/>
                <w:szCs w:val="20"/>
                <w:color w:val="auto"/>
              </w:rPr>
            </w:pPr>
            <w:r>
              <w:rPr>
                <w:rFonts w:ascii="Arial" w:cs="Arial" w:eastAsia="Arial" w:hAnsi="Arial"/>
                <w:sz w:val="21"/>
                <w:szCs w:val="21"/>
                <w:color w:val="auto"/>
              </w:rPr>
              <w:t>receive, in the event of the Participant’s death, those benefits payable under the Plan and the applicable LTIP.  A</w:t>
            </w:r>
          </w:p>
        </w:tc>
      </w:tr>
      <w:tr>
        <w:trPr>
          <w:trHeight w:val="240"/>
        </w:trPr>
        <w:tc>
          <w:tcPr>
            <w:tcW w:w="480" w:type="dxa"/>
            <w:vAlign w:val="bottom"/>
          </w:tcPr>
          <w:p>
            <w:pPr>
              <w:spacing w:after="0"/>
              <w:rPr>
                <w:sz w:val="20"/>
                <w:szCs w:val="20"/>
                <w:color w:val="auto"/>
              </w:rPr>
            </w:pPr>
          </w:p>
        </w:tc>
        <w:tc>
          <w:tcPr>
            <w:tcW w:w="10860" w:type="dxa"/>
            <w:vAlign w:val="bottom"/>
            <w:gridSpan w:val="6"/>
          </w:tcPr>
          <w:p>
            <w:pPr>
              <w:jc w:val="right"/>
              <w:spacing w:after="0" w:line="240" w:lineRule="exact"/>
              <w:rPr>
                <w:sz w:val="20"/>
                <w:szCs w:val="20"/>
                <w:color w:val="auto"/>
              </w:rPr>
            </w:pPr>
            <w:r>
              <w:rPr>
                <w:rFonts w:ascii="Arial" w:cs="Arial" w:eastAsia="Arial" w:hAnsi="Arial"/>
                <w:sz w:val="21"/>
                <w:szCs w:val="21"/>
                <w:color w:val="auto"/>
                <w:w w:val="96"/>
              </w:rPr>
              <w:t>Beneficiary designated under the Plan may be the same as or different from the Beneficiary designation made under any</w:t>
            </w:r>
          </w:p>
        </w:tc>
      </w:tr>
      <w:tr>
        <w:trPr>
          <w:trHeight w:val="240"/>
        </w:trPr>
        <w:tc>
          <w:tcPr>
            <w:tcW w:w="480" w:type="dxa"/>
            <w:vAlign w:val="bottom"/>
          </w:tcPr>
          <w:p>
            <w:pPr>
              <w:spacing w:after="0"/>
              <w:rPr>
                <w:sz w:val="20"/>
                <w:szCs w:val="20"/>
                <w:color w:val="auto"/>
              </w:rPr>
            </w:pPr>
          </w:p>
        </w:tc>
        <w:tc>
          <w:tcPr>
            <w:tcW w:w="10860" w:type="dxa"/>
            <w:vAlign w:val="bottom"/>
            <w:gridSpan w:val="6"/>
          </w:tcPr>
          <w:p>
            <w:pPr>
              <w:jc w:val="right"/>
              <w:spacing w:after="0" w:line="240" w:lineRule="exact"/>
              <w:rPr>
                <w:sz w:val="20"/>
                <w:szCs w:val="20"/>
                <w:color w:val="auto"/>
              </w:rPr>
            </w:pPr>
            <w:r>
              <w:rPr>
                <w:rFonts w:ascii="Arial" w:cs="Arial" w:eastAsia="Arial" w:hAnsi="Arial"/>
                <w:sz w:val="21"/>
                <w:szCs w:val="21"/>
                <w:color w:val="auto"/>
                <w:w w:val="96"/>
              </w:rPr>
              <w:t>other plan of the Corporation. If a Participant fails to designate a Beneficiary, or if all designated Beneficiaries predecease</w:t>
            </w:r>
          </w:p>
        </w:tc>
      </w:tr>
      <w:tr>
        <w:trPr>
          <w:trHeight w:val="240"/>
        </w:trPr>
        <w:tc>
          <w:tcPr>
            <w:tcW w:w="480" w:type="dxa"/>
            <w:vAlign w:val="bottom"/>
          </w:tcPr>
          <w:p>
            <w:pPr>
              <w:spacing w:after="0"/>
              <w:rPr>
                <w:sz w:val="20"/>
                <w:szCs w:val="20"/>
                <w:color w:val="auto"/>
              </w:rPr>
            </w:pPr>
          </w:p>
        </w:tc>
        <w:tc>
          <w:tcPr>
            <w:tcW w:w="10860" w:type="dxa"/>
            <w:vAlign w:val="bottom"/>
            <w:gridSpan w:val="6"/>
          </w:tcPr>
          <w:p>
            <w:pPr>
              <w:jc w:val="right"/>
              <w:spacing w:after="0" w:line="240" w:lineRule="exact"/>
              <w:rPr>
                <w:sz w:val="20"/>
                <w:szCs w:val="20"/>
                <w:color w:val="auto"/>
              </w:rPr>
            </w:pPr>
            <w:r>
              <w:rPr>
                <w:rFonts w:ascii="Arial" w:cs="Arial" w:eastAsia="Arial" w:hAnsi="Arial"/>
                <w:sz w:val="21"/>
                <w:szCs w:val="21"/>
                <w:color w:val="auto"/>
              </w:rPr>
              <w:t>the Participant or die prior to complete distribution of the Participant’s benefits, then the Participant’s designated</w:t>
            </w:r>
          </w:p>
        </w:tc>
      </w:tr>
      <w:tr>
        <w:trPr>
          <w:trHeight w:val="240"/>
        </w:trPr>
        <w:tc>
          <w:tcPr>
            <w:tcW w:w="480" w:type="dxa"/>
            <w:vAlign w:val="bottom"/>
          </w:tcPr>
          <w:p>
            <w:pPr>
              <w:spacing w:after="0"/>
              <w:rPr>
                <w:sz w:val="20"/>
                <w:szCs w:val="20"/>
                <w:color w:val="auto"/>
              </w:rPr>
            </w:pPr>
          </w:p>
        </w:tc>
        <w:tc>
          <w:tcPr>
            <w:tcW w:w="10860" w:type="dxa"/>
            <w:vAlign w:val="bottom"/>
            <w:gridSpan w:val="6"/>
          </w:tcPr>
          <w:p>
            <w:pPr>
              <w:jc w:val="right"/>
              <w:spacing w:after="0" w:line="240" w:lineRule="exact"/>
              <w:rPr>
                <w:sz w:val="20"/>
                <w:szCs w:val="20"/>
                <w:color w:val="auto"/>
              </w:rPr>
            </w:pPr>
            <w:r>
              <w:rPr>
                <w:rFonts w:ascii="Arial" w:cs="Arial" w:eastAsia="Arial" w:hAnsi="Arial"/>
                <w:sz w:val="21"/>
                <w:szCs w:val="21"/>
                <w:color w:val="auto"/>
                <w:w w:val="97"/>
              </w:rPr>
              <w:t>Beneficiary will be deemed to be his surviving spouse. If the Participant has no surviving spouse, the benefits remaining</w:t>
            </w:r>
          </w:p>
        </w:tc>
      </w:tr>
      <w:tr>
        <w:trPr>
          <w:trHeight w:val="240"/>
        </w:trPr>
        <w:tc>
          <w:tcPr>
            <w:tcW w:w="480" w:type="dxa"/>
            <w:vAlign w:val="bottom"/>
          </w:tcPr>
          <w:p>
            <w:pPr>
              <w:spacing w:after="0"/>
              <w:rPr>
                <w:sz w:val="20"/>
                <w:szCs w:val="20"/>
                <w:color w:val="auto"/>
              </w:rPr>
            </w:pPr>
          </w:p>
        </w:tc>
        <w:tc>
          <w:tcPr>
            <w:tcW w:w="10860" w:type="dxa"/>
            <w:vAlign w:val="bottom"/>
            <w:gridSpan w:val="6"/>
          </w:tcPr>
          <w:p>
            <w:pPr>
              <w:jc w:val="right"/>
              <w:spacing w:after="0" w:line="240" w:lineRule="exact"/>
              <w:rPr>
                <w:sz w:val="20"/>
                <w:szCs w:val="20"/>
                <w:color w:val="auto"/>
              </w:rPr>
            </w:pPr>
            <w:r>
              <w:rPr>
                <w:rFonts w:ascii="Arial" w:cs="Arial" w:eastAsia="Arial" w:hAnsi="Arial"/>
                <w:sz w:val="21"/>
                <w:szCs w:val="21"/>
                <w:color w:val="auto"/>
                <w:w w:val="98"/>
              </w:rPr>
              <w:t>under the Plan and the LTIP will be payable to the executor or personal representative of the Participant’s estate.  The</w:t>
            </w:r>
          </w:p>
        </w:tc>
      </w:tr>
      <w:tr>
        <w:trPr>
          <w:trHeight w:val="240"/>
        </w:trPr>
        <w:tc>
          <w:tcPr>
            <w:tcW w:w="480" w:type="dxa"/>
            <w:vAlign w:val="bottom"/>
          </w:tcPr>
          <w:p>
            <w:pPr>
              <w:spacing w:after="0"/>
              <w:rPr>
                <w:sz w:val="20"/>
                <w:szCs w:val="20"/>
                <w:color w:val="auto"/>
              </w:rPr>
            </w:pPr>
          </w:p>
        </w:tc>
        <w:tc>
          <w:tcPr>
            <w:tcW w:w="10860" w:type="dxa"/>
            <w:vAlign w:val="bottom"/>
            <w:gridSpan w:val="6"/>
          </w:tcPr>
          <w:p>
            <w:pPr>
              <w:jc w:val="right"/>
              <w:spacing w:after="0" w:line="240" w:lineRule="exact"/>
              <w:rPr>
                <w:sz w:val="20"/>
                <w:szCs w:val="20"/>
                <w:color w:val="auto"/>
              </w:rPr>
            </w:pPr>
            <w:r>
              <w:rPr>
                <w:rFonts w:ascii="Arial" w:cs="Arial" w:eastAsia="Arial" w:hAnsi="Arial"/>
                <w:sz w:val="21"/>
                <w:szCs w:val="21"/>
                <w:color w:val="auto"/>
                <w:w w:val="96"/>
              </w:rPr>
              <w:t>payment of benefits under this Plan and the LTIP to a Beneficiary will fully and completely discharge the Corporation and</w:t>
            </w:r>
          </w:p>
        </w:tc>
      </w:tr>
      <w:tr>
        <w:trPr>
          <w:trHeight w:val="272"/>
        </w:trPr>
        <w:tc>
          <w:tcPr>
            <w:tcW w:w="480" w:type="dxa"/>
            <w:vAlign w:val="bottom"/>
          </w:tcPr>
          <w:p>
            <w:pPr>
              <w:spacing w:after="0"/>
              <w:rPr>
                <w:sz w:val="23"/>
                <w:szCs w:val="23"/>
                <w:color w:val="auto"/>
              </w:rPr>
            </w:pPr>
          </w:p>
        </w:tc>
        <w:tc>
          <w:tcPr>
            <w:tcW w:w="10860" w:type="dxa"/>
            <w:vAlign w:val="bottom"/>
            <w:gridSpan w:val="6"/>
          </w:tcPr>
          <w:p>
            <w:pPr>
              <w:jc w:val="right"/>
              <w:ind w:right="1760"/>
              <w:spacing w:after="0"/>
              <w:rPr>
                <w:sz w:val="20"/>
                <w:szCs w:val="20"/>
                <w:color w:val="auto"/>
              </w:rPr>
            </w:pPr>
            <w:r>
              <w:rPr>
                <w:rFonts w:ascii="Arial" w:cs="Arial" w:eastAsia="Arial" w:hAnsi="Arial"/>
                <w:sz w:val="21"/>
                <w:szCs w:val="21"/>
                <w:color w:val="auto"/>
                <w:w w:val="96"/>
              </w:rPr>
              <w:t>the Committee from all further obligations under this Plan and the LTIP with respect to the Participant.</w:t>
            </w:r>
          </w:p>
        </w:tc>
      </w:tr>
      <w:tr>
        <w:trPr>
          <w:trHeight w:val="403"/>
        </w:trPr>
        <w:tc>
          <w:tcPr>
            <w:tcW w:w="480" w:type="dxa"/>
            <w:vAlign w:val="bottom"/>
          </w:tcPr>
          <w:p>
            <w:pPr>
              <w:jc w:val="right"/>
              <w:ind w:right="213"/>
              <w:spacing w:after="0"/>
              <w:rPr>
                <w:sz w:val="20"/>
                <w:szCs w:val="20"/>
                <w:color w:val="auto"/>
              </w:rPr>
            </w:pPr>
            <w:r>
              <w:rPr>
                <w:rFonts w:ascii="Arial" w:cs="Arial" w:eastAsia="Arial" w:hAnsi="Arial"/>
                <w:sz w:val="21"/>
                <w:szCs w:val="21"/>
                <w:color w:val="auto"/>
                <w:w w:val="79"/>
              </w:rPr>
              <w:t>7.</w:t>
            </w:r>
          </w:p>
        </w:tc>
        <w:tc>
          <w:tcPr>
            <w:tcW w:w="1120" w:type="dxa"/>
            <w:vAlign w:val="bottom"/>
          </w:tcPr>
          <w:p>
            <w:pPr>
              <w:spacing w:after="0"/>
              <w:rPr>
                <w:sz w:val="24"/>
                <w:szCs w:val="24"/>
                <w:color w:val="auto"/>
              </w:rPr>
            </w:pPr>
          </w:p>
        </w:tc>
        <w:tc>
          <w:tcPr>
            <w:tcW w:w="9740" w:type="dxa"/>
            <w:vAlign w:val="bottom"/>
            <w:gridSpan w:val="5"/>
          </w:tcPr>
          <w:p>
            <w:pPr>
              <w:spacing w:after="0"/>
              <w:rPr>
                <w:sz w:val="20"/>
                <w:szCs w:val="20"/>
                <w:color w:val="auto"/>
              </w:rPr>
            </w:pPr>
            <w:r>
              <w:rPr>
                <w:rFonts w:ascii="Arial" w:cs="Arial" w:eastAsia="Arial" w:hAnsi="Arial"/>
                <w:sz w:val="21"/>
                <w:szCs w:val="21"/>
                <w:color w:val="auto"/>
              </w:rPr>
              <w:t>Amendment and Termination of Plan.</w:t>
            </w:r>
          </w:p>
        </w:tc>
      </w:tr>
      <w:tr>
        <w:trPr>
          <w:trHeight w:val="20"/>
        </w:trPr>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433"/>
        </w:trPr>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00" w:type="dxa"/>
            <w:vAlign w:val="bottom"/>
          </w:tcPr>
          <w:p>
            <w:pPr>
              <w:jc w:val="right"/>
              <w:ind w:right="1653"/>
              <w:spacing w:after="0"/>
              <w:rPr>
                <w:sz w:val="20"/>
                <w:szCs w:val="20"/>
                <w:color w:val="auto"/>
              </w:rPr>
            </w:pPr>
            <w:r>
              <w:rPr>
                <w:rFonts w:ascii="Arial" w:cs="Arial" w:eastAsia="Arial" w:hAnsi="Arial"/>
                <w:sz w:val="21"/>
                <w:szCs w:val="21"/>
                <w:color w:val="auto"/>
              </w:rPr>
              <w:t>7.1</w:t>
            </w:r>
          </w:p>
        </w:tc>
        <w:tc>
          <w:tcPr>
            <w:tcW w:w="160" w:type="dxa"/>
            <w:vAlign w:val="bottom"/>
          </w:tcPr>
          <w:p>
            <w:pPr>
              <w:spacing w:after="0"/>
              <w:rPr>
                <w:sz w:val="24"/>
                <w:szCs w:val="24"/>
                <w:color w:val="auto"/>
              </w:rPr>
            </w:pPr>
          </w:p>
        </w:tc>
        <w:tc>
          <w:tcPr>
            <w:tcW w:w="7480" w:type="dxa"/>
            <w:vAlign w:val="bottom"/>
            <w:gridSpan w:val="3"/>
          </w:tcPr>
          <w:p>
            <w:pPr>
              <w:jc w:val="right"/>
              <w:spacing w:after="0"/>
              <w:rPr>
                <w:sz w:val="20"/>
                <w:szCs w:val="20"/>
                <w:color w:val="auto"/>
              </w:rPr>
            </w:pPr>
            <w:r>
              <w:rPr>
                <w:rFonts w:ascii="Arial" w:cs="Arial" w:eastAsia="Arial" w:hAnsi="Arial"/>
                <w:sz w:val="21"/>
                <w:szCs w:val="21"/>
                <w:color w:val="auto"/>
                <w:w w:val="97"/>
              </w:rPr>
              <w:t>Amendment.   The  Committee,  in  its  sole  discretion,  may  amend,  suspend  or</w:t>
            </w:r>
          </w:p>
        </w:tc>
      </w:tr>
      <w:tr>
        <w:trPr>
          <w:trHeight w:val="20"/>
        </w:trPr>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bl>
    <w:p>
      <w:pPr>
        <w:spacing w:after="0" w:line="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discontinue the Plan or any deferral election at any time; provided that no such amendment, suspension, or discontinuance will reduce the accrued benefit of any Participant except to the extent necessary to comply with any provision of federal, state, or other applicable law. The Committee further has the right, without a Participant’s consent, to amend or modify the terms of the Plan and such Participant’s deferrals to the extent that the Committee deems it necessary to avoid adverse or unintended tax consequences to such Participant under Code Section 409A.</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29043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1" w:name="page112"/>
    <w:bookmarkEnd w:id="111"/>
    <w:p>
      <w:pPr>
        <w:ind w:left="1760"/>
        <w:spacing w:after="0"/>
        <w:tabs>
          <w:tab w:leader="none" w:pos="3920" w:val="left"/>
        </w:tabs>
        <w:rPr>
          <w:sz w:val="20"/>
          <w:szCs w:val="20"/>
          <w:color w:val="auto"/>
        </w:rPr>
      </w:pPr>
      <w:r>
        <w:rPr>
          <w:rFonts w:ascii="Arial" w:cs="Arial" w:eastAsia="Arial" w:hAnsi="Arial"/>
          <w:sz w:val="21"/>
          <w:szCs w:val="21"/>
          <w:color w:val="auto"/>
        </w:rPr>
        <w:t>7.2</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 The Board, in its sole discretion, may terminate the Plan at any time, as</w:t>
      </w:r>
    </w:p>
    <w:p>
      <w:pPr>
        <w:spacing w:after="0" w:line="17"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long as such termination complies with then applicable tax and other requirements. Distributions of outstanding Account balances as of the date on which the Plan is terminated will be made in a lump sum payment 12 months after such termination, unless the right to receive a distribution in accordance with the terms of the Plan would occur before the end of such 12-month period, in which case distribution will be made in accordance with the terms of the Plan.</w:t>
      </w:r>
    </w:p>
    <w:p>
      <w:pPr>
        <w:spacing w:after="0" w:line="161" w:lineRule="exact"/>
        <w:rPr>
          <w:sz w:val="20"/>
          <w:szCs w:val="20"/>
          <w:color w:val="auto"/>
        </w:rPr>
      </w:pPr>
    </w:p>
    <w:tbl>
      <w:tblPr>
        <w:tblLayout w:type="fixed"/>
        <w:tblInd w:w="80" w:type="dxa"/>
        <w:tblCellMar>
          <w:top w:w="0" w:type="dxa"/>
          <w:left w:w="0" w:type="dxa"/>
          <w:bottom w:w="0" w:type="dxa"/>
          <w:right w:w="0" w:type="dxa"/>
        </w:tblCellMar>
      </w:tblPr>
      <w:tr>
        <w:trPr>
          <w:trHeight w:val="241"/>
        </w:trPr>
        <w:tc>
          <w:tcPr>
            <w:tcW w:w="1600" w:type="dxa"/>
            <w:vAlign w:val="bottom"/>
          </w:tcPr>
          <w:p>
            <w:pPr>
              <w:jc w:val="right"/>
              <w:ind w:right="1333"/>
              <w:spacing w:after="0"/>
              <w:rPr>
                <w:sz w:val="20"/>
                <w:szCs w:val="20"/>
                <w:color w:val="auto"/>
              </w:rPr>
            </w:pPr>
            <w:r>
              <w:rPr>
                <w:rFonts w:ascii="Arial" w:cs="Arial" w:eastAsia="Arial" w:hAnsi="Arial"/>
                <w:sz w:val="21"/>
                <w:szCs w:val="21"/>
                <w:color w:val="auto"/>
                <w:w w:val="79"/>
              </w:rPr>
              <w:t>8.</w:t>
            </w:r>
          </w:p>
        </w:tc>
        <w:tc>
          <w:tcPr>
            <w:tcW w:w="2260" w:type="dxa"/>
            <w:vAlign w:val="bottom"/>
            <w:gridSpan w:val="2"/>
          </w:tcPr>
          <w:p>
            <w:pPr>
              <w:spacing w:after="0"/>
              <w:rPr>
                <w:sz w:val="20"/>
                <w:szCs w:val="20"/>
                <w:color w:val="auto"/>
              </w:rPr>
            </w:pPr>
            <w:r>
              <w:rPr>
                <w:rFonts w:ascii="Arial" w:cs="Arial" w:eastAsia="Arial" w:hAnsi="Arial"/>
                <w:sz w:val="21"/>
                <w:szCs w:val="21"/>
                <w:color w:val="auto"/>
              </w:rPr>
              <w:t>Miscellaneous.</w:t>
            </w:r>
          </w:p>
        </w:tc>
        <w:tc>
          <w:tcPr>
            <w:tcW w:w="1300" w:type="dxa"/>
            <w:vAlign w:val="bottom"/>
          </w:tcPr>
          <w:p>
            <w:pPr>
              <w:spacing w:after="0"/>
              <w:rPr>
                <w:sz w:val="21"/>
                <w:szCs w:val="21"/>
                <w:color w:val="auto"/>
              </w:rPr>
            </w:pPr>
          </w:p>
        </w:tc>
        <w:tc>
          <w:tcPr>
            <w:tcW w:w="6180" w:type="dxa"/>
            <w:vAlign w:val="bottom"/>
          </w:tcPr>
          <w:p>
            <w:pPr>
              <w:spacing w:after="0"/>
              <w:rPr>
                <w:sz w:val="21"/>
                <w:szCs w:val="21"/>
                <w:color w:val="auto"/>
              </w:rPr>
            </w:pPr>
          </w:p>
        </w:tc>
      </w:tr>
      <w:tr>
        <w:trPr>
          <w:trHeight w:val="433"/>
        </w:trPr>
        <w:tc>
          <w:tcPr>
            <w:tcW w:w="1600" w:type="dxa"/>
            <w:vAlign w:val="bottom"/>
          </w:tcPr>
          <w:p>
            <w:pPr>
              <w:spacing w:after="0"/>
              <w:rPr>
                <w:sz w:val="24"/>
                <w:szCs w:val="24"/>
                <w:color w:val="auto"/>
              </w:rPr>
            </w:pPr>
          </w:p>
        </w:tc>
        <w:tc>
          <w:tcPr>
            <w:tcW w:w="1240" w:type="dxa"/>
            <w:vAlign w:val="bottom"/>
            <w:tcBorders>
              <w:top w:val="single" w:sz="8" w:color="auto"/>
            </w:tcBorders>
          </w:tcPr>
          <w:p>
            <w:pPr>
              <w:jc w:val="right"/>
              <w:ind w:right="793"/>
              <w:spacing w:after="0"/>
              <w:rPr>
                <w:sz w:val="20"/>
                <w:szCs w:val="20"/>
                <w:color w:val="auto"/>
              </w:rPr>
            </w:pPr>
            <w:r>
              <w:rPr>
                <w:rFonts w:ascii="Arial" w:cs="Arial" w:eastAsia="Arial" w:hAnsi="Arial"/>
                <w:sz w:val="21"/>
                <w:szCs w:val="21"/>
                <w:color w:val="auto"/>
              </w:rPr>
              <w:t>8.1</w:t>
            </w:r>
          </w:p>
        </w:tc>
        <w:tc>
          <w:tcPr>
            <w:tcW w:w="1020" w:type="dxa"/>
            <w:vAlign w:val="bottom"/>
          </w:tcPr>
          <w:p>
            <w:pPr>
              <w:spacing w:after="0"/>
              <w:rPr>
                <w:sz w:val="24"/>
                <w:szCs w:val="24"/>
                <w:color w:val="auto"/>
              </w:rPr>
            </w:pPr>
          </w:p>
        </w:tc>
        <w:tc>
          <w:tcPr>
            <w:tcW w:w="7480" w:type="dxa"/>
            <w:vAlign w:val="bottom"/>
            <w:gridSpan w:val="2"/>
          </w:tcPr>
          <w:p>
            <w:pPr>
              <w:spacing w:after="0"/>
              <w:rPr>
                <w:sz w:val="20"/>
                <w:szCs w:val="20"/>
                <w:color w:val="auto"/>
              </w:rPr>
            </w:pPr>
            <w:r>
              <w:rPr>
                <w:rFonts w:ascii="Arial" w:cs="Arial" w:eastAsia="Arial" w:hAnsi="Arial"/>
                <w:sz w:val="21"/>
                <w:szCs w:val="21"/>
                <w:color w:val="auto"/>
                <w:w w:val="94"/>
              </w:rPr>
              <w:t>Unfunded Plan. This Plan is intended to be an unfunded plan maintained primarily for</w:t>
            </w:r>
          </w:p>
        </w:tc>
      </w:tr>
      <w:tr>
        <w:trPr>
          <w:trHeight w:val="20"/>
        </w:trPr>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r>
    </w:tbl>
    <w:p>
      <w:pPr>
        <w:spacing w:after="0" w:line="5"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purpose of providing deferred compensation for Directors. All payments pursuant to the Plan will be made from the general funds of the Corporation and no special or separate fund will be established or other segregation of assets made to assure payment. No Participant or other person will have under any circumstances any interest in any particular property or assets of the Corporation as a result of participating in the Plan.</w:t>
      </w:r>
    </w:p>
    <w:p>
      <w:pPr>
        <w:spacing w:after="0" w:line="175"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1"/>
          <w:szCs w:val="21"/>
          <w:color w:val="auto"/>
        </w:rPr>
        <w:t xml:space="preserve">8.2 </w:t>
      </w:r>
      <w:r>
        <w:rPr>
          <w:rFonts w:ascii="Arial" w:cs="Arial" w:eastAsia="Arial" w:hAnsi="Arial"/>
          <w:sz w:val="21"/>
          <w:szCs w:val="21"/>
          <w:u w:val="single" w:color="auto"/>
          <w:color w:val="auto"/>
        </w:rPr>
        <w:t>Nonassignability</w:t>
      </w:r>
      <w:r>
        <w:rPr>
          <w:rFonts w:ascii="Arial" w:cs="Arial" w:eastAsia="Arial" w:hAnsi="Arial"/>
          <w:sz w:val="21"/>
          <w:szCs w:val="21"/>
          <w:color w:val="auto"/>
        </w:rPr>
        <w:t>. Except as specifically set forth in the Plan with respect to the designation of Beneficiaries, neither a Participant nor any other person has any right to commute, sell, assign, transfer, pledge, anticipate, mortgage, or otherwise encumber, transfer, hypothecate, or convey in advance of actual receipt the amounts, if any, payable hereunder, or any part thereof, which are, and all rights to which are, expressly declared to be unassignable and non-transferable. No part of the amounts payable will, prior to actual payment, be subject to seizure or sequestration for the payment of any debts, judgments, alimony, or separate maintenance owed by a Participant or any other person, nor be transferable by operation of law in the event of a Participant’s or any other person’s bankruptcy or insolvency.</w:t>
      </w:r>
    </w:p>
    <w:p>
      <w:pPr>
        <w:spacing w:after="0" w:line="182" w:lineRule="exact"/>
        <w:rPr>
          <w:sz w:val="20"/>
          <w:szCs w:val="20"/>
          <w:color w:val="auto"/>
        </w:rPr>
      </w:pPr>
    </w:p>
    <w:p>
      <w:pPr>
        <w:ind w:left="1760"/>
        <w:spacing w:after="0"/>
        <w:tabs>
          <w:tab w:leader="none" w:pos="3920" w:val="left"/>
        </w:tabs>
        <w:rPr>
          <w:sz w:val="20"/>
          <w:szCs w:val="20"/>
          <w:color w:val="auto"/>
        </w:rPr>
      </w:pPr>
      <w:r>
        <w:rPr>
          <w:rFonts w:ascii="Arial" w:cs="Arial" w:eastAsia="Arial" w:hAnsi="Arial"/>
          <w:sz w:val="21"/>
          <w:szCs w:val="21"/>
          <w:color w:val="auto"/>
        </w:rPr>
        <w:t>8.3</w:t>
      </w:r>
      <w:r>
        <w:rPr>
          <w:sz w:val="20"/>
          <w:szCs w:val="20"/>
          <w:color w:val="auto"/>
        </w:rPr>
        <w:tab/>
      </w:r>
      <w:r>
        <w:rPr>
          <w:rFonts w:ascii="Arial" w:cs="Arial" w:eastAsia="Arial" w:hAnsi="Arial"/>
          <w:sz w:val="20"/>
          <w:szCs w:val="20"/>
          <w:u w:val="single" w:color="auto"/>
          <w:color w:val="auto"/>
        </w:rPr>
        <w:t>Validity and Severability; Code Section 409A</w:t>
      </w:r>
      <w:r>
        <w:rPr>
          <w:rFonts w:ascii="Arial" w:cs="Arial" w:eastAsia="Arial" w:hAnsi="Arial"/>
          <w:sz w:val="20"/>
          <w:szCs w:val="20"/>
          <w:color w:val="auto"/>
        </w:rPr>
        <w:t>.  The invalidity or unenforceability of</w:t>
      </w:r>
    </w:p>
    <w:p>
      <w:pPr>
        <w:spacing w:after="0" w:line="17"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any provision of this Plan will not affect the validity or enforceability of any other provision of this Plan, which will remain in full force and effect, and any prohibition or unenforceability in any jurisdiction will not invalidate or render unenforceable such provision in any other jurisdiction. If any provision of the Plan is capable of being interpreted in more than one manner, to the extent feasible, the provision will be interpreted in a manner that does not result in an excise tax under Code Section 409A. This Plan is intended to comply with the requirements of Code Section 409A and is to be construed accordingly.</w:t>
      </w:r>
    </w:p>
    <w:p>
      <w:pPr>
        <w:spacing w:after="0" w:line="169" w:lineRule="exact"/>
        <w:rPr>
          <w:sz w:val="20"/>
          <w:szCs w:val="20"/>
          <w:color w:val="auto"/>
        </w:rPr>
      </w:pPr>
    </w:p>
    <w:p>
      <w:pPr>
        <w:jc w:val="both"/>
        <w:ind w:firstLine="1755"/>
        <w:spacing w:after="0" w:line="253" w:lineRule="auto"/>
        <w:rPr>
          <w:sz w:val="20"/>
          <w:szCs w:val="20"/>
          <w:color w:val="auto"/>
        </w:rPr>
      </w:pPr>
      <w:r>
        <w:rPr>
          <w:rFonts w:ascii="Arial" w:cs="Arial" w:eastAsia="Arial" w:hAnsi="Arial"/>
          <w:sz w:val="21"/>
          <w:szCs w:val="21"/>
          <w:color w:val="auto"/>
        </w:rPr>
        <w:t xml:space="preserve">8.4 </w:t>
      </w:r>
      <w:r>
        <w:rPr>
          <w:rFonts w:ascii="Arial" w:cs="Arial" w:eastAsia="Arial" w:hAnsi="Arial"/>
          <w:sz w:val="21"/>
          <w:szCs w:val="21"/>
          <w:u w:val="single" w:color="auto"/>
          <w:color w:val="auto"/>
        </w:rPr>
        <w:t>Governing Law</w:t>
      </w:r>
      <w:r>
        <w:rPr>
          <w:rFonts w:ascii="Arial" w:cs="Arial" w:eastAsia="Arial" w:hAnsi="Arial"/>
          <w:sz w:val="21"/>
          <w:szCs w:val="21"/>
          <w:color w:val="auto"/>
        </w:rPr>
        <w:t>. The validity, interpretation, construction, and performance of this Plan will in all respects be governed by the laws of the State of Delaware, without reference to principles of conflict of law, except to the extent preempted by federal law.</w:t>
      </w:r>
    </w:p>
    <w:p>
      <w:pPr>
        <w:spacing w:after="0" w:line="170" w:lineRule="exact"/>
        <w:rPr>
          <w:sz w:val="20"/>
          <w:szCs w:val="20"/>
          <w:color w:val="auto"/>
        </w:rPr>
      </w:pPr>
    </w:p>
    <w:p>
      <w:pPr>
        <w:jc w:val="both"/>
        <w:ind w:firstLine="1755"/>
        <w:spacing w:after="0" w:line="253" w:lineRule="auto"/>
        <w:rPr>
          <w:sz w:val="20"/>
          <w:szCs w:val="20"/>
          <w:color w:val="auto"/>
        </w:rPr>
      </w:pPr>
      <w:r>
        <w:rPr>
          <w:rFonts w:ascii="Arial" w:cs="Arial" w:eastAsia="Arial" w:hAnsi="Arial"/>
          <w:sz w:val="21"/>
          <w:szCs w:val="21"/>
          <w:color w:val="auto"/>
        </w:rPr>
        <w:t xml:space="preserve">8.5 </w:t>
      </w:r>
      <w:r>
        <w:rPr>
          <w:rFonts w:ascii="Arial" w:cs="Arial" w:eastAsia="Arial" w:hAnsi="Arial"/>
          <w:sz w:val="21"/>
          <w:szCs w:val="21"/>
          <w:u w:val="single" w:color="auto"/>
          <w:color w:val="auto"/>
        </w:rPr>
        <w:t>Status</w:t>
      </w:r>
      <w:r>
        <w:rPr>
          <w:rFonts w:ascii="Arial" w:cs="Arial" w:eastAsia="Arial" w:hAnsi="Arial"/>
          <w:sz w:val="21"/>
          <w:szCs w:val="21"/>
          <w:color w:val="auto"/>
        </w:rPr>
        <w:t>. Nothing in this Plan or any instrument executed pursuant to this Plan will confer upon any Participant any right to continue as a director of the Corporation or affect the right of the Board to terminate the services of any Participant.</w:t>
      </w:r>
    </w:p>
    <w:p>
      <w:pPr>
        <w:spacing w:after="0" w:line="170" w:lineRule="exact"/>
        <w:rPr>
          <w:sz w:val="20"/>
          <w:szCs w:val="20"/>
          <w:color w:val="auto"/>
        </w:rPr>
      </w:pPr>
    </w:p>
    <w:p>
      <w:pPr>
        <w:jc w:val="both"/>
        <w:ind w:firstLine="1755"/>
        <w:spacing w:after="0" w:line="253" w:lineRule="auto"/>
        <w:rPr>
          <w:sz w:val="20"/>
          <w:szCs w:val="20"/>
          <w:color w:val="auto"/>
        </w:rPr>
      </w:pPr>
      <w:r>
        <w:rPr>
          <w:rFonts w:ascii="Arial" w:cs="Arial" w:eastAsia="Arial" w:hAnsi="Arial"/>
          <w:sz w:val="21"/>
          <w:szCs w:val="21"/>
          <w:color w:val="auto"/>
        </w:rPr>
        <w:t xml:space="preserve">8.6 </w:t>
      </w:r>
      <w:r>
        <w:rPr>
          <w:rFonts w:ascii="Arial" w:cs="Arial" w:eastAsia="Arial" w:hAnsi="Arial"/>
          <w:sz w:val="21"/>
          <w:szCs w:val="21"/>
          <w:u w:val="single" w:color="auto"/>
          <w:color w:val="auto"/>
        </w:rPr>
        <w:t>Underlying Plans and Programs</w:t>
      </w:r>
      <w:r>
        <w:rPr>
          <w:rFonts w:ascii="Arial" w:cs="Arial" w:eastAsia="Arial" w:hAnsi="Arial"/>
          <w:sz w:val="21"/>
          <w:szCs w:val="21"/>
          <w:color w:val="auto"/>
        </w:rPr>
        <w:t>. Nothing in this Plan will prevent the Corporation from modifying, amending, or terminating the compensation or the plans and programs pursuant to which compensation is earned and which is deferred under this Plan.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 * * * * * * * * * * *</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29043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2" w:name="page113"/>
    <w:bookmarkEnd w:id="112"/>
    <w:p>
      <w:pPr>
        <w:spacing w:after="0"/>
        <w:rPr>
          <w:sz w:val="20"/>
          <w:szCs w:val="20"/>
          <w:color w:val="auto"/>
        </w:rPr>
      </w:pPr>
      <w:r>
        <w:rPr>
          <w:rFonts w:ascii="Arial" w:cs="Arial" w:eastAsia="Arial" w:hAnsi="Arial"/>
          <w:sz w:val="19"/>
          <w:szCs w:val="19"/>
          <w:color w:val="auto"/>
        </w:rPr>
        <w:t>As approved by the Committee and adopted by the Board of Directors on November 8, 2017.</w:t>
      </w:r>
    </w:p>
    <w:p>
      <w:pPr>
        <w:sectPr>
          <w:pgSz w:w="11900" w:h="16838" w:orient="portrait"/>
          <w:cols w:equalWidth="0" w:num="1">
            <w:col w:w="10219"/>
          </w:cols>
          <w:pgMar w:left="240" w:top="1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29043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type w:val="continuous"/>
        </w:sectPr>
      </w:pPr>
    </w:p>
    <w:bookmarkStart w:id="113" w:name="page114"/>
    <w:bookmarkEnd w:id="113"/>
    <w:p>
      <w:pPr>
        <w:ind w:left="5260"/>
        <w:spacing w:after="0"/>
        <w:rPr>
          <w:sz w:val="20"/>
          <w:szCs w:val="20"/>
          <w:color w:val="auto"/>
        </w:rPr>
      </w:pPr>
      <w:r>
        <w:rPr>
          <w:rFonts w:ascii="Arial" w:cs="Arial" w:eastAsia="Arial" w:hAnsi="Arial"/>
          <w:sz w:val="21"/>
          <w:szCs w:val="21"/>
          <w:b w:val="1"/>
          <w:bCs w:val="1"/>
          <w:color w:val="auto"/>
        </w:rPr>
        <w:t>Appendix</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21"/>
          <w:szCs w:val="21"/>
          <w:b w:val="1"/>
          <w:bCs w:val="1"/>
          <w:u w:val="single" w:color="auto"/>
          <w:color w:val="auto"/>
        </w:rPr>
        <w:t>Definitions</w:t>
      </w:r>
    </w:p>
    <w:p>
      <w:pPr>
        <w:spacing w:after="0" w:line="194" w:lineRule="exact"/>
        <w:rPr>
          <w:sz w:val="20"/>
          <w:szCs w:val="20"/>
          <w:color w:val="auto"/>
        </w:rPr>
      </w:pPr>
    </w:p>
    <w:p>
      <w:pPr>
        <w:jc w:val="both"/>
        <w:ind w:firstLine="878"/>
        <w:spacing w:after="0" w:line="268" w:lineRule="auto"/>
        <w:rPr>
          <w:sz w:val="20"/>
          <w:szCs w:val="20"/>
          <w:color w:val="auto"/>
        </w:rPr>
      </w:pPr>
      <w:r>
        <w:rPr>
          <w:rFonts w:ascii="Arial" w:cs="Arial" w:eastAsia="Arial" w:hAnsi="Arial"/>
          <w:sz w:val="21"/>
          <w:szCs w:val="21"/>
          <w:color w:val="auto"/>
        </w:rPr>
        <w:t>Unless otherwise defined in this Plan (including the preamble and the recitals), the following terms have the meanings indicated, unless the context clearly indicates otherwise:</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Account</w:t>
      </w:r>
      <w:r>
        <w:rPr>
          <w:rFonts w:ascii="Arial" w:cs="Arial" w:eastAsia="Arial" w:hAnsi="Arial"/>
          <w:sz w:val="20"/>
          <w:szCs w:val="20"/>
          <w:color w:val="auto"/>
        </w:rPr>
        <w:t xml:space="preserve">” means the bookkeeping account maintained by the Corporation for each Participant pursuant to </w:t>
      </w:r>
      <w:r>
        <w:rPr>
          <w:rFonts w:ascii="Arial" w:cs="Arial" w:eastAsia="Arial" w:hAnsi="Arial"/>
          <w:sz w:val="20"/>
          <w:szCs w:val="20"/>
          <w:u w:val="single" w:color="auto"/>
          <w:color w:val="auto"/>
        </w:rPr>
        <w:t>Section 4</w:t>
      </w:r>
      <w:r>
        <w:rPr>
          <w:rFonts w:ascii="Arial" w:cs="Arial" w:eastAsia="Arial" w:hAnsi="Arial"/>
          <w:sz w:val="20"/>
          <w:szCs w:val="20"/>
          <w:color w:val="auto"/>
        </w:rPr>
        <w:t>.</w:t>
      </w:r>
    </w:p>
    <w:p>
      <w:pPr>
        <w:spacing w:after="0" w:line="223" w:lineRule="exact"/>
        <w:rPr>
          <w:sz w:val="20"/>
          <w:szCs w:val="20"/>
          <w:color w:val="auto"/>
        </w:rPr>
      </w:pPr>
    </w:p>
    <w:p>
      <w:pPr>
        <w:jc w:val="both"/>
        <w:ind w:firstLine="87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Beneficiary</w:t>
      </w:r>
      <w:r>
        <w:rPr>
          <w:rFonts w:ascii="Arial" w:cs="Arial" w:eastAsia="Arial" w:hAnsi="Arial"/>
          <w:sz w:val="21"/>
          <w:szCs w:val="21"/>
          <w:color w:val="auto"/>
        </w:rPr>
        <w:t xml:space="preserve">” means the person, persons, or entity designated by the Participant to receive any benefits payable under the Plan pursuant to </w:t>
      </w:r>
      <w:r>
        <w:rPr>
          <w:rFonts w:ascii="Arial" w:cs="Arial" w:eastAsia="Arial" w:hAnsi="Arial"/>
          <w:sz w:val="21"/>
          <w:szCs w:val="21"/>
          <w:u w:val="single" w:color="auto"/>
          <w:color w:val="auto"/>
        </w:rPr>
        <w:t>Section 6</w:t>
      </w:r>
      <w:r>
        <w:rPr>
          <w:rFonts w:ascii="Arial" w:cs="Arial" w:eastAsia="Arial" w:hAnsi="Arial"/>
          <w:sz w:val="21"/>
          <w:szCs w:val="21"/>
          <w:color w:val="auto"/>
        </w:rPr>
        <w:t>.</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Board</w:t>
      </w:r>
      <w:r>
        <w:rPr>
          <w:rFonts w:ascii="Arial" w:cs="Arial" w:eastAsia="Arial" w:hAnsi="Arial"/>
          <w:sz w:val="21"/>
          <w:szCs w:val="21"/>
          <w:color w:val="auto"/>
        </w:rPr>
        <w:t>” means the Board of Directors of the Corporation.</w:t>
      </w:r>
    </w:p>
    <w:p>
      <w:pPr>
        <w:spacing w:after="0" w:line="212" w:lineRule="exact"/>
        <w:rPr>
          <w:sz w:val="20"/>
          <w:szCs w:val="20"/>
          <w:color w:val="auto"/>
        </w:rPr>
      </w:pPr>
    </w:p>
    <w:p>
      <w:pPr>
        <w:jc w:val="both"/>
        <w:ind w:firstLine="878"/>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Compensation</w:t>
      </w:r>
      <w:r>
        <w:rPr>
          <w:rFonts w:ascii="Arial" w:cs="Arial" w:eastAsia="Arial" w:hAnsi="Arial"/>
          <w:sz w:val="19"/>
          <w:szCs w:val="19"/>
          <w:color w:val="auto"/>
        </w:rPr>
        <w:t>” means all compensation payable by the Corporation in cash to a Director for his or her services as a member of the Board, including, without limitation, any annual retainer, fees for acting as chairperson of the Board or any committee, fees for serving on any committee of the Board, and any other fees as may become payable to a Director. “Cash Compensation” does not include expense reimbursements, any form of non-cash compensation, equity incentive awards, or benefits.</w:t>
      </w:r>
    </w:p>
    <w:p>
      <w:pPr>
        <w:spacing w:after="0" w:line="143" w:lineRule="exact"/>
        <w:rPr>
          <w:sz w:val="20"/>
          <w:szCs w:val="20"/>
          <w:color w:val="auto"/>
        </w:rPr>
      </w:pPr>
    </w:p>
    <w:p>
      <w:pPr>
        <w:jc w:val="both"/>
        <w:ind w:firstLine="87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Cash Deferral</w:t>
      </w:r>
      <w:r>
        <w:rPr>
          <w:rFonts w:ascii="Arial" w:cs="Arial" w:eastAsia="Arial" w:hAnsi="Arial"/>
          <w:sz w:val="21"/>
          <w:szCs w:val="21"/>
          <w:color w:val="auto"/>
        </w:rPr>
        <w:t xml:space="preserve">” means any portion of Cash Compensation that a Participant has elected to defer in a given Plan Year, as provided in </w:t>
      </w:r>
      <w:r>
        <w:rPr>
          <w:rFonts w:ascii="Arial" w:cs="Arial" w:eastAsia="Arial" w:hAnsi="Arial"/>
          <w:sz w:val="21"/>
          <w:szCs w:val="21"/>
          <w:u w:val="single" w:color="auto"/>
          <w:color w:val="auto"/>
        </w:rPr>
        <w:t>Section 3.2</w:t>
      </w:r>
      <w:r>
        <w:rPr>
          <w:rFonts w:ascii="Arial" w:cs="Arial" w:eastAsia="Arial" w:hAnsi="Arial"/>
          <w:sz w:val="21"/>
          <w:szCs w:val="21"/>
          <w:color w:val="auto"/>
        </w:rPr>
        <w:t>.</w:t>
      </w:r>
    </w:p>
    <w:p>
      <w:pPr>
        <w:spacing w:after="0" w:line="154"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in Control</w:t>
      </w:r>
      <w:r>
        <w:rPr>
          <w:rFonts w:ascii="Arial" w:cs="Arial" w:eastAsia="Arial" w:hAnsi="Arial"/>
          <w:sz w:val="21"/>
          <w:szCs w:val="21"/>
          <w:color w:val="auto"/>
        </w:rPr>
        <w:t>” means a “Change in Control” as defined in the applicable LTIP, provided such event also constitutes a change in ownership or effective control of the Corporation or a change in the ownership of a substantial portion of the Corporation’s assets, as such terms are defined in Code Section 409A.</w:t>
      </w:r>
    </w:p>
    <w:p>
      <w:pPr>
        <w:spacing w:after="0" w:line="170"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Code</w:t>
      </w:r>
      <w:r>
        <w:rPr>
          <w:rFonts w:ascii="Arial" w:cs="Arial" w:eastAsia="Arial" w:hAnsi="Arial"/>
          <w:sz w:val="21"/>
          <w:szCs w:val="21"/>
          <w:color w:val="auto"/>
        </w:rPr>
        <w:t>” means the Internal Revenue Code of 1986, as amended, and including, for each Code section referenced, the regulations and guidance issued under such section. References to any provision of the Code and related regulations (including a proposed regulation) include any successor provisions or regulations.</w:t>
      </w:r>
    </w:p>
    <w:p>
      <w:pPr>
        <w:spacing w:after="0" w:line="170"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Committee</w:t>
      </w:r>
      <w:r>
        <w:rPr>
          <w:rFonts w:ascii="Arial" w:cs="Arial" w:eastAsia="Arial" w:hAnsi="Arial"/>
          <w:sz w:val="21"/>
          <w:szCs w:val="21"/>
          <w:color w:val="auto"/>
        </w:rPr>
        <w:t>” means the Nominating and Corporate Governance Committee of the Board or a subcommittee of such committee. The Committee will consist of not fewer than two Directors, each of whom must qualify as a “non-employee director” under Rule 16b-3 promulgated under the Exchange Act or any successor rule.</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Common Stock</w:t>
      </w:r>
      <w:r>
        <w:rPr>
          <w:rFonts w:ascii="Arial" w:cs="Arial" w:eastAsia="Arial" w:hAnsi="Arial"/>
          <w:sz w:val="21"/>
          <w:szCs w:val="21"/>
          <w:color w:val="auto"/>
        </w:rPr>
        <w:t>” means the common stock of the Corporation, par value $0.0001 per share.</w:t>
      </w:r>
    </w:p>
    <w:p>
      <w:pPr>
        <w:spacing w:after="0" w:line="212" w:lineRule="exact"/>
        <w:rPr>
          <w:sz w:val="20"/>
          <w:szCs w:val="20"/>
          <w:color w:val="auto"/>
        </w:rPr>
      </w:pPr>
    </w:p>
    <w:p>
      <w:pPr>
        <w:jc w:val="both"/>
        <w:ind w:firstLine="87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Converted RSUs</w:t>
      </w:r>
      <w:r>
        <w:rPr>
          <w:rFonts w:ascii="Arial" w:cs="Arial" w:eastAsia="Arial" w:hAnsi="Arial"/>
          <w:sz w:val="21"/>
          <w:szCs w:val="21"/>
          <w:color w:val="auto"/>
        </w:rPr>
        <w:t xml:space="preserve">” means a number of fully vested RSUs issued under a LTIP to a given Participant in conversion of his or her Cash Deferral, as provided in </w:t>
      </w:r>
      <w:r>
        <w:rPr>
          <w:rFonts w:ascii="Arial" w:cs="Arial" w:eastAsia="Arial" w:hAnsi="Arial"/>
          <w:sz w:val="21"/>
          <w:szCs w:val="21"/>
          <w:u w:val="single" w:color="auto"/>
          <w:color w:val="auto"/>
        </w:rPr>
        <w:t>Section 3.2</w:t>
      </w:r>
      <w:r>
        <w:rPr>
          <w:rFonts w:ascii="Arial" w:cs="Arial" w:eastAsia="Arial" w:hAnsi="Arial"/>
          <w:sz w:val="21"/>
          <w:szCs w:val="21"/>
          <w:color w:val="auto"/>
        </w:rPr>
        <w:t>.</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Corporation</w:t>
      </w:r>
      <w:r>
        <w:rPr>
          <w:rFonts w:ascii="Arial" w:cs="Arial" w:eastAsia="Arial" w:hAnsi="Arial"/>
          <w:sz w:val="20"/>
          <w:szCs w:val="20"/>
          <w:color w:val="auto"/>
        </w:rPr>
        <w:t>” means Great Lakes Dredge &amp; Dock Corporation, a Delaware corporation, or any successor in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142875</wp:posOffset>
            </wp:positionV>
            <wp:extent cx="729043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114" w:name="page115"/>
    <w:bookmarkEnd w:id="114"/>
    <w:p>
      <w:pPr>
        <w:jc w:val="both"/>
        <w:ind w:firstLine="87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DSUs</w:t>
      </w:r>
      <w:r>
        <w:rPr>
          <w:rFonts w:ascii="Arial" w:cs="Arial" w:eastAsia="Arial" w:hAnsi="Arial"/>
          <w:sz w:val="21"/>
          <w:szCs w:val="21"/>
          <w:color w:val="auto"/>
        </w:rPr>
        <w:t xml:space="preserve">” means the total number of RSUs deferred by a given Participant in a given Plan Year, including both Converted RSUs and Deferred RSUs, as provided in </w:t>
      </w:r>
      <w:r>
        <w:rPr>
          <w:rFonts w:ascii="Arial" w:cs="Arial" w:eastAsia="Arial" w:hAnsi="Arial"/>
          <w:sz w:val="21"/>
          <w:szCs w:val="21"/>
          <w:u w:val="single" w:color="auto"/>
          <w:color w:val="auto"/>
        </w:rPr>
        <w:t>Section 3.3</w:t>
      </w:r>
      <w:r>
        <w:rPr>
          <w:rFonts w:ascii="Arial" w:cs="Arial" w:eastAsia="Arial" w:hAnsi="Arial"/>
          <w:sz w:val="21"/>
          <w:szCs w:val="21"/>
          <w:color w:val="auto"/>
        </w:rPr>
        <w:t>.</w:t>
      </w:r>
    </w:p>
    <w:p>
      <w:pPr>
        <w:spacing w:after="0" w:line="154" w:lineRule="exact"/>
        <w:rPr>
          <w:sz w:val="20"/>
          <w:szCs w:val="20"/>
          <w:color w:val="auto"/>
        </w:rPr>
      </w:pPr>
    </w:p>
    <w:p>
      <w:pPr>
        <w:jc w:val="both"/>
        <w:ind w:firstLine="87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Deferral Date</w:t>
      </w:r>
      <w:r>
        <w:rPr>
          <w:rFonts w:ascii="Arial" w:cs="Arial" w:eastAsia="Arial" w:hAnsi="Arial"/>
          <w:sz w:val="19"/>
          <w:szCs w:val="19"/>
          <w:color w:val="auto"/>
        </w:rPr>
        <w:t>” means (a) with respect to a Cash Deferral, the date on which the related Cash Compensation was scheduled to be paid to the Participant, or (b) with respect to Deferred RSUs, the date on which the shares of Common Stock covered by the RSU Award were scheduled to be issued to the Participant, in either case, had the Director not made a deferral election.</w:t>
      </w:r>
    </w:p>
    <w:p>
      <w:pPr>
        <w:spacing w:after="0" w:line="13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Deferred RSUs</w:t>
      </w:r>
      <w:r>
        <w:rPr>
          <w:rFonts w:ascii="Arial" w:cs="Arial" w:eastAsia="Arial" w:hAnsi="Arial"/>
          <w:sz w:val="20"/>
          <w:szCs w:val="20"/>
          <w:color w:val="auto"/>
        </w:rPr>
        <w:t xml:space="preserve">” means any portion of a RSU Award that has been deferred by a Participant pursuant to </w:t>
      </w:r>
      <w:r>
        <w:rPr>
          <w:rFonts w:ascii="Arial" w:cs="Arial" w:eastAsia="Arial" w:hAnsi="Arial"/>
          <w:sz w:val="20"/>
          <w:szCs w:val="20"/>
          <w:u w:val="single" w:color="auto"/>
          <w:color w:val="auto"/>
        </w:rPr>
        <w:t>Section 3.3</w:t>
      </w:r>
      <w:r>
        <w:rPr>
          <w:rFonts w:ascii="Arial" w:cs="Arial" w:eastAsia="Arial" w:hAnsi="Arial"/>
          <w:sz w:val="20"/>
          <w:szCs w:val="20"/>
          <w:color w:val="auto"/>
        </w:rPr>
        <w:t>.</w:t>
      </w:r>
    </w:p>
    <w:p>
      <w:pPr>
        <w:spacing w:after="0" w:line="22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Disability</w:t>
      </w:r>
      <w:r>
        <w:rPr>
          <w:rFonts w:ascii="Arial" w:cs="Arial" w:eastAsia="Arial" w:hAnsi="Arial"/>
          <w:sz w:val="20"/>
          <w:szCs w:val="20"/>
          <w:color w:val="auto"/>
        </w:rPr>
        <w:t>” means the permanent and total disability of the Participant, as determined under Code Section 22(e)(3).</w:t>
      </w:r>
    </w:p>
    <w:p>
      <w:pPr>
        <w:spacing w:after="0" w:line="223"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Director</w:t>
      </w:r>
      <w:r>
        <w:rPr>
          <w:rFonts w:ascii="Arial" w:cs="Arial" w:eastAsia="Arial" w:hAnsi="Arial"/>
          <w:sz w:val="21"/>
          <w:szCs w:val="21"/>
          <w:color w:val="auto"/>
        </w:rPr>
        <w:t>” means a member of the Board who is not employed by the Corporation or any of its subsidiaries.</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Election Form</w:t>
      </w:r>
      <w:r>
        <w:rPr>
          <w:rFonts w:ascii="Arial" w:cs="Arial" w:eastAsia="Arial" w:hAnsi="Arial"/>
          <w:sz w:val="21"/>
          <w:szCs w:val="21"/>
          <w:color w:val="auto"/>
        </w:rPr>
        <w:t xml:space="preserve">” means the form completed by a Participant in accordance with </w:t>
      </w:r>
      <w:r>
        <w:rPr>
          <w:rFonts w:ascii="Arial" w:cs="Arial" w:eastAsia="Arial" w:hAnsi="Arial"/>
          <w:sz w:val="21"/>
          <w:szCs w:val="21"/>
          <w:u w:val="single" w:color="auto"/>
          <w:color w:val="auto"/>
        </w:rPr>
        <w:t>Section 3</w:t>
      </w:r>
      <w:r>
        <w:rPr>
          <w:rFonts w:ascii="Arial" w:cs="Arial" w:eastAsia="Arial" w:hAnsi="Arial"/>
          <w:sz w:val="21"/>
          <w:szCs w:val="21"/>
          <w:color w:val="auto"/>
        </w:rPr>
        <w: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Exchange Act</w:t>
      </w:r>
      <w:r>
        <w:rPr>
          <w:rFonts w:ascii="Arial" w:cs="Arial" w:eastAsia="Arial" w:hAnsi="Arial"/>
          <w:sz w:val="21"/>
          <w:szCs w:val="21"/>
          <w:color w:val="auto"/>
        </w:rPr>
        <w:t>” means the Securities Exchange Act of 1934, as amended.</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Fair Market Value</w:t>
      </w:r>
      <w:r>
        <w:rPr>
          <w:rFonts w:ascii="Arial" w:cs="Arial" w:eastAsia="Arial" w:hAnsi="Arial"/>
          <w:sz w:val="21"/>
          <w:szCs w:val="21"/>
          <w:color w:val="auto"/>
        </w:rPr>
        <w:t>” has the meaning provided in the applicable LTIP.</w:t>
      </w:r>
    </w:p>
    <w:p>
      <w:pPr>
        <w:spacing w:after="0" w:line="212"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LTIP</w:t>
      </w:r>
      <w:r>
        <w:rPr>
          <w:rFonts w:ascii="Arial" w:cs="Arial" w:eastAsia="Arial" w:hAnsi="Arial"/>
          <w:sz w:val="21"/>
          <w:szCs w:val="21"/>
          <w:color w:val="auto"/>
        </w:rPr>
        <w:t>” means the Great Lakes Dredge &amp; Dock Corporation 2017 Long-Term Incentive Plan, as it may be amended from time to time in accordance with its terms, or any successor equity incentive plan of the Corporation as approved by the Corporation’s stockholders, under which a given RSU Award or Converted RSUs were granted.</w:t>
      </w:r>
    </w:p>
    <w:p>
      <w:pPr>
        <w:spacing w:after="0" w:line="170" w:lineRule="exact"/>
        <w:rPr>
          <w:sz w:val="20"/>
          <w:szCs w:val="20"/>
          <w:color w:val="auto"/>
        </w:rPr>
      </w:pPr>
    </w:p>
    <w:p>
      <w:pPr>
        <w:jc w:val="both"/>
        <w:ind w:right="20" w:firstLine="87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Participant</w:t>
      </w:r>
      <w:r>
        <w:rPr>
          <w:rFonts w:ascii="Arial" w:cs="Arial" w:eastAsia="Arial" w:hAnsi="Arial"/>
          <w:sz w:val="21"/>
          <w:szCs w:val="21"/>
          <w:color w:val="auto"/>
        </w:rPr>
        <w:t xml:space="preserve">” means any Director who elects to participate by filing an Election Form as provided in </w:t>
      </w:r>
      <w:r>
        <w:rPr>
          <w:rFonts w:ascii="Arial" w:cs="Arial" w:eastAsia="Arial" w:hAnsi="Arial"/>
          <w:sz w:val="21"/>
          <w:szCs w:val="21"/>
          <w:u w:val="single" w:color="auto"/>
          <w:color w:val="auto"/>
        </w:rPr>
        <w:t>Section 3</w:t>
      </w:r>
      <w:r>
        <w:rPr>
          <w:rFonts w:ascii="Arial" w:cs="Arial" w:eastAsia="Arial" w:hAnsi="Arial"/>
          <w:sz w:val="21"/>
          <w:szCs w:val="21"/>
          <w:color w:val="auto"/>
        </w:rPr>
        <w:t>, and any former Director who has an Account balance under the Plan.</w:t>
      </w:r>
    </w:p>
    <w:p>
      <w:pPr>
        <w:spacing w:after="0" w:line="154" w:lineRule="exact"/>
        <w:rPr>
          <w:sz w:val="20"/>
          <w:szCs w:val="20"/>
          <w:color w:val="auto"/>
        </w:rPr>
      </w:pPr>
    </w:p>
    <w:p>
      <w:pPr>
        <w:jc w:val="both"/>
        <w:ind w:firstLine="87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Plan</w:t>
      </w:r>
      <w:r>
        <w:rPr>
          <w:rFonts w:ascii="Arial" w:cs="Arial" w:eastAsia="Arial" w:hAnsi="Arial"/>
          <w:sz w:val="21"/>
          <w:szCs w:val="21"/>
          <w:color w:val="auto"/>
        </w:rPr>
        <w:t>” means this Great Lakes Dredge &amp; Dock Corporation Director Deferral Plan, as it may be amended, restated, or otherwise modified from time to time in accordance with its terms.</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Plan Year</w:t>
      </w:r>
      <w:r>
        <w:rPr>
          <w:rFonts w:ascii="Arial" w:cs="Arial" w:eastAsia="Arial" w:hAnsi="Arial"/>
          <w:sz w:val="21"/>
          <w:szCs w:val="21"/>
          <w:color w:val="auto"/>
        </w:rPr>
        <w:t>” manes a twelve-month period beginning January 1 and ending the following December 31.</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Stock Units</w:t>
      </w:r>
      <w:r>
        <w:rPr>
          <w:rFonts w:ascii="Arial" w:cs="Arial" w:eastAsia="Arial" w:hAnsi="Arial"/>
          <w:sz w:val="21"/>
          <w:szCs w:val="21"/>
          <w:color w:val="auto"/>
        </w:rPr>
        <w:t>” or “</w:t>
      </w:r>
      <w:r>
        <w:rPr>
          <w:rFonts w:ascii="Arial" w:cs="Arial" w:eastAsia="Arial" w:hAnsi="Arial"/>
          <w:sz w:val="21"/>
          <w:szCs w:val="21"/>
          <w:u w:val="single" w:color="auto"/>
          <w:color w:val="auto"/>
        </w:rPr>
        <w:t>RSUs</w:t>
      </w:r>
      <w:r>
        <w:rPr>
          <w:rFonts w:ascii="Arial" w:cs="Arial" w:eastAsia="Arial" w:hAnsi="Arial"/>
          <w:sz w:val="21"/>
          <w:szCs w:val="21"/>
          <w:color w:val="auto"/>
        </w:rPr>
        <w:t>” means restricted stock units issued under a LTIP.</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RSU Award</w:t>
      </w:r>
      <w:r>
        <w:rPr>
          <w:rFonts w:ascii="Arial" w:cs="Arial" w:eastAsia="Arial" w:hAnsi="Arial"/>
          <w:sz w:val="21"/>
          <w:szCs w:val="21"/>
          <w:color w:val="auto"/>
        </w:rPr>
        <w:t>” means a grant of director equity compensation in the form of RSUs.</w:t>
      </w:r>
    </w:p>
    <w:p>
      <w:pPr>
        <w:spacing w:after="0" w:line="212" w:lineRule="exact"/>
        <w:rPr>
          <w:sz w:val="20"/>
          <w:szCs w:val="20"/>
          <w:color w:val="auto"/>
        </w:rPr>
      </w:pPr>
    </w:p>
    <w:p>
      <w:pPr>
        <w:jc w:val="both"/>
        <w:ind w:firstLine="87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Service End Date</w:t>
      </w:r>
      <w:r>
        <w:rPr>
          <w:rFonts w:ascii="Arial" w:cs="Arial" w:eastAsia="Arial" w:hAnsi="Arial"/>
          <w:sz w:val="21"/>
          <w:szCs w:val="21"/>
          <w:color w:val="auto"/>
        </w:rPr>
        <w:t>” means the date a Participant has a “separation from service” with the Corporation as a Director, as such term is defined under Code Section 409A, regardless of the reason why his or her Board service ended.</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Trigger Date</w:t>
      </w:r>
      <w:r>
        <w:rPr>
          <w:rFonts w:ascii="Arial" w:cs="Arial" w:eastAsia="Arial" w:hAnsi="Arial"/>
          <w:sz w:val="21"/>
          <w:szCs w:val="21"/>
          <w:color w:val="auto"/>
        </w:rPr>
        <w:t xml:space="preserve">” has the meaning provided in </w:t>
      </w:r>
      <w:r>
        <w:rPr>
          <w:rFonts w:ascii="Arial" w:cs="Arial" w:eastAsia="Arial" w:hAnsi="Arial"/>
          <w:sz w:val="21"/>
          <w:szCs w:val="21"/>
          <w:u w:val="single" w:color="auto"/>
          <w:color w:val="auto"/>
        </w:rPr>
        <w:t>Section 5.1</w:t>
      </w:r>
      <w:r>
        <w:rPr>
          <w:rFonts w:ascii="Arial" w:cs="Arial" w:eastAsia="Arial" w:hAnsi="Arial"/>
          <w:sz w:val="21"/>
          <w:szCs w:val="21"/>
          <w:color w:val="auto"/>
        </w:rPr>
        <w: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A-2</w:t>
      </w:r>
    </w:p>
    <w:p>
      <w:pPr>
        <w:sectPr>
          <w:pgSz w:w="11900" w:h="16838" w:orient="portrait"/>
          <w:cols w:equalWidth="0" w:num="1">
            <w:col w:w="11420"/>
          </w:cols>
          <w:pgMar w:left="240" w:top="331" w:right="239" w:bottom="1440" w:gutter="0" w:footer="0" w:header="0"/>
        </w:sectPr>
      </w:pPr>
    </w:p>
    <w:bookmarkStart w:id="115" w:name="page116"/>
    <w:bookmarkEnd w:id="115"/>
    <w:p>
      <w:pPr>
        <w:ind w:right="20"/>
        <w:spacing w:after="0" w:line="235" w:lineRule="auto"/>
        <w:rPr>
          <w:sz w:val="20"/>
          <w:szCs w:val="20"/>
          <w:color w:val="auto"/>
        </w:rPr>
      </w:pPr>
      <w:r>
        <w:rPr>
          <w:rFonts w:ascii="Arial" w:cs="Arial" w:eastAsia="Arial" w:hAnsi="Arial"/>
          <w:sz w:val="14"/>
          <w:szCs w:val="14"/>
          <w:color w:val="auto"/>
        </w:rPr>
        <w:t>PORTIONS OF THIS EXHIBIT HAVE BEEN REDACTED PURSUANT TO A REQUEST FOR CONFIDENTIAL TREATMENT UNDER RULE 24B-2 OF THE SECURITIES EXCHANGE ACT OF 1934, AS AMENDED. INFORMATION FOR WHICH CONFIDENTIAL TREATMENT HAS BEEN REQUESTED IS OMITTED, MARKED WITH “[*]” or “[REDACTED]” AND FILED SEPARATELY WITH THE SECURITIES AND EXCHANGE COMMISSION.</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10.36</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AND AMENDMENT NO. 3 TO</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REVOLVING CREDIT AND SECURITY AGREEMENT</w:t>
      </w:r>
    </w:p>
    <w:p>
      <w:pPr>
        <w:spacing w:after="0" w:line="206" w:lineRule="exact"/>
        <w:rPr>
          <w:sz w:val="20"/>
          <w:szCs w:val="20"/>
          <w:color w:val="auto"/>
        </w:rPr>
      </w:pPr>
    </w:p>
    <w:p>
      <w:pPr>
        <w:jc w:val="both"/>
        <w:ind w:firstLine="1755"/>
        <w:spacing w:after="0" w:line="254" w:lineRule="auto"/>
        <w:rPr>
          <w:sz w:val="20"/>
          <w:szCs w:val="20"/>
          <w:color w:val="auto"/>
        </w:rPr>
      </w:pPr>
      <w:r>
        <w:rPr>
          <w:rFonts w:ascii="Arial" w:cs="Arial" w:eastAsia="Arial" w:hAnsi="Arial"/>
          <w:sz w:val="20"/>
          <w:szCs w:val="20"/>
          <w:color w:val="auto"/>
        </w:rPr>
        <w:t>This CONSENT AND AMENDMENT NO. 3 TO REVOLVING CREDIT AND SECURITY AGREEMENT ("</w:t>
      </w:r>
      <w:r>
        <w:rPr>
          <w:rFonts w:ascii="Arial" w:cs="Arial" w:eastAsia="Arial" w:hAnsi="Arial"/>
          <w:sz w:val="20"/>
          <w:szCs w:val="20"/>
          <w:u w:val="single" w:color="auto"/>
          <w:color w:val="auto"/>
        </w:rPr>
        <w:t>Amendment</w:t>
      </w:r>
      <w:r>
        <w:rPr>
          <w:rFonts w:ascii="Arial" w:cs="Arial" w:eastAsia="Arial" w:hAnsi="Arial"/>
          <w:sz w:val="20"/>
          <w:szCs w:val="20"/>
          <w:color w:val="auto"/>
        </w:rPr>
        <w:t>") is dated as of December 6, 2017, and is entered into by and among GREAT LAKES DREDGE &amp; DOCK CORPORATION, a Delaware corporation ("</w:t>
      </w:r>
      <w:r>
        <w:rPr>
          <w:rFonts w:ascii="Arial" w:cs="Arial" w:eastAsia="Arial" w:hAnsi="Arial"/>
          <w:sz w:val="20"/>
          <w:szCs w:val="20"/>
          <w:u w:val="single" w:color="auto"/>
          <w:color w:val="auto"/>
        </w:rPr>
        <w:t>GLDD</w:t>
      </w:r>
      <w:r>
        <w:rPr>
          <w:rFonts w:ascii="Arial" w:cs="Arial" w:eastAsia="Arial" w:hAnsi="Arial"/>
          <w:sz w:val="20"/>
          <w:szCs w:val="20"/>
          <w:color w:val="auto"/>
        </w:rPr>
        <w:t>"), GREAT LAKES DREDGE &amp; DOCK COMPANY, LLC, a Delaware limited liability company ("</w:t>
      </w:r>
      <w:r>
        <w:rPr>
          <w:rFonts w:ascii="Arial" w:cs="Arial" w:eastAsia="Arial" w:hAnsi="Arial"/>
          <w:sz w:val="20"/>
          <w:szCs w:val="20"/>
          <w:u w:val="single" w:color="auto"/>
          <w:color w:val="auto"/>
        </w:rPr>
        <w:t>GLDD LLC</w:t>
      </w:r>
      <w:r>
        <w:rPr>
          <w:rFonts w:ascii="Arial" w:cs="Arial" w:eastAsia="Arial" w:hAnsi="Arial"/>
          <w:sz w:val="20"/>
          <w:szCs w:val="20"/>
          <w:color w:val="auto"/>
        </w:rPr>
        <w:t>"), NASDI HOLDINGS, LLC, a Delaware limited liability company ("</w:t>
      </w:r>
      <w:r>
        <w:rPr>
          <w:rFonts w:ascii="Arial" w:cs="Arial" w:eastAsia="Arial" w:hAnsi="Arial"/>
          <w:sz w:val="20"/>
          <w:szCs w:val="20"/>
          <w:u w:val="single" w:color="auto"/>
          <w:color w:val="auto"/>
        </w:rPr>
        <w:t>NASDI</w:t>
      </w:r>
      <w:r>
        <w:rPr>
          <w:rFonts w:ascii="Arial" w:cs="Arial" w:eastAsia="Arial" w:hAnsi="Arial"/>
          <w:sz w:val="20"/>
          <w:szCs w:val="20"/>
          <w:color w:val="auto"/>
        </w:rPr>
        <w:t>), GREAT LAKES DREDGE &amp; DOCK ENVIRONMENTAL, INC., a Delaware corporation ("</w:t>
      </w:r>
      <w:r>
        <w:rPr>
          <w:rFonts w:ascii="Arial" w:cs="Arial" w:eastAsia="Arial" w:hAnsi="Arial"/>
          <w:sz w:val="20"/>
          <w:szCs w:val="20"/>
          <w:u w:val="single" w:color="auto"/>
          <w:color w:val="auto"/>
        </w:rPr>
        <w:t>Environmental</w:t>
      </w:r>
      <w:r>
        <w:rPr>
          <w:rFonts w:ascii="Arial" w:cs="Arial" w:eastAsia="Arial" w:hAnsi="Arial"/>
          <w:sz w:val="20"/>
          <w:szCs w:val="20"/>
          <w:color w:val="auto"/>
        </w:rPr>
        <w:t>"), GREAT LAKES ENVIRONMENTAL</w:t>
      </w:r>
    </w:p>
    <w:p>
      <w:pPr>
        <w:spacing w:after="0" w:line="1" w:lineRule="exact"/>
        <w:rPr>
          <w:sz w:val="20"/>
          <w:szCs w:val="20"/>
          <w:color w:val="auto"/>
        </w:rPr>
      </w:pPr>
    </w:p>
    <w:p>
      <w:pPr>
        <w:jc w:val="both"/>
        <w:ind w:firstLine="7"/>
        <w:spacing w:after="0" w:line="256" w:lineRule="auto"/>
        <w:tabs>
          <w:tab w:leader="none" w:pos="362" w:val="left"/>
        </w:tabs>
        <w:numPr>
          <w:ilvl w:val="0"/>
          <w:numId w:val="36"/>
        </w:numPr>
        <w:rPr>
          <w:rFonts w:ascii="Arial" w:cs="Arial" w:eastAsia="Arial" w:hAnsi="Arial"/>
          <w:sz w:val="20"/>
          <w:szCs w:val="20"/>
          <w:color w:val="auto"/>
        </w:rPr>
      </w:pPr>
      <w:r>
        <w:rPr>
          <w:rFonts w:ascii="Arial" w:cs="Arial" w:eastAsia="Arial" w:hAnsi="Arial"/>
          <w:sz w:val="20"/>
          <w:szCs w:val="20"/>
          <w:color w:val="auto"/>
        </w:rPr>
        <w:t>INFRASTRUCTURE SOLUTIONS, LLC, a Delaware limited liability company ("</w:t>
      </w:r>
      <w:r>
        <w:rPr>
          <w:rFonts w:ascii="Arial" w:cs="Arial" w:eastAsia="Arial" w:hAnsi="Arial"/>
          <w:sz w:val="20"/>
          <w:szCs w:val="20"/>
          <w:u w:val="single" w:color="auto"/>
          <w:color w:val="auto"/>
        </w:rPr>
        <w:t>Solutions</w:t>
      </w:r>
      <w:r>
        <w:rPr>
          <w:rFonts w:ascii="Arial" w:cs="Arial" w:eastAsia="Arial" w:hAnsi="Arial"/>
          <w:sz w:val="20"/>
          <w:szCs w:val="20"/>
          <w:color w:val="auto"/>
        </w:rPr>
        <w:t>"), GREAT LAKES ENVIRONMENTAL &amp; INFRASTRUCTURE, LLC, a Delaware limited liability company ("</w:t>
      </w:r>
      <w:r>
        <w:rPr>
          <w:rFonts w:ascii="Arial" w:cs="Arial" w:eastAsia="Arial" w:hAnsi="Arial"/>
          <w:sz w:val="20"/>
          <w:szCs w:val="20"/>
          <w:u w:val="single" w:color="auto"/>
          <w:color w:val="auto"/>
        </w:rPr>
        <w:t>Infrastructure</w:t>
      </w:r>
      <w:r>
        <w:rPr>
          <w:rFonts w:ascii="Arial" w:cs="Arial" w:eastAsia="Arial" w:hAnsi="Arial"/>
          <w:sz w:val="20"/>
          <w:szCs w:val="20"/>
          <w:color w:val="auto"/>
        </w:rPr>
        <w:t>"), and GREAT LAKES U.S. FLEET MANAGEMENT, LLC, a Delaware limited liability company ("</w:t>
      </w:r>
      <w:r>
        <w:rPr>
          <w:rFonts w:ascii="Arial" w:cs="Arial" w:eastAsia="Arial" w:hAnsi="Arial"/>
          <w:sz w:val="20"/>
          <w:szCs w:val="20"/>
          <w:u w:val="single" w:color="auto"/>
          <w:color w:val="auto"/>
        </w:rPr>
        <w:t>Fleet</w:t>
      </w:r>
      <w:r>
        <w:rPr>
          <w:rFonts w:ascii="Arial" w:cs="Arial" w:eastAsia="Arial" w:hAnsi="Arial"/>
          <w:sz w:val="20"/>
          <w:szCs w:val="20"/>
          <w:color w:val="auto"/>
        </w:rPr>
        <w:t>") (GLDD, GLDD LLC, NASDI, Environmental, Solutions, Infrastructure and Fleet, collectively, the "</w:t>
      </w:r>
      <w:r>
        <w:rPr>
          <w:rFonts w:ascii="Arial" w:cs="Arial" w:eastAsia="Arial" w:hAnsi="Arial"/>
          <w:sz w:val="20"/>
          <w:szCs w:val="20"/>
          <w:u w:val="single" w:color="auto"/>
          <w:color w:val="auto"/>
        </w:rPr>
        <w:t>Borrowers</w:t>
      </w:r>
      <w:r>
        <w:rPr>
          <w:rFonts w:ascii="Arial" w:cs="Arial" w:eastAsia="Arial" w:hAnsi="Arial"/>
          <w:sz w:val="20"/>
          <w:szCs w:val="20"/>
          <w:color w:val="auto"/>
        </w:rPr>
        <w:t>", and each a "</w:t>
      </w:r>
      <w:r>
        <w:rPr>
          <w:rFonts w:ascii="Arial" w:cs="Arial" w:eastAsia="Arial" w:hAnsi="Arial"/>
          <w:sz w:val="20"/>
          <w:szCs w:val="20"/>
          <w:u w:val="single" w:color="auto"/>
          <w:color w:val="auto"/>
        </w:rPr>
        <w:t>Borrower</w:t>
      </w:r>
      <w:r>
        <w:rPr>
          <w:rFonts w:ascii="Arial" w:cs="Arial" w:eastAsia="Arial" w:hAnsi="Arial"/>
          <w:sz w:val="20"/>
          <w:szCs w:val="20"/>
          <w:color w:val="auto"/>
        </w:rPr>
        <w:t>"), the Lenders identified on the signature pages hereof, and PNC BANK, NATIONAL ASSOCIATION ("</w:t>
      </w:r>
      <w:r>
        <w:rPr>
          <w:rFonts w:ascii="Arial" w:cs="Arial" w:eastAsia="Arial" w:hAnsi="Arial"/>
          <w:sz w:val="20"/>
          <w:szCs w:val="20"/>
          <w:u w:val="single" w:color="auto"/>
          <w:color w:val="auto"/>
        </w:rPr>
        <w:t>PNC</w:t>
      </w:r>
      <w:r>
        <w:rPr>
          <w:rFonts w:ascii="Arial" w:cs="Arial" w:eastAsia="Arial" w:hAnsi="Arial"/>
          <w:sz w:val="20"/>
          <w:szCs w:val="20"/>
          <w:color w:val="auto"/>
        </w:rPr>
        <w:t>"), as agent for Lenders (PNC, in such capacity, the "</w:t>
      </w:r>
      <w:r>
        <w:rPr>
          <w:rFonts w:ascii="Arial" w:cs="Arial" w:eastAsia="Arial" w:hAnsi="Arial"/>
          <w:sz w:val="20"/>
          <w:szCs w:val="20"/>
          <w:u w:val="single" w:color="auto"/>
          <w:color w:val="auto"/>
        </w:rPr>
        <w:t>Agent</w:t>
      </w:r>
      <w:r>
        <w:rPr>
          <w:rFonts w:ascii="Arial" w:cs="Arial" w:eastAsia="Arial" w:hAnsi="Arial"/>
          <w:sz w:val="20"/>
          <w:szCs w:val="20"/>
          <w:color w:val="auto"/>
        </w:rPr>
        <w: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 I T N E S S E T H</w:t>
      </w:r>
    </w:p>
    <w:p>
      <w:pPr>
        <w:spacing w:after="0" w:line="212" w:lineRule="exact"/>
        <w:rPr>
          <w:sz w:val="20"/>
          <w:szCs w:val="20"/>
          <w:color w:val="auto"/>
        </w:rPr>
      </w:pPr>
    </w:p>
    <w:p>
      <w:pPr>
        <w:jc w:val="both"/>
        <w:ind w:firstLine="1755"/>
        <w:spacing w:after="0" w:line="248" w:lineRule="auto"/>
        <w:rPr>
          <w:sz w:val="20"/>
          <w:szCs w:val="20"/>
          <w:color w:val="auto"/>
        </w:rPr>
      </w:pPr>
      <w:r>
        <w:rPr>
          <w:rFonts w:ascii="Arial" w:cs="Arial" w:eastAsia="Arial" w:hAnsi="Arial"/>
          <w:sz w:val="21"/>
          <w:szCs w:val="21"/>
          <w:color w:val="auto"/>
        </w:rPr>
        <w:t>WHEREAS, Borrowers, each other Credit Party party thereto from time to time, Agent and the lenders from time to time party thereto (the "</w:t>
      </w:r>
      <w:r>
        <w:rPr>
          <w:rFonts w:ascii="Arial" w:cs="Arial" w:eastAsia="Arial" w:hAnsi="Arial"/>
          <w:sz w:val="21"/>
          <w:szCs w:val="21"/>
          <w:u w:val="single" w:color="auto"/>
          <w:color w:val="auto"/>
        </w:rPr>
        <w:t>Lenders</w:t>
      </w:r>
      <w:r>
        <w:rPr>
          <w:rFonts w:ascii="Arial" w:cs="Arial" w:eastAsia="Arial" w:hAnsi="Arial"/>
          <w:sz w:val="21"/>
          <w:szCs w:val="21"/>
          <w:color w:val="auto"/>
        </w:rPr>
        <w:t>") are parties to that certain Revolving Credit and Security Agreement dated as of December 30, 2016 (as amended, restated, modified and supplemented from time to time,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 capitalized terms used and not otherwise defined herein have the definitions provided therefore in the Credit Agreement);</w:t>
      </w:r>
    </w:p>
    <w:p>
      <w:pPr>
        <w:spacing w:after="0" w:line="175" w:lineRule="exact"/>
        <w:rPr>
          <w:sz w:val="20"/>
          <w:szCs w:val="20"/>
          <w:color w:val="auto"/>
        </w:rPr>
      </w:pPr>
    </w:p>
    <w:p>
      <w:pPr>
        <w:jc w:val="both"/>
        <w:ind w:firstLine="1755"/>
        <w:spacing w:after="0" w:line="259" w:lineRule="auto"/>
        <w:rPr>
          <w:sz w:val="20"/>
          <w:szCs w:val="20"/>
          <w:color w:val="auto"/>
        </w:rPr>
      </w:pPr>
      <w:r>
        <w:rPr>
          <w:rFonts w:ascii="Arial" w:cs="Arial" w:eastAsia="Arial" w:hAnsi="Arial"/>
          <w:sz w:val="20"/>
          <w:szCs w:val="20"/>
          <w:color w:val="auto"/>
        </w:rPr>
        <w:t>WHEREAS, Borrowers have informed Agent and Lenders that Borrowers desire to implement a restructuring plan (the "</w:t>
      </w:r>
      <w:r>
        <w:rPr>
          <w:rFonts w:ascii="Arial" w:cs="Arial" w:eastAsia="Arial" w:hAnsi="Arial"/>
          <w:sz w:val="20"/>
          <w:szCs w:val="20"/>
          <w:u w:val="single" w:color="auto"/>
          <w:color w:val="auto"/>
        </w:rPr>
        <w:t>Restructuring</w:t>
      </w:r>
      <w:r>
        <w:rPr>
          <w:rFonts w:ascii="Arial" w:cs="Arial" w:eastAsia="Arial" w:hAnsi="Arial"/>
          <w:sz w:val="20"/>
          <w:szCs w:val="20"/>
          <w:color w:val="auto"/>
        </w:rPr>
        <w:t xml:space="preserve">") to reduce overhead, retire certain underperforming and underutilized assets and close out GLDD’s Brazilian operations, pursuant to which, among other things, Borrowers intend to (a) scrap, retire or sell the vessels set forth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 (such vessels, the "</w:t>
      </w:r>
      <w:r>
        <w:rPr>
          <w:rFonts w:ascii="Arial" w:cs="Arial" w:eastAsia="Arial" w:hAnsi="Arial"/>
          <w:sz w:val="20"/>
          <w:szCs w:val="20"/>
          <w:u w:val="single" w:color="auto"/>
          <w:color w:val="auto"/>
        </w:rPr>
        <w:t>Retiring Vessels</w:t>
      </w:r>
      <w:r>
        <w:rPr>
          <w:rFonts w:ascii="Arial" w:cs="Arial" w:eastAsia="Arial" w:hAnsi="Arial"/>
          <w:sz w:val="20"/>
          <w:szCs w:val="20"/>
          <w:color w:val="auto"/>
        </w:rPr>
        <w:t>", and such transaction, the "</w:t>
      </w:r>
      <w:r>
        <w:rPr>
          <w:rFonts w:ascii="Arial" w:cs="Arial" w:eastAsia="Arial" w:hAnsi="Arial"/>
          <w:sz w:val="20"/>
          <w:szCs w:val="20"/>
          <w:u w:val="single" w:color="auto"/>
          <w:color w:val="auto"/>
        </w:rPr>
        <w:t>Vessel Realization</w:t>
      </w:r>
      <w:r>
        <w:rPr>
          <w:rFonts w:ascii="Arial" w:cs="Arial" w:eastAsia="Arial" w:hAnsi="Arial"/>
          <w:sz w:val="20"/>
          <w:szCs w:val="20"/>
          <w:color w:val="auto"/>
        </w:rPr>
        <w:t>"), (b) scrap, retire or sell certain support equipment related to the Retiring Vessels (such transaction, the "</w:t>
      </w:r>
      <w:r>
        <w:rPr>
          <w:rFonts w:ascii="Arial" w:cs="Arial" w:eastAsia="Arial" w:hAnsi="Arial"/>
          <w:sz w:val="20"/>
          <w:szCs w:val="20"/>
          <w:u w:val="single" w:color="auto"/>
          <w:color w:val="auto"/>
        </w:rPr>
        <w:t>Support Equipment Realization</w:t>
      </w:r>
      <w:r>
        <w:rPr>
          <w:rFonts w:ascii="Arial" w:cs="Arial" w:eastAsia="Arial" w:hAnsi="Arial"/>
          <w:sz w:val="20"/>
          <w:szCs w:val="20"/>
          <w:color w:val="auto"/>
        </w:rPr>
        <w:t>"), and (c) sell the Noon Island for a purchase price of less than [*] and after December 31, 2017 (the "</w:t>
      </w:r>
      <w:r>
        <w:rPr>
          <w:rFonts w:ascii="Arial" w:cs="Arial" w:eastAsia="Arial" w:hAnsi="Arial"/>
          <w:sz w:val="20"/>
          <w:szCs w:val="20"/>
          <w:u w:val="single" w:color="auto"/>
          <w:color w:val="auto"/>
        </w:rPr>
        <w:t>Noon Island Sale</w:t>
      </w:r>
      <w:r>
        <w:rPr>
          <w:rFonts w:ascii="Arial" w:cs="Arial" w:eastAsia="Arial" w:hAnsi="Arial"/>
          <w:sz w:val="20"/>
          <w:szCs w:val="20"/>
          <w:color w:val="auto"/>
        </w:rPr>
        <w:t>");</w:t>
      </w:r>
    </w:p>
    <w:p>
      <w:pPr>
        <w:spacing w:after="0" w:line="164" w:lineRule="exact"/>
        <w:rPr>
          <w:sz w:val="20"/>
          <w:szCs w:val="20"/>
          <w:color w:val="auto"/>
        </w:rPr>
      </w:pPr>
    </w:p>
    <w:p>
      <w:pPr>
        <w:jc w:val="both"/>
        <w:ind w:firstLine="1755"/>
        <w:spacing w:after="0" w:line="253" w:lineRule="auto"/>
        <w:rPr>
          <w:sz w:val="20"/>
          <w:szCs w:val="20"/>
          <w:color w:val="auto"/>
        </w:rPr>
      </w:pPr>
      <w:r>
        <w:rPr>
          <w:rFonts w:ascii="Arial" w:cs="Arial" w:eastAsia="Arial" w:hAnsi="Arial"/>
          <w:sz w:val="21"/>
          <w:szCs w:val="21"/>
          <w:color w:val="auto"/>
        </w:rPr>
        <w:t>WHEREAS, in connection with the Restructuring, the Borrowers anticipate that (a) certain non-cash charges related to assets retirements and certain charges in respect of severance and related costs will be added back to EBITDA and (b) additional Capital Expenditures will be made during the 2017 and 2018 fiscal years;</w:t>
      </w:r>
    </w:p>
    <w:p>
      <w:pPr>
        <w:spacing w:after="0" w:line="170" w:lineRule="exact"/>
        <w:rPr>
          <w:sz w:val="20"/>
          <w:szCs w:val="20"/>
          <w:color w:val="auto"/>
        </w:rPr>
      </w:pPr>
    </w:p>
    <w:p>
      <w:pPr>
        <w:jc w:val="both"/>
        <w:ind w:firstLine="1755"/>
        <w:spacing w:after="0" w:line="253" w:lineRule="auto"/>
        <w:rPr>
          <w:sz w:val="20"/>
          <w:szCs w:val="20"/>
          <w:color w:val="auto"/>
        </w:rPr>
      </w:pPr>
      <w:r>
        <w:rPr>
          <w:rFonts w:ascii="Arial" w:cs="Arial" w:eastAsia="Arial" w:hAnsi="Arial"/>
          <w:sz w:val="21"/>
          <w:szCs w:val="21"/>
          <w:color w:val="auto"/>
        </w:rPr>
        <w:t>WHEREAS, in connection therewith, Borrowers have requested that Agent and Required Lenders (a) consent to the Vessel Realization, the Support Equipment Realization and the Noon Island Sale, (b) amend the Credit Agreement to provide for additional Capital</w:t>
      </w: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FFFFFF"/>
        </w:rPr>
        <w:t>{N3521279.1}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29043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6" w:name="page117"/>
    <w:bookmarkEnd w:id="116"/>
    <w:p>
      <w:pPr>
        <w:ind w:right="20"/>
        <w:spacing w:after="0" w:line="235" w:lineRule="auto"/>
        <w:rPr>
          <w:sz w:val="20"/>
          <w:szCs w:val="20"/>
          <w:color w:val="auto"/>
        </w:rPr>
      </w:pPr>
      <w:r>
        <w:rPr>
          <w:rFonts w:ascii="Arial" w:cs="Arial" w:eastAsia="Arial" w:hAnsi="Arial"/>
          <w:sz w:val="14"/>
          <w:szCs w:val="14"/>
          <w:color w:val="auto"/>
        </w:rPr>
        <w:t>PORTIONS OF THIS EXHIBIT HAVE BEEN REDACTED PURSUANT TO A REQUEST FOR CONFIDENTIAL TREATMENT UNDER RULE 24B-2 OF THE SECURITIES EXCHANGE ACT OF 1934, AS AMENDED. INFORMATION FOR WHICH CONFIDENTIAL TREATMENT HAS BEEN REQUESTED IS OMITTED, MARKED WITH “[*]” or “[REDACTED]” AND FILED SEPARATELY WITH THE SECURITIES AND EXCHANGE COMMISSION.</w:t>
      </w:r>
    </w:p>
    <w:p>
      <w:pPr>
        <w:spacing w:after="0" w:line="177" w:lineRule="exact"/>
        <w:rPr>
          <w:sz w:val="20"/>
          <w:szCs w:val="20"/>
          <w:color w:val="auto"/>
        </w:rPr>
      </w:pPr>
    </w:p>
    <w:p>
      <w:pPr>
        <w:jc w:val="both"/>
        <w:ind w:right="20"/>
        <w:spacing w:after="0" w:line="268" w:lineRule="auto"/>
        <w:rPr>
          <w:sz w:val="20"/>
          <w:szCs w:val="20"/>
          <w:color w:val="auto"/>
        </w:rPr>
      </w:pPr>
      <w:r>
        <w:rPr>
          <w:rFonts w:ascii="Arial" w:cs="Arial" w:eastAsia="Arial" w:hAnsi="Arial"/>
          <w:sz w:val="21"/>
          <w:szCs w:val="21"/>
          <w:color w:val="auto"/>
        </w:rPr>
        <w:t>Expenditures during the 2017 and 2018 fiscal years in connection therewith, and (c) acknowledge certain anticipated EBITDA add backs;</w:t>
      </w:r>
    </w:p>
    <w:p>
      <w:pPr>
        <w:spacing w:after="0" w:line="154" w:lineRule="exact"/>
        <w:rPr>
          <w:sz w:val="20"/>
          <w:szCs w:val="20"/>
          <w:color w:val="auto"/>
        </w:rPr>
      </w:pPr>
    </w:p>
    <w:p>
      <w:pPr>
        <w:jc w:val="both"/>
        <w:ind w:firstLine="1755"/>
        <w:spacing w:after="0" w:line="253" w:lineRule="auto"/>
        <w:rPr>
          <w:sz w:val="20"/>
          <w:szCs w:val="20"/>
          <w:color w:val="auto"/>
        </w:rPr>
      </w:pPr>
      <w:r>
        <w:rPr>
          <w:rFonts w:ascii="Arial" w:cs="Arial" w:eastAsia="Arial" w:hAnsi="Arial"/>
          <w:sz w:val="21"/>
          <w:szCs w:val="21"/>
          <w:color w:val="auto"/>
        </w:rPr>
        <w:t>WHEREAS, subject to the terms and conditions of this Amendment, Agent and Required Lenders have agreed to (a) consent to the Vessel Realization, the Support Equipment Realization and the Noon Island Sale, (b) amend the Credit Agreement, and (c) acknowledge certain anticipated EBITDA add backs, in each case as provided herein;</w:t>
      </w:r>
    </w:p>
    <w:p>
      <w:pPr>
        <w:spacing w:after="0" w:line="170" w:lineRule="exact"/>
        <w:rPr>
          <w:sz w:val="20"/>
          <w:szCs w:val="20"/>
          <w:color w:val="auto"/>
        </w:rPr>
      </w:pPr>
    </w:p>
    <w:p>
      <w:pPr>
        <w:jc w:val="both"/>
        <w:ind w:firstLine="1755"/>
        <w:spacing w:after="0" w:line="253" w:lineRule="auto"/>
        <w:rPr>
          <w:sz w:val="20"/>
          <w:szCs w:val="20"/>
          <w:color w:val="auto"/>
        </w:rPr>
      </w:pPr>
      <w:r>
        <w:rPr>
          <w:rFonts w:ascii="Arial" w:cs="Arial" w:eastAsia="Arial" w:hAnsi="Arial"/>
          <w:sz w:val="21"/>
          <w:szCs w:val="21"/>
          <w:color w:val="auto"/>
        </w:rPr>
        <w:t>NOW THEREFORE, in consideration of the mutual conditions and agreements set forth in the Credit Agreement and this Amendment, and other good and valuable consideration, the receipt and sufficiency of which are hereby acknowledged, the parties hereto hereby agree as follows:</w:t>
      </w:r>
    </w:p>
    <w:p>
      <w:pPr>
        <w:spacing w:after="0" w:line="170" w:lineRule="exact"/>
        <w:rPr>
          <w:sz w:val="20"/>
          <w:szCs w:val="20"/>
          <w:color w:val="auto"/>
        </w:rPr>
      </w:pPr>
    </w:p>
    <w:p>
      <w:pPr>
        <w:jc w:val="both"/>
        <w:ind w:firstLine="1762"/>
        <w:spacing w:after="0" w:line="255" w:lineRule="auto"/>
        <w:tabs>
          <w:tab w:leader="none" w:pos="2556"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Consent</w:t>
      </w:r>
      <w:r>
        <w:rPr>
          <w:rFonts w:ascii="Arial" w:cs="Arial" w:eastAsia="Arial" w:hAnsi="Arial"/>
          <w:sz w:val="20"/>
          <w:szCs w:val="20"/>
          <w:color w:val="auto"/>
        </w:rPr>
        <w:t>. In reliance upon the representations and warranties of the Credit Parties set forth in Section 4 below and subject to the conditions to effectiveness set forth in Section 5 below, Agent and Lenders hereby consent to (a) the Vessel Realization; provided, that (i) an amount equal to one hundred percent (100%) of the Net Cash Proceeds of the Vessel Realization shall be used to prepay the Revolving Advances, and (ii) after the date hereof, the Retiring Vessels shall not constitute Eligible Fleet Assets, (b) the Support Equipment Realization; provided, that (i) the support equipment that is sold or retired shall have an aggregate net book value not to exceed $10,000,000, and (ii) an amount equal to one hundred percent (100%) of the Net Cash Proceeds of the Support Equipment Realization shall be used to prepay the Revolving Advances, and (c) consent to the Noon Island Sale; provided, that the Noon Island shall no longer constitute an Eligible Fleet Asset after the date hereof. This consent is a limited consent and shall not be deemed to constitute a consent with respect to any other current or future departure from the requirements of any provision of the Credit Agreement or any Other Document.</w:t>
      </w:r>
    </w:p>
    <w:p>
      <w:pPr>
        <w:spacing w:after="0" w:line="170" w:lineRule="exact"/>
        <w:rPr>
          <w:rFonts w:ascii="Arial" w:cs="Arial" w:eastAsia="Arial" w:hAnsi="Arial"/>
          <w:sz w:val="20"/>
          <w:szCs w:val="20"/>
          <w:color w:val="auto"/>
        </w:rPr>
      </w:pPr>
    </w:p>
    <w:p>
      <w:pPr>
        <w:ind w:firstLine="1762"/>
        <w:spacing w:after="0" w:line="268" w:lineRule="auto"/>
        <w:tabs>
          <w:tab w:leader="none" w:pos="2556"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Amendments to Credit Agreement</w:t>
      </w:r>
      <w:r>
        <w:rPr>
          <w:rFonts w:ascii="Arial" w:cs="Arial" w:eastAsia="Arial" w:hAnsi="Arial"/>
          <w:sz w:val="21"/>
          <w:szCs w:val="21"/>
          <w:color w:val="auto"/>
        </w:rPr>
        <w:t>. In reliance upon the representations and warranties of the Credit Parties set forth in Section 4 below and subject to the conditions to effectiveness set forth in Section 5 below:</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color w:val="FFFFFF"/>
        </w:rPr>
        <w:t>{N3521279.1}</w:t>
      </w:r>
      <w:r>
        <w:rPr>
          <w:rFonts w:ascii="Arial" w:cs="Arial" w:eastAsia="Arial" w:hAnsi="Arial"/>
          <w:sz w:val="21"/>
          <w:szCs w:val="21"/>
          <w:color w:val="00000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29043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7" w:name="page118"/>
    <w:bookmarkEnd w:id="117"/>
    <w:p>
      <w:pPr>
        <w:ind w:right="20"/>
        <w:spacing w:after="0" w:line="235" w:lineRule="auto"/>
        <w:rPr>
          <w:sz w:val="20"/>
          <w:szCs w:val="20"/>
          <w:color w:val="auto"/>
        </w:rPr>
      </w:pPr>
      <w:r>
        <w:rPr>
          <w:rFonts w:ascii="Arial" w:cs="Arial" w:eastAsia="Arial" w:hAnsi="Arial"/>
          <w:sz w:val="14"/>
          <w:szCs w:val="14"/>
          <w:color w:val="auto"/>
        </w:rPr>
        <w:t>PORTIONS OF THIS EXHIBIT HAVE BEEN REDACTED PURSUANT TO A REQUEST FOR CONFIDENTIAL TREATMENT UNDER RULE 24B-2 OF THE SECURITIES EXCHANGE ACT OF 1934, AS AMENDED. INFORMATION FOR WHICH CONFIDENTIAL TREATMENT HAS BEEN REQUESTED IS OMITTED, MARKED WITH “[*]” or “[REDACTED]” AND FILED SEPARATELY WITH THE SECURITIES AND EXCHANGE COMMISSION.</w:t>
      </w:r>
    </w:p>
    <w:p>
      <w:pPr>
        <w:spacing w:after="0" w:line="177" w:lineRule="exact"/>
        <w:rPr>
          <w:sz w:val="20"/>
          <w:szCs w:val="20"/>
          <w:color w:val="auto"/>
        </w:rPr>
      </w:pPr>
    </w:p>
    <w:p>
      <w:pPr>
        <w:ind w:firstLine="1762"/>
        <w:spacing w:after="0" w:line="268" w:lineRule="auto"/>
        <w:tabs>
          <w:tab w:leader="none" w:pos="2632" w:val="left"/>
        </w:tabs>
        <w:numPr>
          <w:ilvl w:val="0"/>
          <w:numId w:val="38"/>
        </w:numPr>
        <w:rPr>
          <w:rFonts w:ascii="Arial" w:cs="Arial" w:eastAsia="Arial" w:hAnsi="Arial"/>
          <w:sz w:val="21"/>
          <w:szCs w:val="21"/>
          <w:color w:val="auto"/>
        </w:rPr>
      </w:pPr>
      <w:r>
        <w:rPr>
          <w:rFonts w:ascii="Arial" w:cs="Arial" w:eastAsia="Arial" w:hAnsi="Arial"/>
          <w:sz w:val="21"/>
          <w:szCs w:val="21"/>
          <w:color w:val="auto"/>
        </w:rPr>
        <w:t>Section 1.2 of the Credit Agreement is hereby amended by amending and restating the definition of "Capital Expenditures" in its entirety as follows:</w:t>
      </w:r>
    </w:p>
    <w:p>
      <w:pPr>
        <w:spacing w:after="0" w:line="154" w:lineRule="exact"/>
        <w:rPr>
          <w:sz w:val="20"/>
          <w:szCs w:val="20"/>
          <w:color w:val="auto"/>
        </w:rPr>
      </w:pPr>
    </w:p>
    <w:p>
      <w:pPr>
        <w:jc w:val="both"/>
        <w:ind w:left="880" w:right="880" w:firstLine="743"/>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Expenditures</w:t>
      </w:r>
      <w:r>
        <w:rPr>
          <w:rFonts w:ascii="Arial" w:cs="Arial" w:eastAsia="Arial" w:hAnsi="Arial"/>
          <w:sz w:val="20"/>
          <w:szCs w:val="20"/>
          <w:color w:val="auto"/>
        </w:rPr>
        <w:t>" shall mean, with respect to GLDD on a Consolidated Basis, expenditures made or liabilities incurred for the acquisition of any fixed assets or improvements (or of any replacements or substitutions thereof or additions thereto) which have a useful life of more than one year and which, in accordance with GAAP, would be classified as capital expenditures. Capital Expenditures shall include the total principal portion of Capitalized Lease Obligations. Notwithstanding the foregoing, with respect to the 2017 and 2018 fiscal years, upon written election from Borrowers to Agent, including supporting documentation in form and substance satisfactory to Agent, up to an aggregate of $20,000,000 of expenses related to the buy-out of operating leases shall not constitute Capital Expenditures.</w:t>
      </w:r>
    </w:p>
    <w:p>
      <w:pPr>
        <w:spacing w:after="0" w:line="171" w:lineRule="exact"/>
        <w:rPr>
          <w:sz w:val="20"/>
          <w:szCs w:val="20"/>
          <w:color w:val="auto"/>
        </w:rPr>
      </w:pPr>
    </w:p>
    <w:p>
      <w:pPr>
        <w:ind w:left="2660" w:hanging="898"/>
        <w:spacing w:after="0"/>
        <w:tabs>
          <w:tab w:leader="none" w:pos="2660" w:val="left"/>
        </w:tabs>
        <w:numPr>
          <w:ilvl w:val="0"/>
          <w:numId w:val="39"/>
        </w:numPr>
        <w:rPr>
          <w:rFonts w:ascii="Arial" w:cs="Arial" w:eastAsia="Arial" w:hAnsi="Arial"/>
          <w:sz w:val="19"/>
          <w:szCs w:val="19"/>
          <w:color w:val="auto"/>
        </w:rPr>
      </w:pPr>
      <w:r>
        <w:rPr>
          <w:rFonts w:ascii="Arial" w:cs="Arial" w:eastAsia="Arial" w:hAnsi="Arial"/>
          <w:sz w:val="19"/>
          <w:szCs w:val="19"/>
          <w:color w:val="auto"/>
        </w:rPr>
        <w:t>Section 7.6 of the Credit Agreement is hereby amended by adding the following provision to the end</w:t>
      </w:r>
    </w:p>
    <w:p>
      <w:pPr>
        <w:spacing w:after="0" w:line="40" w:lineRule="exact"/>
        <w:rPr>
          <w:sz w:val="20"/>
          <w:szCs w:val="20"/>
          <w:color w:val="auto"/>
        </w:rPr>
      </w:pPr>
    </w:p>
    <w:p>
      <w:pPr>
        <w:spacing w:after="0"/>
        <w:rPr>
          <w:sz w:val="20"/>
          <w:szCs w:val="20"/>
          <w:color w:val="auto"/>
        </w:rPr>
      </w:pPr>
      <w:r>
        <w:rPr>
          <w:rFonts w:ascii="Arial" w:cs="Arial" w:eastAsia="Arial" w:hAnsi="Arial"/>
          <w:sz w:val="21"/>
          <w:szCs w:val="21"/>
          <w:color w:val="auto"/>
        </w:rPr>
        <w:t>of such Section:</w:t>
      </w:r>
    </w:p>
    <w:p>
      <w:pPr>
        <w:spacing w:after="0" w:line="194" w:lineRule="exact"/>
        <w:rPr>
          <w:sz w:val="20"/>
          <w:szCs w:val="20"/>
          <w:color w:val="auto"/>
        </w:rPr>
      </w:pPr>
    </w:p>
    <w:p>
      <w:pPr>
        <w:jc w:val="both"/>
        <w:ind w:left="1000" w:right="880" w:firstLine="643"/>
        <w:spacing w:after="0" w:line="246" w:lineRule="auto"/>
        <w:rPr>
          <w:sz w:val="20"/>
          <w:szCs w:val="20"/>
          <w:color w:val="auto"/>
        </w:rPr>
      </w:pPr>
      <w:r>
        <w:rPr>
          <w:rFonts w:ascii="Arial" w:cs="Arial" w:eastAsia="Arial" w:hAnsi="Arial"/>
          <w:sz w:val="21"/>
          <w:szCs w:val="21"/>
          <w:color w:val="auto"/>
        </w:rPr>
        <w:t>"; provided that, if the amount of Capital Expenditures incurred by all Credit Parties in fiscal year 2017 does not exceed $75,000,000 (such amount, the "</w:t>
      </w:r>
      <w:r>
        <w:rPr>
          <w:rFonts w:ascii="Arial" w:cs="Arial" w:eastAsia="Arial" w:hAnsi="Arial"/>
          <w:sz w:val="21"/>
          <w:szCs w:val="21"/>
          <w:u w:val="single" w:color="auto"/>
          <w:color w:val="auto"/>
        </w:rPr>
        <w:t>2017 Capital Expenditure Limit</w:t>
      </w:r>
      <w:r>
        <w:rPr>
          <w:rFonts w:ascii="Arial" w:cs="Arial" w:eastAsia="Arial" w:hAnsi="Arial"/>
          <w:sz w:val="21"/>
          <w:szCs w:val="21"/>
          <w:color w:val="auto"/>
        </w:rPr>
        <w:t>"), then the unused portion of the 2017 Capital Expenditures Limit may be carried forward to be incurred in fiscal year 2018; provided further that, the aggregate amount of all Capital Expenditures incurred by all Credit Parties in fiscal years 2017 and 2018 does not exceed $135,000,000."</w:t>
      </w:r>
    </w:p>
    <w:p>
      <w:pPr>
        <w:spacing w:after="0" w:line="176" w:lineRule="exact"/>
        <w:rPr>
          <w:sz w:val="20"/>
          <w:szCs w:val="20"/>
          <w:color w:val="auto"/>
        </w:rPr>
      </w:pPr>
    </w:p>
    <w:p>
      <w:pPr>
        <w:jc w:val="both"/>
        <w:ind w:firstLine="1762"/>
        <w:spacing w:after="0" w:line="244" w:lineRule="auto"/>
        <w:tabs>
          <w:tab w:leader="none" w:pos="2556" w:val="left"/>
        </w:tabs>
        <w:numPr>
          <w:ilvl w:val="0"/>
          <w:numId w:val="40"/>
        </w:numPr>
        <w:rPr>
          <w:rFonts w:ascii="Arial" w:cs="Arial" w:eastAsia="Arial" w:hAnsi="Arial"/>
          <w:sz w:val="21"/>
          <w:szCs w:val="21"/>
          <w:color w:val="auto"/>
        </w:rPr>
      </w:pPr>
      <w:r>
        <w:rPr>
          <w:rFonts w:ascii="Arial" w:cs="Arial" w:eastAsia="Arial" w:hAnsi="Arial"/>
          <w:sz w:val="21"/>
          <w:szCs w:val="21"/>
          <w:u w:val="single" w:color="auto"/>
          <w:color w:val="auto"/>
        </w:rPr>
        <w:t>Acknowledgment in Respect of EBITDA Add-Back</w:t>
      </w:r>
      <w:r>
        <w:rPr>
          <w:rFonts w:ascii="Arial" w:cs="Arial" w:eastAsia="Arial" w:hAnsi="Arial"/>
          <w:sz w:val="21"/>
          <w:szCs w:val="21"/>
          <w:color w:val="auto"/>
        </w:rPr>
        <w:t>. Borrowers have requested, and Agent and the Lenders party hereto hereby acknowledge and agree, that (a) $47,000,000 in the aggregate of non-cash charges in respect of asset retirements and write-downs of inventory, vessels, spare parts and other assets will be added to EBITDA for the 2017 and 2018 fiscal years pursuant to and in accordance with subclause (b)(iv) of the definition thereof, and (b) $3,000,000 of charges in respect of severance and related costs in connection with the Restructuring will be added to EBITDA for the 2017 fiscal year pursuant to and in accordance with subclause (b)(vii)(B) of the definition thereof.</w:t>
      </w:r>
    </w:p>
    <w:p>
      <w:pPr>
        <w:spacing w:after="0" w:line="180" w:lineRule="exact"/>
        <w:rPr>
          <w:rFonts w:ascii="Arial" w:cs="Arial" w:eastAsia="Arial" w:hAnsi="Arial"/>
          <w:sz w:val="21"/>
          <w:szCs w:val="21"/>
          <w:color w:val="auto"/>
        </w:rPr>
      </w:pPr>
    </w:p>
    <w:p>
      <w:pPr>
        <w:ind w:firstLine="1762"/>
        <w:spacing w:after="0" w:line="268" w:lineRule="auto"/>
        <w:tabs>
          <w:tab w:leader="none" w:pos="2556" w:val="left"/>
        </w:tabs>
        <w:numPr>
          <w:ilvl w:val="0"/>
          <w:numId w:val="40"/>
        </w:numPr>
        <w:rPr>
          <w:rFonts w:ascii="Arial" w:cs="Arial" w:eastAsia="Arial" w:hAnsi="Arial"/>
          <w:sz w:val="21"/>
          <w:szCs w:val="21"/>
          <w:color w:val="auto"/>
        </w:rPr>
      </w:pPr>
      <w:r>
        <w:rPr>
          <w:rFonts w:ascii="Arial" w:cs="Arial" w:eastAsia="Arial" w:hAnsi="Arial"/>
          <w:sz w:val="21"/>
          <w:szCs w:val="21"/>
          <w:u w:val="single" w:color="auto"/>
          <w:color w:val="auto"/>
        </w:rPr>
        <w:t>Representations and Warranties</w:t>
      </w:r>
      <w:r>
        <w:rPr>
          <w:rFonts w:ascii="Arial" w:cs="Arial" w:eastAsia="Arial" w:hAnsi="Arial"/>
          <w:sz w:val="21"/>
          <w:szCs w:val="21"/>
          <w:color w:val="auto"/>
        </w:rPr>
        <w:t>. Each Credit Party hereby represents and warrants to Agent and Lenders that as of the date hereof, after giving effect to this Amendment and the transactions contemplated hereby:</w:t>
      </w:r>
    </w:p>
    <w:p>
      <w:pPr>
        <w:spacing w:after="0" w:line="154" w:lineRule="exact"/>
        <w:rPr>
          <w:sz w:val="20"/>
          <w:szCs w:val="20"/>
          <w:color w:val="auto"/>
        </w:rPr>
      </w:pPr>
    </w:p>
    <w:p>
      <w:pPr>
        <w:ind w:firstLine="1762"/>
        <w:spacing w:after="0" w:line="268" w:lineRule="auto"/>
        <w:tabs>
          <w:tab w:leader="none" w:pos="2632" w:val="left"/>
        </w:tabs>
        <w:numPr>
          <w:ilvl w:val="0"/>
          <w:numId w:val="41"/>
        </w:numPr>
        <w:rPr>
          <w:rFonts w:ascii="Arial" w:cs="Arial" w:eastAsia="Arial" w:hAnsi="Arial"/>
          <w:sz w:val="21"/>
          <w:szCs w:val="21"/>
          <w:color w:val="auto"/>
        </w:rPr>
      </w:pPr>
      <w:r>
        <w:rPr>
          <w:rFonts w:ascii="Arial" w:cs="Arial" w:eastAsia="Arial" w:hAnsi="Arial"/>
          <w:sz w:val="21"/>
          <w:szCs w:val="21"/>
          <w:color w:val="auto"/>
        </w:rPr>
        <w:t>The execution, delivery and performance of this Amendment has been duly authorized by all requisite limited liability company or corporate action, as applicable, on the part of each Credit Party;</w:t>
      </w:r>
    </w:p>
    <w:p>
      <w:pPr>
        <w:spacing w:after="0" w:line="154" w:lineRule="exact"/>
        <w:rPr>
          <w:rFonts w:ascii="Arial" w:cs="Arial" w:eastAsia="Arial" w:hAnsi="Arial"/>
          <w:sz w:val="21"/>
          <w:szCs w:val="21"/>
          <w:color w:val="auto"/>
        </w:rPr>
      </w:pPr>
    </w:p>
    <w:p>
      <w:pPr>
        <w:ind w:left="2660" w:hanging="898"/>
        <w:spacing w:after="0"/>
        <w:tabs>
          <w:tab w:leader="none" w:pos="2660" w:val="left"/>
        </w:tabs>
        <w:numPr>
          <w:ilvl w:val="0"/>
          <w:numId w:val="41"/>
        </w:numPr>
        <w:rPr>
          <w:rFonts w:ascii="Arial" w:cs="Arial" w:eastAsia="Arial" w:hAnsi="Arial"/>
          <w:sz w:val="21"/>
          <w:szCs w:val="21"/>
          <w:color w:val="auto"/>
        </w:rPr>
      </w:pPr>
      <w:r>
        <w:rPr>
          <w:rFonts w:ascii="Arial" w:cs="Arial" w:eastAsia="Arial" w:hAnsi="Arial"/>
          <w:sz w:val="21"/>
          <w:szCs w:val="21"/>
          <w:color w:val="auto"/>
        </w:rPr>
        <w:t>No Default or Event of Default has occurred and is continuing; and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FFFFFF"/>
        </w:rPr>
        <w:t>{N3521279.1}</w:t>
      </w:r>
      <w:r>
        <w:rPr>
          <w:rFonts w:ascii="Arial" w:cs="Arial" w:eastAsia="Arial" w:hAnsi="Arial"/>
          <w:sz w:val="21"/>
          <w:szCs w:val="21"/>
          <w:color w:val="00000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29043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8" w:name="page119"/>
    <w:bookmarkEnd w:id="118"/>
    <w:p>
      <w:pPr>
        <w:ind w:right="20"/>
        <w:spacing w:after="0" w:line="235" w:lineRule="auto"/>
        <w:rPr>
          <w:sz w:val="20"/>
          <w:szCs w:val="20"/>
          <w:color w:val="auto"/>
        </w:rPr>
      </w:pPr>
      <w:r>
        <w:rPr>
          <w:rFonts w:ascii="Arial" w:cs="Arial" w:eastAsia="Arial" w:hAnsi="Arial"/>
          <w:sz w:val="14"/>
          <w:szCs w:val="14"/>
          <w:color w:val="auto"/>
        </w:rPr>
        <w:t>PORTIONS OF THIS EXHIBIT HAVE BEEN REDACTED PURSUANT TO A REQUEST FOR CONFIDENTIAL TREATMENT UNDER RULE 24B-2 OF THE SECURITIES EXCHANGE ACT OF 1934, AS AMENDED. INFORMATION FOR WHICH CONFIDENTIAL TREATMENT HAS BEEN REQUESTED IS OMITTED, MARKED WITH “[*]” or “[REDACTED]” AND FILED SEPARATELY WITH THE SECURITIES AND EXCHANGE COMMISSION.</w:t>
      </w:r>
    </w:p>
    <w:p>
      <w:pPr>
        <w:spacing w:after="0" w:line="177" w:lineRule="exact"/>
        <w:rPr>
          <w:sz w:val="20"/>
          <w:szCs w:val="20"/>
          <w:color w:val="auto"/>
        </w:rPr>
      </w:pPr>
    </w:p>
    <w:p>
      <w:pPr>
        <w:jc w:val="both"/>
        <w:ind w:firstLine="1762"/>
        <w:spacing w:after="0" w:line="248" w:lineRule="auto"/>
        <w:tabs>
          <w:tab w:leader="none" w:pos="2632" w:val="left"/>
        </w:tabs>
        <w:numPr>
          <w:ilvl w:val="0"/>
          <w:numId w:val="42"/>
        </w:numPr>
        <w:rPr>
          <w:rFonts w:ascii="Arial" w:cs="Arial" w:eastAsia="Arial" w:hAnsi="Arial"/>
          <w:sz w:val="21"/>
          <w:szCs w:val="21"/>
          <w:color w:val="auto"/>
        </w:rPr>
      </w:pPr>
      <w:r>
        <w:rPr>
          <w:rFonts w:ascii="Arial" w:cs="Arial" w:eastAsia="Arial" w:hAnsi="Arial"/>
          <w:sz w:val="21"/>
          <w:szCs w:val="21"/>
          <w:color w:val="auto"/>
        </w:rPr>
        <w:t>The representations and warranties of each Credit Party set forth in the Credit Agreement and each Other Document are true and correct in all material respects with the same effect as if made on the date hereof (except to the extent stated to relate to a specific earlier date, in which case such representations and warranties shall be true and correct in all material respects as of such earlier date).</w:t>
      </w:r>
    </w:p>
    <w:p>
      <w:pPr>
        <w:spacing w:after="0" w:line="175" w:lineRule="exact"/>
        <w:rPr>
          <w:sz w:val="20"/>
          <w:szCs w:val="20"/>
          <w:color w:val="auto"/>
        </w:rPr>
      </w:pPr>
    </w:p>
    <w:p>
      <w:pPr>
        <w:ind w:firstLine="1762"/>
        <w:spacing w:after="0" w:line="268" w:lineRule="auto"/>
        <w:tabs>
          <w:tab w:leader="none" w:pos="2556" w:val="left"/>
        </w:tabs>
        <w:numPr>
          <w:ilvl w:val="0"/>
          <w:numId w:val="43"/>
        </w:numPr>
        <w:rPr>
          <w:rFonts w:ascii="Arial" w:cs="Arial" w:eastAsia="Arial" w:hAnsi="Arial"/>
          <w:sz w:val="21"/>
          <w:szCs w:val="21"/>
          <w:color w:val="auto"/>
        </w:rPr>
      </w:pPr>
      <w:r>
        <w:rPr>
          <w:rFonts w:ascii="Arial" w:cs="Arial" w:eastAsia="Arial" w:hAnsi="Arial"/>
          <w:sz w:val="21"/>
          <w:szCs w:val="21"/>
          <w:u w:val="single" w:color="auto"/>
          <w:color w:val="auto"/>
        </w:rPr>
        <w:t>Conditions Precedent to Effectiveness</w:t>
      </w:r>
      <w:r>
        <w:rPr>
          <w:rFonts w:ascii="Arial" w:cs="Arial" w:eastAsia="Arial" w:hAnsi="Arial"/>
          <w:sz w:val="21"/>
          <w:szCs w:val="21"/>
          <w:color w:val="auto"/>
        </w:rPr>
        <w:t>. The effectiveness of this Amendment is subject to the prior or concurrent consummation of each of the following conditions:</w:t>
      </w:r>
    </w:p>
    <w:p>
      <w:pPr>
        <w:spacing w:after="0" w:line="154" w:lineRule="exact"/>
        <w:rPr>
          <w:sz w:val="20"/>
          <w:szCs w:val="20"/>
          <w:color w:val="auto"/>
        </w:rPr>
      </w:pPr>
    </w:p>
    <w:p>
      <w:pPr>
        <w:ind w:left="2640" w:hanging="878"/>
        <w:spacing w:after="0"/>
        <w:tabs>
          <w:tab w:leader="none" w:pos="26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Agent shall have received a copy of this Amendment executed by each Credit Party and Required</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Lenders;</w:t>
      </w:r>
    </w:p>
    <w:p>
      <w:pPr>
        <w:spacing w:after="0" w:line="194" w:lineRule="exact"/>
        <w:rPr>
          <w:sz w:val="20"/>
          <w:szCs w:val="20"/>
          <w:color w:val="auto"/>
        </w:rPr>
      </w:pPr>
    </w:p>
    <w:p>
      <w:pPr>
        <w:jc w:val="both"/>
        <w:ind w:firstLine="1762"/>
        <w:spacing w:after="0" w:line="246" w:lineRule="auto"/>
        <w:tabs>
          <w:tab w:leader="none" w:pos="2644" w:val="left"/>
        </w:tabs>
        <w:numPr>
          <w:ilvl w:val="0"/>
          <w:numId w:val="45"/>
        </w:numPr>
        <w:rPr>
          <w:rFonts w:ascii="Arial" w:cs="Arial" w:eastAsia="Arial" w:hAnsi="Arial"/>
          <w:sz w:val="21"/>
          <w:szCs w:val="21"/>
          <w:color w:val="auto"/>
        </w:rPr>
      </w:pPr>
      <w:r>
        <w:rPr>
          <w:rFonts w:ascii="Arial" w:cs="Arial" w:eastAsia="Arial" w:hAnsi="Arial"/>
          <w:sz w:val="21"/>
          <w:szCs w:val="21"/>
          <w:color w:val="auto"/>
        </w:rPr>
        <w:t>Agent and Lenders shall have received any fees and expenses due and owing to Agent or Lenders in connection with this Amendment, including all fees payable pursuant to the Supplemental Fee Letter dated as of the date hereof, and, to the extent invoiced prior to the date hereof, reimbursement or payment of all reasonable expenses required to be reimbursed by any Credit Party pursuant to the Credit Agreement or any Other Document, including the reasonable fees and disbursements invoiced through a date prior to the date hereof of counsel to Agent; and</w:t>
      </w:r>
    </w:p>
    <w:p>
      <w:pPr>
        <w:spacing w:after="0" w:line="175" w:lineRule="exact"/>
        <w:rPr>
          <w:rFonts w:ascii="Arial" w:cs="Arial" w:eastAsia="Arial" w:hAnsi="Arial"/>
          <w:sz w:val="21"/>
          <w:szCs w:val="21"/>
          <w:color w:val="auto"/>
        </w:rPr>
      </w:pPr>
    </w:p>
    <w:p>
      <w:pPr>
        <w:ind w:firstLine="1762"/>
        <w:spacing w:after="0" w:line="268" w:lineRule="auto"/>
        <w:tabs>
          <w:tab w:leader="none" w:pos="2632" w:val="left"/>
        </w:tabs>
        <w:numPr>
          <w:ilvl w:val="0"/>
          <w:numId w:val="45"/>
        </w:numPr>
        <w:rPr>
          <w:rFonts w:ascii="Arial" w:cs="Arial" w:eastAsia="Arial" w:hAnsi="Arial"/>
          <w:sz w:val="21"/>
          <w:szCs w:val="21"/>
          <w:color w:val="auto"/>
        </w:rPr>
      </w:pPr>
      <w:r>
        <w:rPr>
          <w:rFonts w:ascii="Arial" w:cs="Arial" w:eastAsia="Arial" w:hAnsi="Arial"/>
          <w:sz w:val="21"/>
          <w:szCs w:val="21"/>
          <w:color w:val="auto"/>
        </w:rPr>
        <w:t>No Default or Event of Default shall have occurred and be continuing or shall be caused by the transactions contemplated by this Amendment.</w:t>
      </w:r>
    </w:p>
    <w:p>
      <w:pPr>
        <w:spacing w:after="0" w:line="154" w:lineRule="exact"/>
        <w:rPr>
          <w:sz w:val="20"/>
          <w:szCs w:val="20"/>
          <w:color w:val="auto"/>
        </w:rPr>
      </w:pPr>
    </w:p>
    <w:p>
      <w:pPr>
        <w:jc w:val="both"/>
        <w:ind w:firstLine="1762"/>
        <w:spacing w:after="0" w:line="255" w:lineRule="auto"/>
        <w:tabs>
          <w:tab w:leader="none" w:pos="2556"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Post-Closing Covenant</w:t>
      </w:r>
      <w:r>
        <w:rPr>
          <w:rFonts w:ascii="Arial" w:cs="Arial" w:eastAsia="Arial" w:hAnsi="Arial"/>
          <w:sz w:val="20"/>
          <w:szCs w:val="20"/>
          <w:color w:val="auto"/>
        </w:rPr>
        <w:t>. In consideration of the agreements of Agent and Lenders contained herein, the Borrowers hereby covenant and agree to deliver to Agent an Acceptable Appraisal with respect to the ATB Assets (the "</w:t>
      </w:r>
      <w:r>
        <w:rPr>
          <w:rFonts w:ascii="Arial" w:cs="Arial" w:eastAsia="Arial" w:hAnsi="Arial"/>
          <w:sz w:val="20"/>
          <w:szCs w:val="20"/>
          <w:u w:val="single" w:color="auto"/>
          <w:color w:val="auto"/>
        </w:rPr>
        <w:t>ATB</w:t>
      </w:r>
      <w:r>
        <w:rPr>
          <w:rFonts w:ascii="Arial" w:cs="Arial" w:eastAsia="Arial" w:hAnsi="Arial"/>
          <w:sz w:val="20"/>
          <w:szCs w:val="20"/>
          <w:color w:val="auto"/>
        </w:rPr>
        <w:t xml:space="preserve"> </w:t>
      </w:r>
      <w:r>
        <w:rPr>
          <w:rFonts w:ascii="Arial" w:cs="Arial" w:eastAsia="Arial" w:hAnsi="Arial"/>
          <w:sz w:val="20"/>
          <w:szCs w:val="20"/>
          <w:u w:val="single" w:color="auto"/>
          <w:color w:val="auto"/>
        </w:rPr>
        <w:t>Appraisal</w:t>
      </w:r>
      <w:r>
        <w:rPr>
          <w:rFonts w:ascii="Arial" w:cs="Arial" w:eastAsia="Arial" w:hAnsi="Arial"/>
          <w:sz w:val="20"/>
          <w:szCs w:val="20"/>
          <w:color w:val="auto"/>
        </w:rPr>
        <w:t>") within 90 days of the date hereof (or such later date as Agent may agreement in its sole discretion). Borrowers agree that all of the fees and out-of-pocket costs and expenses of the ATB Appraisal shall be paid for by Borrowers when due, in full and without deduction, off-set or counterclaim and further agree that such ATB Appraisal shall be in addition to any other appraisal conducted in accordance with Section 4.7 of the Credit Agreement and shall not count toward the limitations on the number of, and reimbursement for, appraisals set forth in Section 4.7 of the Credit Agreement. The failure of Borrowers to satisfy any of the requirements set forth in this Section 6 on or prior to the relevant date set forth herein (as such date may be extended by Agent in its sole discretion) shall constitute an immediate Event of Default under the Credit Agreement.</w:t>
      </w:r>
    </w:p>
    <w:p>
      <w:pPr>
        <w:spacing w:after="0" w:line="174" w:lineRule="exact"/>
        <w:rPr>
          <w:rFonts w:ascii="Arial" w:cs="Arial" w:eastAsia="Arial" w:hAnsi="Arial"/>
          <w:sz w:val="20"/>
          <w:szCs w:val="20"/>
          <w:color w:val="auto"/>
        </w:rPr>
      </w:pPr>
    </w:p>
    <w:p>
      <w:pPr>
        <w:jc w:val="both"/>
        <w:ind w:firstLine="1762"/>
        <w:spacing w:after="0" w:line="257" w:lineRule="auto"/>
        <w:tabs>
          <w:tab w:leader="none" w:pos="2556"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Release</w:t>
      </w:r>
      <w:r>
        <w:rPr>
          <w:rFonts w:ascii="Arial" w:cs="Arial" w:eastAsia="Arial" w:hAnsi="Arial"/>
          <w:sz w:val="20"/>
          <w:szCs w:val="20"/>
          <w:color w:val="auto"/>
        </w:rPr>
        <w:t>. In consideration of the agreements of Agent and Lenders contained herein and for other good and valuable consideration, the receipt and sufficiency of which are hereby acknowledged, each Credit Party hereby releases and forever discharges Agent, each Lender and their respective directors, officers, employees, agents, attorneys, affiliates, subsidiaries, successors and permitted assigns from any and all liabilities, obligations, actions, contracts, claims, causes of action, damages, demands, costs and expenses whatsoever (collectively "</w:t>
      </w:r>
      <w:r>
        <w:rPr>
          <w:rFonts w:ascii="Arial" w:cs="Arial" w:eastAsia="Arial" w:hAnsi="Arial"/>
          <w:sz w:val="20"/>
          <w:szCs w:val="20"/>
          <w:u w:val="single" w:color="auto"/>
          <w:color w:val="auto"/>
        </w:rPr>
        <w:t>Claims</w:t>
      </w:r>
      <w:r>
        <w:rPr>
          <w:rFonts w:ascii="Arial" w:cs="Arial" w:eastAsia="Arial" w:hAnsi="Arial"/>
          <w:sz w:val="20"/>
          <w:szCs w:val="20"/>
          <w:color w:val="auto"/>
        </w:rPr>
        <w:t>"), of every kind and nature, however evidenced or created, whether known or unknown, arising prior to or on the date of this Amendment including, but not limited to, any Claims involving the extension of credit under or administration of this Amendment, the Credit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color w:val="FFFFFF"/>
        </w:rPr>
        <w:t>{N3521279.1}</w:t>
      </w:r>
      <w:r>
        <w:rPr>
          <w:rFonts w:ascii="Arial" w:cs="Arial" w:eastAsia="Arial" w:hAnsi="Arial"/>
          <w:sz w:val="21"/>
          <w:szCs w:val="21"/>
          <w:color w:val="000000"/>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29043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9" w:name="page120"/>
    <w:bookmarkEnd w:id="119"/>
    <w:p>
      <w:pPr>
        <w:ind w:right="20"/>
        <w:spacing w:after="0" w:line="235" w:lineRule="auto"/>
        <w:rPr>
          <w:sz w:val="20"/>
          <w:szCs w:val="20"/>
          <w:color w:val="auto"/>
        </w:rPr>
      </w:pPr>
      <w:r>
        <w:rPr>
          <w:rFonts w:ascii="Arial" w:cs="Arial" w:eastAsia="Arial" w:hAnsi="Arial"/>
          <w:sz w:val="14"/>
          <w:szCs w:val="14"/>
          <w:color w:val="auto"/>
        </w:rPr>
        <w:t>PORTIONS OF THIS EXHIBIT HAVE BEEN REDACTED PURSUANT TO A REQUEST FOR CONFIDENTIAL TREATMENT UNDER RULE 24B-2 OF THE SECURITIES EXCHANGE ACT OF 1934, AS AMENDED. INFORMATION FOR WHICH CONFIDENTIAL TREATMENT HAS BEEN REQUESTED IS OMITTED, MARKED WITH “[*]” or “[REDACTED]” AND FILED SEPARATELY WITH THE SECURITIES AND EXCHANGE COMMISSION.</w:t>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Agreement or the Other Documents, as each may have been amended prior to the date hereof, or the Indebtedness incurred by Borrowers or any other transactions evidenced by this Amendment, the Credit Agreement or the Other Documents, in each case arising prior to or on the date of this Amendment.</w:t>
      </w:r>
    </w:p>
    <w:p>
      <w:pPr>
        <w:spacing w:after="0" w:line="170" w:lineRule="exact"/>
        <w:rPr>
          <w:sz w:val="20"/>
          <w:szCs w:val="20"/>
          <w:color w:val="auto"/>
        </w:rPr>
      </w:pPr>
    </w:p>
    <w:p>
      <w:pPr>
        <w:jc w:val="both"/>
        <w:ind w:firstLine="1762"/>
        <w:spacing w:after="0" w:line="253" w:lineRule="auto"/>
        <w:tabs>
          <w:tab w:leader="none" w:pos="2556"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The illegality or unenforceability of any provision of this Amendment or any instrument or agreement required hereunder shall not in any way affect or impair the legality or enforceability of the remaining provisions of this Amendment or any instrument or agreement required hereunder.</w:t>
      </w:r>
    </w:p>
    <w:p>
      <w:pPr>
        <w:spacing w:after="0" w:line="169" w:lineRule="exact"/>
        <w:rPr>
          <w:rFonts w:ascii="Arial" w:cs="Arial" w:eastAsia="Arial" w:hAnsi="Arial"/>
          <w:sz w:val="21"/>
          <w:szCs w:val="21"/>
          <w:color w:val="auto"/>
        </w:rPr>
      </w:pPr>
    </w:p>
    <w:p>
      <w:pPr>
        <w:ind w:right="20" w:firstLine="1762"/>
        <w:spacing w:after="0" w:line="268" w:lineRule="auto"/>
        <w:tabs>
          <w:tab w:leader="none" w:pos="2556"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References</w:t>
      </w:r>
      <w:r>
        <w:rPr>
          <w:rFonts w:ascii="Arial" w:cs="Arial" w:eastAsia="Arial" w:hAnsi="Arial"/>
          <w:sz w:val="21"/>
          <w:szCs w:val="21"/>
          <w:color w:val="auto"/>
        </w:rPr>
        <w:t>. Any reference to the Credit Agreement contained in the Credit Agreement or any Other Document shall be deemed to be a reference to the Credit Agreement as modified by this Amendment.</w:t>
      </w:r>
    </w:p>
    <w:p>
      <w:pPr>
        <w:spacing w:after="0" w:line="154" w:lineRule="exact"/>
        <w:rPr>
          <w:rFonts w:ascii="Arial" w:cs="Arial" w:eastAsia="Arial" w:hAnsi="Arial"/>
          <w:sz w:val="21"/>
          <w:szCs w:val="21"/>
          <w:color w:val="auto"/>
        </w:rPr>
      </w:pPr>
    </w:p>
    <w:p>
      <w:pPr>
        <w:jc w:val="both"/>
        <w:ind w:firstLine="1762"/>
        <w:spacing w:after="0" w:line="243" w:lineRule="auto"/>
        <w:tabs>
          <w:tab w:leader="none" w:pos="2662"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Amendment may be executed in any number of counterparts and by the different parties hereto on separate counterparts and each such counterpart shall be deemed to be an original, but all such counterparts shall together constitute but one and the same Amendment. Receipt by telecopy of any executed signature page to this Amendment shall constitute effective delivery of such signature page. This Amendment to the extent signed and delivered by means of a facsimile machine or other electronic transmission (including "pdf"), shall be treated in all manner and respects and for all purposes as an original agreement or amendment and shall be considered to have the same binding legal effect as if it were the original signed version thereof delivered in person.</w:t>
      </w:r>
    </w:p>
    <w:p>
      <w:pPr>
        <w:spacing w:after="0" w:line="182" w:lineRule="exact"/>
        <w:rPr>
          <w:rFonts w:ascii="Arial" w:cs="Arial" w:eastAsia="Arial" w:hAnsi="Arial"/>
          <w:sz w:val="21"/>
          <w:szCs w:val="21"/>
          <w:color w:val="auto"/>
        </w:rPr>
      </w:pPr>
    </w:p>
    <w:p>
      <w:pPr>
        <w:jc w:val="both"/>
        <w:ind w:firstLine="1762"/>
        <w:spacing w:after="0" w:line="246" w:lineRule="auto"/>
        <w:tabs>
          <w:tab w:leader="none" w:pos="2654"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Ratification</w:t>
      </w:r>
      <w:r>
        <w:rPr>
          <w:rFonts w:ascii="Arial" w:cs="Arial" w:eastAsia="Arial" w:hAnsi="Arial"/>
          <w:sz w:val="21"/>
          <w:szCs w:val="21"/>
          <w:color w:val="auto"/>
        </w:rPr>
        <w:t>. The terms and provisions set forth in this Amendment shall modify and supersede all inconsistent terms and provisions of the Credit Agreement and shall not be deemed to be a consent to the modification or waiver of any other term or condition of the Credit Agreement and the Other Documents. Except as expressly modified and superseded by this Amendment, the terms and provisions of the Credit Agreement and the Other Documents are ratified and confirmed and shall continue in full force and effect.</w:t>
      </w:r>
    </w:p>
    <w:p>
      <w:pPr>
        <w:spacing w:after="0" w:line="175" w:lineRule="exact"/>
        <w:rPr>
          <w:rFonts w:ascii="Arial" w:cs="Arial" w:eastAsia="Arial" w:hAnsi="Arial"/>
          <w:sz w:val="21"/>
          <w:szCs w:val="21"/>
          <w:color w:val="auto"/>
        </w:rPr>
      </w:pPr>
    </w:p>
    <w:p>
      <w:pPr>
        <w:ind w:right="20" w:firstLine="1762"/>
        <w:spacing w:after="0" w:line="268" w:lineRule="auto"/>
        <w:tabs>
          <w:tab w:leader="none" w:pos="2662"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Costs and Expenses</w:t>
      </w:r>
      <w:r>
        <w:rPr>
          <w:rFonts w:ascii="Arial" w:cs="Arial" w:eastAsia="Arial" w:hAnsi="Arial"/>
          <w:sz w:val="21"/>
          <w:szCs w:val="21"/>
          <w:color w:val="auto"/>
        </w:rPr>
        <w:t>. Each Credit Party acknowledges that Section 16.9 of the Credit Agreement applies to this Amendment and the transactions, agreements and documents contemplated hereunder.</w:t>
      </w:r>
    </w:p>
    <w:p>
      <w:pPr>
        <w:spacing w:after="0" w:line="154" w:lineRule="exact"/>
        <w:rPr>
          <w:rFonts w:ascii="Arial" w:cs="Arial" w:eastAsia="Arial" w:hAnsi="Arial"/>
          <w:sz w:val="21"/>
          <w:szCs w:val="21"/>
          <w:color w:val="auto"/>
        </w:rPr>
      </w:pPr>
    </w:p>
    <w:p>
      <w:pPr>
        <w:jc w:val="both"/>
        <w:ind w:firstLine="1762"/>
        <w:spacing w:after="0" w:line="253" w:lineRule="auto"/>
        <w:tabs>
          <w:tab w:leader="none" w:pos="2662"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AMENDMENT SHALL BE A CONTRACT MADE UNDER AND GOVERNED BY THE INTERNAL LAWS OF THE STATE OF NEW YORK APPLICABLE TO CONTRACTS MADE AND TO BE PERFORMED ENTIRELY WITHIN SUCH STATE, WITHOUT REGARD TO CONFLICT OF LAWS PRINCIPLES.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pages follow</w:t>
      </w:r>
      <w:r>
        <w:rPr>
          <w:rFonts w:ascii="Arial" w:cs="Arial" w:eastAsia="Arial" w:hAnsi="Arial"/>
          <w:sz w:val="21"/>
          <w:szCs w:val="21"/>
          <w:color w:val="auto"/>
        </w:rPr>
        <w: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FFFFFF"/>
        </w:rPr>
        <w:t>{N3521279.1}</w:t>
      </w:r>
      <w:r>
        <w:rPr>
          <w:rFonts w:ascii="Arial" w:cs="Arial" w:eastAsia="Arial" w:hAnsi="Arial"/>
          <w:sz w:val="21"/>
          <w:szCs w:val="21"/>
          <w:color w:val="00000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29043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0" w:name="page121"/>
    <w:bookmarkEnd w:id="120"/>
    <w:p>
      <w:pPr>
        <w:ind w:right="120"/>
        <w:spacing w:after="0" w:line="235" w:lineRule="auto"/>
        <w:rPr>
          <w:sz w:val="20"/>
          <w:szCs w:val="20"/>
          <w:color w:val="auto"/>
        </w:rPr>
      </w:pPr>
      <w:r>
        <w:rPr>
          <w:rFonts w:ascii="Arial" w:cs="Arial" w:eastAsia="Arial" w:hAnsi="Arial"/>
          <w:sz w:val="14"/>
          <w:szCs w:val="14"/>
          <w:color w:val="auto"/>
        </w:rPr>
        <w:t>PORTIONS OF THIS EXHIBIT HAVE BEEN REDACTED PURSUANT TO A REQUEST FOR CONFIDENTIAL TREATMENT UNDER RULE 24B-2 OF THE SECURITIES EXCHANGE ACT OF 1934, AS AMENDED. INFORMATION FOR WHICH CONFIDENTIAL TREATMENT HAS BEEN REQUESTED IS OMITTED, MARKED WITH “[*]” or “[REDACTED]” AND FILED SEPARATELY WITH THE SECURITIES AND EXCHANGE COMMISSION.</w:t>
      </w:r>
    </w:p>
    <w:p>
      <w:pPr>
        <w:spacing w:after="0" w:line="177" w:lineRule="exact"/>
        <w:rPr>
          <w:sz w:val="20"/>
          <w:szCs w:val="20"/>
          <w:color w:val="auto"/>
        </w:rPr>
      </w:pPr>
    </w:p>
    <w:p>
      <w:pPr>
        <w:ind w:right="100" w:firstLine="1755"/>
        <w:spacing w:after="0" w:line="268" w:lineRule="auto"/>
        <w:rPr>
          <w:sz w:val="20"/>
          <w:szCs w:val="20"/>
          <w:color w:val="auto"/>
        </w:rPr>
      </w:pPr>
      <w:r>
        <w:rPr>
          <w:rFonts w:ascii="Arial" w:cs="Arial" w:eastAsia="Arial" w:hAnsi="Arial"/>
          <w:sz w:val="21"/>
          <w:szCs w:val="21"/>
          <w:color w:val="auto"/>
        </w:rPr>
        <w:t>IN WITNESS WHEREOF, the parties hereto have caused this Amendment to be duly executed and delivered by their respective duly authorized officers as of the date first written above.</w:t>
      </w:r>
    </w:p>
    <w:p>
      <w:pPr>
        <w:spacing w:after="0" w:line="361" w:lineRule="exact"/>
        <w:rPr>
          <w:sz w:val="20"/>
          <w:szCs w:val="20"/>
          <w:color w:val="auto"/>
        </w:rPr>
      </w:pPr>
    </w:p>
    <w:p>
      <w:pPr>
        <w:ind w:left="4860"/>
        <w:spacing w:after="0"/>
        <w:rPr>
          <w:sz w:val="20"/>
          <w:szCs w:val="20"/>
          <w:color w:val="auto"/>
        </w:rPr>
      </w:pPr>
      <w:r>
        <w:rPr>
          <w:rFonts w:ascii="Arial" w:cs="Arial" w:eastAsia="Arial" w:hAnsi="Arial"/>
          <w:sz w:val="21"/>
          <w:szCs w:val="21"/>
          <w:b w:val="1"/>
          <w:bCs w:val="1"/>
          <w:color w:val="auto"/>
        </w:rPr>
        <w:t>BORROWERS:</w:t>
      </w:r>
    </w:p>
    <w:p>
      <w:pPr>
        <w:spacing w:after="0" w:line="218" w:lineRule="exact"/>
        <w:rPr>
          <w:sz w:val="20"/>
          <w:szCs w:val="20"/>
          <w:color w:val="auto"/>
        </w:rPr>
      </w:pPr>
    </w:p>
    <w:p>
      <w:pPr>
        <w:ind w:left="4860" w:right="820"/>
        <w:spacing w:after="0" w:line="268" w:lineRule="auto"/>
        <w:rPr>
          <w:sz w:val="20"/>
          <w:szCs w:val="20"/>
          <w:color w:val="auto"/>
        </w:rPr>
      </w:pPr>
      <w:r>
        <w:rPr>
          <w:rFonts w:ascii="Arial" w:cs="Arial" w:eastAsia="Arial" w:hAnsi="Arial"/>
          <w:sz w:val="21"/>
          <w:szCs w:val="21"/>
          <w:color w:val="auto"/>
        </w:rPr>
        <w:t>GREAT LAKES DREDGE &amp; DOCK CORPORATION, a Delaware corporation</w:t>
      </w:r>
    </w:p>
    <w:p>
      <w:pPr>
        <w:spacing w:after="0" w:line="200" w:lineRule="exact"/>
        <w:rPr>
          <w:sz w:val="20"/>
          <w:szCs w:val="20"/>
          <w:color w:val="auto"/>
        </w:rPr>
      </w:pPr>
    </w:p>
    <w:p>
      <w:pPr>
        <w:spacing w:after="0" w:line="221"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/s/Mark W. Marinko</w:t>
      </w:r>
    </w:p>
    <w:p>
      <w:pPr>
        <w:spacing w:after="0" w:line="15"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Name: Mark W. Marinko</w:t>
      </w:r>
    </w:p>
    <w:p>
      <w:pPr>
        <w:ind w:left="4860"/>
        <w:spacing w:after="0"/>
        <w:rPr>
          <w:sz w:val="20"/>
          <w:szCs w:val="20"/>
          <w:color w:val="auto"/>
        </w:rPr>
      </w:pPr>
      <w:r>
        <w:rPr>
          <w:rFonts w:ascii="Arial" w:cs="Arial" w:eastAsia="Arial" w:hAnsi="Arial"/>
          <w:sz w:val="21"/>
          <w:szCs w:val="21"/>
          <w:color w:val="auto"/>
        </w:rPr>
        <w:t>Title: Senior Vice President &amp; Chief Financial Officer</w:t>
      </w:r>
    </w:p>
    <w:p>
      <w:pPr>
        <w:spacing w:after="0" w:line="200" w:lineRule="exact"/>
        <w:rPr>
          <w:sz w:val="20"/>
          <w:szCs w:val="20"/>
          <w:color w:val="auto"/>
        </w:rPr>
      </w:pPr>
    </w:p>
    <w:p>
      <w:pPr>
        <w:spacing w:after="0" w:line="207" w:lineRule="exact"/>
        <w:rPr>
          <w:sz w:val="20"/>
          <w:szCs w:val="20"/>
          <w:color w:val="auto"/>
        </w:rPr>
      </w:pPr>
    </w:p>
    <w:p>
      <w:pPr>
        <w:ind w:left="4860" w:right="120"/>
        <w:spacing w:after="0" w:line="268" w:lineRule="auto"/>
        <w:rPr>
          <w:sz w:val="20"/>
          <w:szCs w:val="20"/>
          <w:color w:val="auto"/>
        </w:rPr>
      </w:pPr>
      <w:r>
        <w:rPr>
          <w:rFonts w:ascii="Arial" w:cs="Arial" w:eastAsia="Arial" w:hAnsi="Arial"/>
          <w:sz w:val="21"/>
          <w:szCs w:val="21"/>
          <w:color w:val="auto"/>
        </w:rPr>
        <w:t>GREAT LAKES DREDGE &amp; DOCK COMPANY, LLC, a Delaware limited liability company</w:t>
      </w:r>
    </w:p>
    <w:p>
      <w:pPr>
        <w:spacing w:after="0" w:line="200" w:lineRule="exact"/>
        <w:rPr>
          <w:sz w:val="20"/>
          <w:szCs w:val="20"/>
          <w:color w:val="auto"/>
        </w:rPr>
      </w:pPr>
    </w:p>
    <w:p>
      <w:pPr>
        <w:spacing w:after="0" w:line="221"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/s/Mark W. Marinko</w:t>
      </w:r>
    </w:p>
    <w:p>
      <w:pPr>
        <w:spacing w:after="0" w:line="15"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Name: Mark W. Marinko</w:t>
      </w:r>
    </w:p>
    <w:p>
      <w:pPr>
        <w:ind w:left="4860"/>
        <w:spacing w:after="0"/>
        <w:rPr>
          <w:sz w:val="20"/>
          <w:szCs w:val="20"/>
          <w:color w:val="auto"/>
        </w:rPr>
      </w:pPr>
      <w:r>
        <w:rPr>
          <w:rFonts w:ascii="Arial" w:cs="Arial" w:eastAsia="Arial" w:hAnsi="Arial"/>
          <w:sz w:val="21"/>
          <w:szCs w:val="21"/>
          <w:color w:val="auto"/>
        </w:rPr>
        <w:t>Title: Senior Vice President &amp; Chief Financial Officer</w:t>
      </w:r>
    </w:p>
    <w:p>
      <w:pPr>
        <w:spacing w:after="0" w:line="200" w:lineRule="exact"/>
        <w:rPr>
          <w:sz w:val="20"/>
          <w:szCs w:val="20"/>
          <w:color w:val="auto"/>
        </w:rPr>
      </w:pPr>
    </w:p>
    <w:p>
      <w:pPr>
        <w:spacing w:after="0" w:line="207"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NASDI HOLDINGS, LLC, a Delaware limited liability company</w:t>
      </w:r>
    </w:p>
    <w:p>
      <w:pPr>
        <w:spacing w:after="0" w:line="200" w:lineRule="exact"/>
        <w:rPr>
          <w:sz w:val="20"/>
          <w:szCs w:val="20"/>
          <w:color w:val="auto"/>
        </w:rPr>
      </w:pPr>
    </w:p>
    <w:p>
      <w:pPr>
        <w:spacing w:after="0" w:line="279"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/s/Katherine M. O’Halloran</w:t>
      </w:r>
    </w:p>
    <w:p>
      <w:pPr>
        <w:spacing w:after="0" w:line="15"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Name: Katherine M. O'Halloran</w:t>
      </w:r>
    </w:p>
    <w:p>
      <w:pPr>
        <w:ind w:left="4860"/>
        <w:spacing w:after="0"/>
        <w:rPr>
          <w:sz w:val="20"/>
          <w:szCs w:val="20"/>
          <w:color w:val="auto"/>
        </w:rPr>
      </w:pPr>
      <w:r>
        <w:rPr>
          <w:rFonts w:ascii="Arial" w:cs="Arial" w:eastAsia="Arial" w:hAnsi="Arial"/>
          <w:sz w:val="21"/>
          <w:szCs w:val="21"/>
          <w:color w:val="auto"/>
        </w:rPr>
        <w:t>Title: Treasurer</w:t>
      </w:r>
    </w:p>
    <w:p>
      <w:pPr>
        <w:spacing w:after="0" w:line="200" w:lineRule="exact"/>
        <w:rPr>
          <w:sz w:val="20"/>
          <w:szCs w:val="20"/>
          <w:color w:val="auto"/>
        </w:rPr>
      </w:pPr>
    </w:p>
    <w:p>
      <w:pPr>
        <w:spacing w:after="0" w:line="207" w:lineRule="exact"/>
        <w:rPr>
          <w:sz w:val="20"/>
          <w:szCs w:val="20"/>
          <w:color w:val="auto"/>
        </w:rPr>
      </w:pPr>
    </w:p>
    <w:p>
      <w:pPr>
        <w:ind w:left="4860"/>
        <w:spacing w:after="0" w:line="268" w:lineRule="auto"/>
        <w:rPr>
          <w:sz w:val="20"/>
          <w:szCs w:val="20"/>
          <w:color w:val="auto"/>
        </w:rPr>
      </w:pPr>
      <w:r>
        <w:rPr>
          <w:rFonts w:ascii="Arial" w:cs="Arial" w:eastAsia="Arial" w:hAnsi="Arial"/>
          <w:sz w:val="21"/>
          <w:szCs w:val="21"/>
          <w:color w:val="auto"/>
        </w:rPr>
        <w:t>GREAT LAKES DREDGE &amp; DOCK ENVIRONMENTAL, INC., a Delaware corporation</w:t>
      </w:r>
    </w:p>
    <w:p>
      <w:pPr>
        <w:spacing w:after="0" w:line="200" w:lineRule="exact"/>
        <w:rPr>
          <w:sz w:val="20"/>
          <w:szCs w:val="20"/>
          <w:color w:val="auto"/>
        </w:rPr>
      </w:pPr>
    </w:p>
    <w:p>
      <w:pPr>
        <w:spacing w:after="0" w:line="221"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/s/Katherine M. O’Halloran</w:t>
      </w:r>
    </w:p>
    <w:p>
      <w:pPr>
        <w:spacing w:after="0" w:line="15"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Name: Katherine M. O'Halloran</w:t>
      </w:r>
    </w:p>
    <w:p>
      <w:pPr>
        <w:ind w:left="4860"/>
        <w:spacing w:after="0"/>
        <w:rPr>
          <w:sz w:val="20"/>
          <w:szCs w:val="20"/>
          <w:color w:val="auto"/>
        </w:rPr>
      </w:pPr>
      <w:r>
        <w:rPr>
          <w:rFonts w:ascii="Arial" w:cs="Arial" w:eastAsia="Arial" w:hAnsi="Arial"/>
          <w:sz w:val="21"/>
          <w:szCs w:val="21"/>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FFFFFF"/>
        </w:rPr>
        <w:t>{N3521279.1}</w:t>
      </w:r>
      <w:r>
        <w:rPr>
          <w:rFonts w:ascii="Arial" w:cs="Arial" w:eastAsia="Arial" w:hAnsi="Arial"/>
          <w:sz w:val="14"/>
          <w:szCs w:val="14"/>
          <w:color w:val="000000"/>
        </w:rPr>
        <w:t>Signature Page to Consent and Amendment No. 3 to Revolving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29043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520"/>
          </w:cols>
          <w:pgMar w:left="240" w:top="121" w:right="139" w:bottom="1440" w:gutter="0" w:footer="0" w:header="0"/>
        </w:sectPr>
      </w:pPr>
    </w:p>
    <w:bookmarkStart w:id="121" w:name="page122"/>
    <w:bookmarkEnd w:id="121"/>
    <w:p>
      <w:pPr>
        <w:ind w:right="120"/>
        <w:spacing w:after="0" w:line="235" w:lineRule="auto"/>
        <w:rPr>
          <w:sz w:val="20"/>
          <w:szCs w:val="20"/>
          <w:color w:val="auto"/>
        </w:rPr>
      </w:pPr>
      <w:r>
        <w:rPr>
          <w:rFonts w:ascii="Arial" w:cs="Arial" w:eastAsia="Arial" w:hAnsi="Arial"/>
          <w:sz w:val="14"/>
          <w:szCs w:val="14"/>
          <w:color w:val="auto"/>
        </w:rPr>
        <w:t>PORTIONS OF THIS EXHIBIT HAVE BEEN REDACTED PURSUANT TO A REQUEST FOR CONFIDENTIAL TREATMENT UNDER RULE 24B-2 OF THE SECURITIES EXCHANGE ACT OF 1934, AS AMENDED. INFORMATION FOR WHICH CONFIDENTIAL TREATMENT HAS BEEN REQUESTED IS OMITTED, MARKED WITH “[*]” or “[REDACTED]” AND FILED SEPARATELY WITH THE SECURITIES AND EXCHANGE COMMISSION.</w:t>
      </w:r>
    </w:p>
    <w:p>
      <w:pPr>
        <w:spacing w:after="0" w:line="177" w:lineRule="exact"/>
        <w:rPr>
          <w:sz w:val="20"/>
          <w:szCs w:val="20"/>
          <w:color w:val="auto"/>
        </w:rPr>
      </w:pPr>
    </w:p>
    <w:p>
      <w:pPr>
        <w:ind w:left="4860"/>
        <w:spacing w:after="0" w:line="268" w:lineRule="auto"/>
        <w:rPr>
          <w:sz w:val="20"/>
          <w:szCs w:val="20"/>
          <w:color w:val="auto"/>
        </w:rPr>
      </w:pPr>
      <w:r>
        <w:rPr>
          <w:rFonts w:ascii="Arial" w:cs="Arial" w:eastAsia="Arial" w:hAnsi="Arial"/>
          <w:sz w:val="21"/>
          <w:szCs w:val="21"/>
          <w:color w:val="auto"/>
        </w:rPr>
        <w:t>GREAT LAKES ENVIRONMENTAL &amp; INFRASTRUCTURE SOLUTIONS LLC, a Delaware limited liability company</w:t>
      </w:r>
    </w:p>
    <w:p>
      <w:pPr>
        <w:spacing w:after="0" w:line="200" w:lineRule="exact"/>
        <w:rPr>
          <w:sz w:val="20"/>
          <w:szCs w:val="20"/>
          <w:color w:val="auto"/>
        </w:rPr>
      </w:pPr>
    </w:p>
    <w:p>
      <w:pPr>
        <w:spacing w:after="0" w:line="221"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/s/Katherine M. O’Halloran</w:t>
      </w:r>
    </w:p>
    <w:p>
      <w:pPr>
        <w:spacing w:after="0" w:line="15"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Name: Katherine M. O'Halloran</w:t>
      </w:r>
    </w:p>
    <w:p>
      <w:pPr>
        <w:ind w:left="4860"/>
        <w:spacing w:after="0"/>
        <w:rPr>
          <w:sz w:val="20"/>
          <w:szCs w:val="20"/>
          <w:color w:val="auto"/>
        </w:rPr>
      </w:pPr>
      <w:r>
        <w:rPr>
          <w:rFonts w:ascii="Arial" w:cs="Arial" w:eastAsia="Arial" w:hAnsi="Arial"/>
          <w:sz w:val="21"/>
          <w:szCs w:val="21"/>
          <w:color w:val="auto"/>
        </w:rPr>
        <w:t>Title: Treasurer</w:t>
      </w:r>
    </w:p>
    <w:p>
      <w:pPr>
        <w:spacing w:after="0" w:line="200" w:lineRule="exact"/>
        <w:rPr>
          <w:sz w:val="20"/>
          <w:szCs w:val="20"/>
          <w:color w:val="auto"/>
        </w:rPr>
      </w:pPr>
    </w:p>
    <w:p>
      <w:pPr>
        <w:spacing w:after="0" w:line="207"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GREAT LAKES ENVIRONMENTAL &amp;</w:t>
      </w:r>
    </w:p>
    <w:p>
      <w:pPr>
        <w:spacing w:after="0" w:line="15"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INFRASTRUCTURE, LLC, a Delaware limited liability</w:t>
      </w:r>
    </w:p>
    <w:p>
      <w:pPr>
        <w:ind w:left="4860"/>
        <w:spacing w:after="0"/>
        <w:rPr>
          <w:sz w:val="20"/>
          <w:szCs w:val="20"/>
          <w:color w:val="auto"/>
        </w:rPr>
      </w:pPr>
      <w:r>
        <w:rPr>
          <w:rFonts w:ascii="Arial" w:cs="Arial" w:eastAsia="Arial" w:hAnsi="Arial"/>
          <w:sz w:val="21"/>
          <w:szCs w:val="21"/>
          <w:color w:val="auto"/>
        </w:rPr>
        <w:t>company</w:t>
      </w:r>
    </w:p>
    <w:p>
      <w:pPr>
        <w:spacing w:after="0" w:line="200" w:lineRule="exact"/>
        <w:rPr>
          <w:sz w:val="20"/>
          <w:szCs w:val="20"/>
          <w:color w:val="auto"/>
        </w:rPr>
      </w:pPr>
    </w:p>
    <w:p>
      <w:pPr>
        <w:spacing w:after="0" w:line="261"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/s/Katherine M. O’Halloran</w:t>
      </w:r>
    </w:p>
    <w:p>
      <w:pPr>
        <w:spacing w:after="0" w:line="15"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Name: Katherine M. O'Halloran</w:t>
      </w:r>
    </w:p>
    <w:p>
      <w:pPr>
        <w:ind w:left="4860"/>
        <w:spacing w:after="0"/>
        <w:rPr>
          <w:sz w:val="20"/>
          <w:szCs w:val="20"/>
          <w:color w:val="auto"/>
        </w:rPr>
      </w:pPr>
      <w:r>
        <w:rPr>
          <w:rFonts w:ascii="Arial" w:cs="Arial" w:eastAsia="Arial" w:hAnsi="Arial"/>
          <w:sz w:val="21"/>
          <w:szCs w:val="21"/>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GREAT LAKES U.S. FLEET MANAGEMENT, LLC, a</w:t>
      </w:r>
    </w:p>
    <w:p>
      <w:pPr>
        <w:spacing w:after="0" w:line="17"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/s/Katherine M. O’Halloran</w:t>
      </w:r>
    </w:p>
    <w:p>
      <w:pPr>
        <w:spacing w:after="0" w:line="15"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Name: Katherine M. O'Halloran</w:t>
      </w:r>
    </w:p>
    <w:p>
      <w:pPr>
        <w:ind w:left="4860"/>
        <w:spacing w:after="0"/>
        <w:rPr>
          <w:sz w:val="20"/>
          <w:szCs w:val="20"/>
          <w:color w:val="auto"/>
        </w:rPr>
      </w:pPr>
      <w:r>
        <w:rPr>
          <w:rFonts w:ascii="Arial" w:cs="Arial" w:eastAsia="Arial" w:hAnsi="Arial"/>
          <w:sz w:val="21"/>
          <w:szCs w:val="21"/>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FFFFFF"/>
        </w:rPr>
        <w:t>{N3521279.1}</w:t>
      </w:r>
      <w:r>
        <w:rPr>
          <w:rFonts w:ascii="Arial" w:cs="Arial" w:eastAsia="Arial" w:hAnsi="Arial"/>
          <w:sz w:val="14"/>
          <w:szCs w:val="14"/>
          <w:color w:val="000000"/>
        </w:rPr>
        <w:t>Signature Page to Consent and Amendment No. 3 to Revolving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29043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520"/>
          </w:cols>
          <w:pgMar w:left="240" w:top="121" w:right="139" w:bottom="1440" w:gutter="0" w:footer="0" w:header="0"/>
        </w:sectPr>
      </w:pPr>
    </w:p>
    <w:bookmarkStart w:id="122" w:name="page123"/>
    <w:bookmarkEnd w:id="122"/>
    <w:p>
      <w:pPr>
        <w:spacing w:after="0" w:line="235" w:lineRule="auto"/>
        <w:rPr>
          <w:sz w:val="20"/>
          <w:szCs w:val="20"/>
          <w:color w:val="auto"/>
        </w:rPr>
      </w:pPr>
      <w:r>
        <w:rPr>
          <w:rFonts w:ascii="Arial" w:cs="Arial" w:eastAsia="Arial" w:hAnsi="Arial"/>
          <w:sz w:val="14"/>
          <w:szCs w:val="14"/>
          <w:color w:val="auto"/>
        </w:rPr>
        <w:t>PORTIONS OF THIS EXHIBIT HAVE BEEN REDACTED PURSUANT TO A REQUEST FOR CONFIDENTIAL TREATMENT UNDER RULE 24B-2 OF THE SECURITIES EXCHANGE ACT OF 1934, AS AMENDED. INFORMATION FOR WHICH CONFIDENTIAL TREATMENT HAS BEEN REQUESTED IS OMITTED, MARKED WITH “[*]” or “[REDACTED]” AND FILED SEPARATELY WITH THE SECURITIES AND EXCHANGE COMMISSION.</w:t>
      </w:r>
    </w:p>
    <w:p>
      <w:pPr>
        <w:spacing w:after="0" w:line="390"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PNC BANK, NATIONAL ASSOCIATION,</w:t>
      </w:r>
    </w:p>
    <w:p>
      <w:pPr>
        <w:spacing w:after="0" w:line="17"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As Lender and as Agent</w:t>
      </w:r>
    </w:p>
    <w:p>
      <w:pPr>
        <w:spacing w:after="0" w:line="200" w:lineRule="exact"/>
        <w:rPr>
          <w:sz w:val="20"/>
          <w:szCs w:val="20"/>
          <w:color w:val="auto"/>
        </w:rPr>
      </w:pPr>
    </w:p>
    <w:p>
      <w:pPr>
        <w:spacing w:after="0" w:line="261"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/s/Adam Moss</w:t>
      </w:r>
    </w:p>
    <w:p>
      <w:pPr>
        <w:spacing w:after="0" w:line="15"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 xml:space="preserve">Name: </w:t>
      </w:r>
      <w:r>
        <w:rPr>
          <w:rFonts w:ascii="Arial" w:cs="Arial" w:eastAsia="Arial" w:hAnsi="Arial"/>
          <w:sz w:val="21"/>
          <w:szCs w:val="21"/>
          <w:u w:val="single" w:color="auto"/>
          <w:color w:val="auto"/>
        </w:rPr>
        <w:t>Adam Moss</w:t>
      </w:r>
    </w:p>
    <w:p>
      <w:pPr>
        <w:ind w:left="4860"/>
        <w:spacing w:after="0"/>
        <w:rPr>
          <w:sz w:val="20"/>
          <w:szCs w:val="20"/>
          <w:color w:val="auto"/>
        </w:rPr>
      </w:pPr>
      <w:r>
        <w:rPr>
          <w:rFonts w:ascii="Arial" w:cs="Arial" w:eastAsia="Arial" w:hAnsi="Arial"/>
          <w:sz w:val="21"/>
          <w:szCs w:val="21"/>
          <w:color w:val="auto"/>
        </w:rPr>
        <w:t xml:space="preserve">Title: </w:t>
      </w:r>
      <w:r>
        <w:rPr>
          <w:rFonts w:ascii="Arial" w:cs="Arial" w:eastAsia="Arial" w:hAnsi="Arial"/>
          <w:sz w:val="21"/>
          <w:szCs w:val="21"/>
          <w:u w:val="single" w:color="auto"/>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color w:val="FFFFFF"/>
        </w:rPr>
        <w:t>{N3521279.1}</w:t>
      </w:r>
      <w:r>
        <w:rPr>
          <w:rFonts w:ascii="Arial" w:cs="Arial" w:eastAsia="Arial" w:hAnsi="Arial"/>
          <w:sz w:val="14"/>
          <w:szCs w:val="14"/>
          <w:color w:val="000000"/>
        </w:rPr>
        <w:t>Signature Page to Consent and Amendment No. 3 to Revolving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29043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3" w:name="page124"/>
    <w:bookmarkEnd w:id="123"/>
    <w:p>
      <w:pPr>
        <w:spacing w:after="0" w:line="235" w:lineRule="auto"/>
        <w:rPr>
          <w:sz w:val="20"/>
          <w:szCs w:val="20"/>
          <w:color w:val="auto"/>
        </w:rPr>
      </w:pPr>
      <w:r>
        <w:rPr>
          <w:rFonts w:ascii="Arial" w:cs="Arial" w:eastAsia="Arial" w:hAnsi="Arial"/>
          <w:sz w:val="14"/>
          <w:szCs w:val="14"/>
          <w:color w:val="auto"/>
        </w:rPr>
        <w:t>PORTIONS OF THIS EXHIBIT HAVE BEEN REDACTED PURSUANT TO A REQUEST FOR CONFIDENTIAL TREATMENT UNDER RULE 24B-2 OF THE SECURITIES EXCHANGE ACT OF 1934, AS AMENDED. INFORMATION FOR WHICH CONFIDENTIAL TREATMENT HAS BEEN REQUESTED IS OMITTED, MARKED WITH “[*]” or “[REDACTED]” AND FILED SEPARATELY WITH THE SECURITIES AND EXCHANGE COMMISSION.</w:t>
      </w:r>
    </w:p>
    <w:p>
      <w:pPr>
        <w:spacing w:after="0" w:line="390"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DEUTSCHE BANK AG NEW YORK BRANCH,</w:t>
      </w:r>
    </w:p>
    <w:p>
      <w:pPr>
        <w:spacing w:after="0" w:line="17"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As a Lender</w:t>
      </w:r>
    </w:p>
    <w:p>
      <w:pPr>
        <w:spacing w:after="0" w:line="200" w:lineRule="exact"/>
        <w:rPr>
          <w:sz w:val="20"/>
          <w:szCs w:val="20"/>
          <w:color w:val="auto"/>
        </w:rPr>
      </w:pPr>
    </w:p>
    <w:p>
      <w:pPr>
        <w:spacing w:after="0" w:line="261"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/s/Frank Fazio</w:t>
      </w:r>
    </w:p>
    <w:p>
      <w:pPr>
        <w:spacing w:after="0" w:line="15"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 xml:space="preserve">Name: </w:t>
      </w:r>
      <w:r>
        <w:rPr>
          <w:rFonts w:ascii="Arial" w:cs="Arial" w:eastAsia="Arial" w:hAnsi="Arial"/>
          <w:sz w:val="21"/>
          <w:szCs w:val="21"/>
          <w:u w:val="single" w:color="auto"/>
          <w:color w:val="auto"/>
        </w:rPr>
        <w:t>Frank Fazio</w:t>
      </w:r>
    </w:p>
    <w:p>
      <w:pPr>
        <w:ind w:left="4860"/>
        <w:spacing w:after="0"/>
        <w:rPr>
          <w:sz w:val="20"/>
          <w:szCs w:val="20"/>
          <w:color w:val="auto"/>
        </w:rPr>
      </w:pPr>
      <w:r>
        <w:rPr>
          <w:rFonts w:ascii="Arial" w:cs="Arial" w:eastAsia="Arial" w:hAnsi="Arial"/>
          <w:sz w:val="21"/>
          <w:szCs w:val="21"/>
          <w:color w:val="auto"/>
        </w:rPr>
        <w:t xml:space="preserve">Title: </w:t>
      </w:r>
      <w:r>
        <w:rPr>
          <w:rFonts w:ascii="Arial" w:cs="Arial" w:eastAsia="Arial" w:hAnsi="Arial"/>
          <w:sz w:val="21"/>
          <w:szCs w:val="21"/>
          <w:u w:val="single" w:color="auto"/>
          <w:color w:val="auto"/>
        </w:rPr>
        <w:t>Managing Director</w:t>
      </w:r>
    </w:p>
    <w:p>
      <w:pPr>
        <w:spacing w:after="0" w:line="200" w:lineRule="exact"/>
        <w:rPr>
          <w:sz w:val="20"/>
          <w:szCs w:val="20"/>
          <w:color w:val="auto"/>
        </w:rPr>
      </w:pPr>
    </w:p>
    <w:p>
      <w:pPr>
        <w:spacing w:after="0" w:line="207"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/s/Stephen R. Lapidus</w:t>
      </w:r>
    </w:p>
    <w:p>
      <w:pPr>
        <w:spacing w:after="0" w:line="15"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 xml:space="preserve">Name: </w:t>
      </w:r>
      <w:r>
        <w:rPr>
          <w:rFonts w:ascii="Arial" w:cs="Arial" w:eastAsia="Arial" w:hAnsi="Arial"/>
          <w:sz w:val="21"/>
          <w:szCs w:val="21"/>
          <w:u w:val="single" w:color="auto"/>
          <w:color w:val="auto"/>
        </w:rPr>
        <w:t>Stephen R. Lapidus</w:t>
      </w:r>
    </w:p>
    <w:p>
      <w:pPr>
        <w:ind w:left="4860"/>
        <w:spacing w:after="0"/>
        <w:rPr>
          <w:sz w:val="20"/>
          <w:szCs w:val="20"/>
          <w:color w:val="auto"/>
        </w:rPr>
      </w:pPr>
      <w:r>
        <w:rPr>
          <w:rFonts w:ascii="Arial" w:cs="Arial" w:eastAsia="Arial" w:hAnsi="Arial"/>
          <w:sz w:val="21"/>
          <w:szCs w:val="21"/>
          <w:color w:val="auto"/>
        </w:rPr>
        <w:t xml:space="preserve">Title: </w:t>
      </w:r>
      <w:r>
        <w:rPr>
          <w:rFonts w:ascii="Arial" w:cs="Arial" w:eastAsia="Arial" w:hAnsi="Arial"/>
          <w:sz w:val="21"/>
          <w:szCs w:val="21"/>
          <w:u w:val="single" w:color="auto"/>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FFFFFF"/>
        </w:rPr>
        <w:t>{N3521279.1}</w:t>
      </w:r>
      <w:r>
        <w:rPr>
          <w:rFonts w:ascii="Arial" w:cs="Arial" w:eastAsia="Arial" w:hAnsi="Arial"/>
          <w:sz w:val="14"/>
          <w:szCs w:val="14"/>
          <w:color w:val="000000"/>
        </w:rPr>
        <w:t>Signature Page to Consent and Amendment No. 3 to Revolving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29043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4" w:name="page125"/>
    <w:bookmarkEnd w:id="124"/>
    <w:p>
      <w:pPr>
        <w:ind w:right="40"/>
        <w:spacing w:after="0" w:line="235" w:lineRule="auto"/>
        <w:rPr>
          <w:sz w:val="20"/>
          <w:szCs w:val="20"/>
          <w:color w:val="auto"/>
        </w:rPr>
      </w:pPr>
      <w:r>
        <w:rPr>
          <w:rFonts w:ascii="Arial" w:cs="Arial" w:eastAsia="Arial" w:hAnsi="Arial"/>
          <w:sz w:val="14"/>
          <w:szCs w:val="14"/>
          <w:color w:val="auto"/>
        </w:rPr>
        <w:t>PORTIONS OF THIS EXHIBIT HAVE BEEN REDACTED PURSUANT TO A REQUEST FOR CONFIDENTIAL TREATMENT UNDER RULE 24B-2 OF THE SECURITIES EXCHANGE ACT OF 1934, AS AMENDED. INFORMATION FOR WHICH CONFIDENTIAL TREATMENT HAS BEEN REQUESTED IS OMITTED, MARKED WITH “[*]” or “[REDACTED]” AND FILED SEPARATELY WITH THE SECURITIES AND EXCHANGE COMMISSION.</w:t>
      </w:r>
    </w:p>
    <w:p>
      <w:pPr>
        <w:spacing w:after="0" w:line="390"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CIBC BANK USA, formerly known as THE PRIVATEBANK AND TRUST</w:t>
      </w:r>
    </w:p>
    <w:p>
      <w:pPr>
        <w:spacing w:after="0" w:line="27"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COMPANY,</w:t>
      </w:r>
    </w:p>
    <w:p>
      <w:pPr>
        <w:ind w:left="4860"/>
        <w:spacing w:after="0"/>
        <w:rPr>
          <w:sz w:val="20"/>
          <w:szCs w:val="20"/>
          <w:color w:val="auto"/>
        </w:rPr>
      </w:pPr>
      <w:r>
        <w:rPr>
          <w:rFonts w:ascii="Arial" w:cs="Arial" w:eastAsia="Arial" w:hAnsi="Arial"/>
          <w:sz w:val="21"/>
          <w:szCs w:val="21"/>
          <w:color w:val="auto"/>
        </w:rPr>
        <w:t>As a Lender</w:t>
      </w:r>
    </w:p>
    <w:p>
      <w:pPr>
        <w:spacing w:after="0" w:line="200" w:lineRule="exact"/>
        <w:rPr>
          <w:sz w:val="20"/>
          <w:szCs w:val="20"/>
          <w:color w:val="auto"/>
        </w:rPr>
      </w:pPr>
    </w:p>
    <w:p>
      <w:pPr>
        <w:spacing w:after="0" w:line="261"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/s/Brett Hrupek</w:t>
      </w:r>
    </w:p>
    <w:p>
      <w:pPr>
        <w:spacing w:after="0" w:line="15"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 xml:space="preserve">Name: </w:t>
      </w:r>
      <w:r>
        <w:rPr>
          <w:rFonts w:ascii="Arial" w:cs="Arial" w:eastAsia="Arial" w:hAnsi="Arial"/>
          <w:sz w:val="21"/>
          <w:szCs w:val="21"/>
          <w:u w:val="single" w:color="auto"/>
          <w:color w:val="auto"/>
        </w:rPr>
        <w:t>Brett Hrupek</w:t>
      </w:r>
    </w:p>
    <w:p>
      <w:pPr>
        <w:ind w:left="4860"/>
        <w:spacing w:after="0"/>
        <w:rPr>
          <w:sz w:val="20"/>
          <w:szCs w:val="20"/>
          <w:color w:val="auto"/>
        </w:rPr>
      </w:pPr>
      <w:r>
        <w:rPr>
          <w:rFonts w:ascii="Arial" w:cs="Arial" w:eastAsia="Arial" w:hAnsi="Arial"/>
          <w:sz w:val="21"/>
          <w:szCs w:val="21"/>
          <w:color w:val="auto"/>
        </w:rPr>
        <w:t xml:space="preserve">Title: </w:t>
      </w:r>
      <w:r>
        <w:rPr>
          <w:rFonts w:ascii="Arial" w:cs="Arial" w:eastAsia="Arial" w:hAnsi="Arial"/>
          <w:sz w:val="21"/>
          <w:szCs w:val="21"/>
          <w:u w:val="single" w:color="auto"/>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FFFFFF"/>
        </w:rPr>
        <w:t>{N3521279.1}</w:t>
      </w:r>
      <w:r>
        <w:rPr>
          <w:rFonts w:ascii="Arial" w:cs="Arial" w:eastAsia="Arial" w:hAnsi="Arial"/>
          <w:sz w:val="14"/>
          <w:szCs w:val="14"/>
          <w:color w:val="000000"/>
        </w:rPr>
        <w:t>Signature Page to Consent and Amendment No. 3 to Revolving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29043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25" w:name="page126"/>
    <w:bookmarkEnd w:id="125"/>
    <w:p>
      <w:pPr>
        <w:spacing w:after="0" w:line="235" w:lineRule="auto"/>
        <w:rPr>
          <w:sz w:val="20"/>
          <w:szCs w:val="20"/>
          <w:color w:val="auto"/>
        </w:rPr>
      </w:pPr>
      <w:r>
        <w:rPr>
          <w:rFonts w:ascii="Arial" w:cs="Arial" w:eastAsia="Arial" w:hAnsi="Arial"/>
          <w:sz w:val="14"/>
          <w:szCs w:val="14"/>
          <w:color w:val="auto"/>
        </w:rPr>
        <w:t>PORTIONS OF THIS EXHIBIT HAVE BEEN REDACTED PURSUANT TO A REQUEST FOR CONFIDENTIAL TREATMENT UNDER RULE 24B-2 OF THE SECURITIES EXCHANGE ACT OF 1934, AS AMENDED. INFORMATION FOR WHICH CONFIDENTIAL TREATMENT HAS BEEN REQUESTED IS OMITTED, MARKED WITH “[*]” or “[REDACTED]” AND FILED SEPARATELY WITH THE SECURITIES AND EXCHANGE COMMISSION.</w:t>
      </w:r>
    </w:p>
    <w:p>
      <w:pPr>
        <w:spacing w:after="0" w:line="390"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SUNTRUST BANK,</w:t>
      </w:r>
    </w:p>
    <w:p>
      <w:pPr>
        <w:spacing w:after="0" w:line="17"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As a Lender</w:t>
      </w:r>
    </w:p>
    <w:p>
      <w:pPr>
        <w:spacing w:after="0" w:line="200" w:lineRule="exact"/>
        <w:rPr>
          <w:sz w:val="20"/>
          <w:szCs w:val="20"/>
          <w:color w:val="auto"/>
        </w:rPr>
      </w:pPr>
    </w:p>
    <w:p>
      <w:pPr>
        <w:spacing w:after="0" w:line="261"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/s/Douglas M. Sherlag</w:t>
      </w:r>
    </w:p>
    <w:p>
      <w:pPr>
        <w:spacing w:after="0" w:line="15"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 xml:space="preserve">Name: </w:t>
      </w:r>
      <w:r>
        <w:rPr>
          <w:rFonts w:ascii="Arial" w:cs="Arial" w:eastAsia="Arial" w:hAnsi="Arial"/>
          <w:sz w:val="21"/>
          <w:szCs w:val="21"/>
          <w:u w:val="single" w:color="auto"/>
          <w:color w:val="auto"/>
        </w:rPr>
        <w:t>Douglas M. Sherlag</w:t>
      </w:r>
    </w:p>
    <w:p>
      <w:pPr>
        <w:ind w:left="4860"/>
        <w:spacing w:after="0"/>
        <w:rPr>
          <w:sz w:val="20"/>
          <w:szCs w:val="20"/>
          <w:color w:val="auto"/>
        </w:rPr>
      </w:pPr>
      <w:r>
        <w:rPr>
          <w:rFonts w:ascii="Arial" w:cs="Arial" w:eastAsia="Arial" w:hAnsi="Arial"/>
          <w:sz w:val="21"/>
          <w:szCs w:val="21"/>
          <w:color w:val="auto"/>
        </w:rPr>
        <w:t xml:space="preserve">Title: </w:t>
      </w:r>
      <w:r>
        <w:rPr>
          <w:rFonts w:ascii="Arial" w:cs="Arial" w:eastAsia="Arial" w:hAnsi="Arial"/>
          <w:sz w:val="21"/>
          <w:szCs w:val="21"/>
          <w:u w:val="single" w:color="auto"/>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FFFFFF"/>
        </w:rPr>
        <w:t>{N3521279.1}</w:t>
      </w:r>
      <w:r>
        <w:rPr>
          <w:rFonts w:ascii="Arial" w:cs="Arial" w:eastAsia="Arial" w:hAnsi="Arial"/>
          <w:sz w:val="14"/>
          <w:szCs w:val="14"/>
          <w:color w:val="000000"/>
        </w:rPr>
        <w:t>Signature Page to Consent and Amendment No. 3 to Revolving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29043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6" w:name="page127"/>
    <w:bookmarkEnd w:id="126"/>
    <w:p>
      <w:pPr>
        <w:spacing w:after="0" w:line="235" w:lineRule="auto"/>
        <w:rPr>
          <w:sz w:val="20"/>
          <w:szCs w:val="20"/>
          <w:color w:val="auto"/>
        </w:rPr>
      </w:pPr>
      <w:r>
        <w:rPr>
          <w:rFonts w:ascii="Arial" w:cs="Arial" w:eastAsia="Arial" w:hAnsi="Arial"/>
          <w:sz w:val="14"/>
          <w:szCs w:val="14"/>
          <w:color w:val="auto"/>
        </w:rPr>
        <w:t>PORTIONS OF THIS EXHIBIT HAVE BEEN REDACTED PURSUANT TO A REQUEST FOR CONFIDENTIAL TREATMENT UNDER RULE 24B-2 OF THE SECURITIES EXCHANGE ACT OF 1934, AS AMENDED. INFORMATION FOR WHICH CONFIDENTIAL TREATMENT HAS BEEN REQUESTED IS OMITTED, MARKED WITH “[*]” or “[REDACTED]” AND FILED SEPARATELY WITH THE SECURITIES AND EXCHANGE COMMISSION.</w:t>
      </w:r>
    </w:p>
    <w:p>
      <w:pPr>
        <w:spacing w:after="0" w:line="390"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TEXAS CAPITAL BANK, NATIONAL ASSOCIATION,</w:t>
      </w:r>
    </w:p>
    <w:p>
      <w:pPr>
        <w:spacing w:after="0" w:line="17"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As a Lender</w:t>
      </w:r>
    </w:p>
    <w:p>
      <w:pPr>
        <w:spacing w:after="0" w:line="200" w:lineRule="exact"/>
        <w:rPr>
          <w:sz w:val="20"/>
          <w:szCs w:val="20"/>
          <w:color w:val="auto"/>
        </w:rPr>
      </w:pPr>
    </w:p>
    <w:p>
      <w:pPr>
        <w:spacing w:after="0" w:line="261"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/s/Terri Sandridge</w:t>
      </w:r>
    </w:p>
    <w:p>
      <w:pPr>
        <w:spacing w:after="0" w:line="15"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 xml:space="preserve">Name: </w:t>
      </w:r>
      <w:r>
        <w:rPr>
          <w:rFonts w:ascii="Arial" w:cs="Arial" w:eastAsia="Arial" w:hAnsi="Arial"/>
          <w:sz w:val="21"/>
          <w:szCs w:val="21"/>
          <w:u w:val="single" w:color="auto"/>
          <w:color w:val="auto"/>
        </w:rPr>
        <w:t>Terri Sandridge</w:t>
      </w:r>
    </w:p>
    <w:p>
      <w:pPr>
        <w:ind w:left="4860"/>
        <w:spacing w:after="0"/>
        <w:rPr>
          <w:sz w:val="20"/>
          <w:szCs w:val="20"/>
          <w:color w:val="auto"/>
        </w:rPr>
      </w:pPr>
      <w:r>
        <w:rPr>
          <w:rFonts w:ascii="Arial" w:cs="Arial" w:eastAsia="Arial" w:hAnsi="Arial"/>
          <w:sz w:val="21"/>
          <w:szCs w:val="21"/>
          <w:color w:val="auto"/>
        </w:rPr>
        <w:t xml:space="preserve">Title: </w:t>
      </w:r>
      <w:r>
        <w:rPr>
          <w:rFonts w:ascii="Arial" w:cs="Arial" w:eastAsia="Arial" w:hAnsi="Arial"/>
          <w:sz w:val="21"/>
          <w:szCs w:val="21"/>
          <w:u w:val="single" w:color="auto"/>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FFFFFF"/>
        </w:rPr>
        <w:t>{N3521279.1}</w:t>
      </w:r>
      <w:r>
        <w:rPr>
          <w:rFonts w:ascii="Arial" w:cs="Arial" w:eastAsia="Arial" w:hAnsi="Arial"/>
          <w:sz w:val="14"/>
          <w:szCs w:val="14"/>
          <w:color w:val="000000"/>
        </w:rPr>
        <w:t>Signature Page to Consent and Amendment No. 3 to Revolving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29043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7" w:name="page128"/>
    <w:bookmarkEnd w:id="127"/>
    <w:p>
      <w:pPr>
        <w:spacing w:after="0" w:line="235" w:lineRule="auto"/>
        <w:rPr>
          <w:sz w:val="20"/>
          <w:szCs w:val="20"/>
          <w:color w:val="auto"/>
        </w:rPr>
      </w:pPr>
      <w:r>
        <w:rPr>
          <w:rFonts w:ascii="Arial" w:cs="Arial" w:eastAsia="Arial" w:hAnsi="Arial"/>
          <w:sz w:val="14"/>
          <w:szCs w:val="14"/>
          <w:color w:val="auto"/>
        </w:rPr>
        <w:t>PORTIONS OF THIS EXHIBIT HAVE BEEN REDACTED PURSUANT TO A REQUEST FOR CONFIDENTIAL TREATMENT UNDER RULE 24B-2 OF THE SECURITIES EXCHANGE ACT OF 1934, AS AMENDED. INFORMATION FOR WHICH CONFIDENTIAL TREATMENT HAS BEEN REQUESTED IS OMITTED, MARKED WITH “[*]” or “[REDACTED]” AND FILED SEPARATELY WITH THE SECURITIES AND EXCHANGE COMMISSION.</w:t>
      </w:r>
    </w:p>
    <w:p>
      <w:pPr>
        <w:spacing w:after="0" w:line="177"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WOODFOREST NATIONAL BANK,</w:t>
      </w:r>
    </w:p>
    <w:p>
      <w:pPr>
        <w:spacing w:after="0" w:line="17"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As a Lender</w:t>
      </w:r>
    </w:p>
    <w:p>
      <w:pPr>
        <w:spacing w:after="0" w:line="200" w:lineRule="exact"/>
        <w:rPr>
          <w:sz w:val="20"/>
          <w:szCs w:val="20"/>
          <w:color w:val="auto"/>
        </w:rPr>
      </w:pPr>
    </w:p>
    <w:p>
      <w:pPr>
        <w:spacing w:after="0" w:line="261"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/s/John Zimbo</w:t>
      </w:r>
    </w:p>
    <w:p>
      <w:pPr>
        <w:spacing w:after="0" w:line="15"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 xml:space="preserve">Name: </w:t>
      </w:r>
      <w:r>
        <w:rPr>
          <w:rFonts w:ascii="Arial" w:cs="Arial" w:eastAsia="Arial" w:hAnsi="Arial"/>
          <w:sz w:val="21"/>
          <w:szCs w:val="21"/>
          <w:u w:val="single" w:color="auto"/>
          <w:color w:val="auto"/>
        </w:rPr>
        <w:t>John Zimbo</w:t>
      </w:r>
    </w:p>
    <w:p>
      <w:pPr>
        <w:ind w:left="4860"/>
        <w:spacing w:after="0"/>
        <w:rPr>
          <w:sz w:val="20"/>
          <w:szCs w:val="20"/>
          <w:color w:val="auto"/>
        </w:rPr>
      </w:pPr>
      <w:r>
        <w:rPr>
          <w:rFonts w:ascii="Arial" w:cs="Arial" w:eastAsia="Arial" w:hAnsi="Arial"/>
          <w:sz w:val="21"/>
          <w:szCs w:val="21"/>
          <w:color w:val="auto"/>
        </w:rPr>
        <w:t xml:space="preserve">Title: </w:t>
      </w:r>
      <w:r>
        <w:rPr>
          <w:rFonts w:ascii="Arial" w:cs="Arial" w:eastAsia="Arial" w:hAnsi="Arial"/>
          <w:sz w:val="21"/>
          <w:szCs w:val="21"/>
          <w:u w:val="single" w:color="auto"/>
          <w:color w:val="auto"/>
        </w:rPr>
        <w:t>First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FFFFFF"/>
        </w:rPr>
        <w:t>{N3521279.1}</w:t>
      </w:r>
      <w:r>
        <w:rPr>
          <w:rFonts w:ascii="Arial" w:cs="Arial" w:eastAsia="Arial" w:hAnsi="Arial"/>
          <w:sz w:val="14"/>
          <w:szCs w:val="14"/>
          <w:color w:val="000000"/>
        </w:rPr>
        <w:t>Signature Page to Consent and Amendment No. 3 to Revolving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29043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8" w:name="page129"/>
    <w:bookmarkEnd w:id="128"/>
    <w:p>
      <w:pPr>
        <w:spacing w:after="0" w:line="235" w:lineRule="auto"/>
        <w:rPr>
          <w:sz w:val="20"/>
          <w:szCs w:val="20"/>
          <w:color w:val="auto"/>
        </w:rPr>
      </w:pPr>
      <w:r>
        <w:rPr>
          <w:rFonts w:ascii="Arial" w:cs="Arial" w:eastAsia="Arial" w:hAnsi="Arial"/>
          <w:sz w:val="14"/>
          <w:szCs w:val="14"/>
          <w:color w:val="auto"/>
        </w:rPr>
        <w:t>PORTIONS OF THIS EXHIBIT HAVE BEEN REDACTED PURSUANT TO A REQUEST FOR CONFIDENTIAL TREATMENT UNDER RULE 24B-2 OF THE SECURITIES EXCHANGE ACT OF 1934, AS AMENDED. INFORMATION FOR WHICH CONFIDENTIAL TREATMENT HAS BEEN REQUESTED IS OMITTED, MARKED WITH “[*]” or “[REDACTED]” AND FILED SEPARATELY WITH THE SECURITIES AND EXCHANGE COMMISSION.</w:t>
      </w:r>
    </w:p>
    <w:p>
      <w:pPr>
        <w:spacing w:after="0" w:line="390"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BANK OF AMERICA, N.A.,</w:t>
      </w:r>
    </w:p>
    <w:p>
      <w:pPr>
        <w:spacing w:after="0" w:line="17"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As a Lender</w:t>
      </w:r>
    </w:p>
    <w:p>
      <w:pPr>
        <w:spacing w:after="0" w:line="200" w:lineRule="exact"/>
        <w:rPr>
          <w:sz w:val="20"/>
          <w:szCs w:val="20"/>
          <w:color w:val="auto"/>
        </w:rPr>
      </w:pPr>
    </w:p>
    <w:p>
      <w:pPr>
        <w:spacing w:after="0" w:line="261"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/s/Ciara Forrest Bochenek</w:t>
      </w:r>
    </w:p>
    <w:p>
      <w:pPr>
        <w:spacing w:after="0" w:line="15"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 xml:space="preserve">Name: </w:t>
      </w:r>
      <w:r>
        <w:rPr>
          <w:rFonts w:ascii="Arial" w:cs="Arial" w:eastAsia="Arial" w:hAnsi="Arial"/>
          <w:sz w:val="21"/>
          <w:szCs w:val="21"/>
          <w:u w:val="single" w:color="auto"/>
          <w:color w:val="auto"/>
        </w:rPr>
        <w:t>Ciara Forrest Bochenek</w:t>
      </w:r>
    </w:p>
    <w:p>
      <w:pPr>
        <w:ind w:left="4860"/>
        <w:spacing w:after="0"/>
        <w:rPr>
          <w:sz w:val="20"/>
          <w:szCs w:val="20"/>
          <w:color w:val="auto"/>
        </w:rPr>
      </w:pPr>
      <w:r>
        <w:rPr>
          <w:rFonts w:ascii="Arial" w:cs="Arial" w:eastAsia="Arial" w:hAnsi="Arial"/>
          <w:sz w:val="21"/>
          <w:szCs w:val="21"/>
          <w:color w:val="auto"/>
        </w:rPr>
        <w:t xml:space="preserve">Title: </w:t>
      </w:r>
      <w:r>
        <w:rPr>
          <w:rFonts w:ascii="Arial" w:cs="Arial" w:eastAsia="Arial" w:hAnsi="Arial"/>
          <w:sz w:val="21"/>
          <w:szCs w:val="21"/>
          <w:u w:val="single" w:color="auto"/>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FFFFFF"/>
        </w:rPr>
        <w:t>{N3521279.1}</w:t>
      </w:r>
      <w:r>
        <w:rPr>
          <w:rFonts w:ascii="Arial" w:cs="Arial" w:eastAsia="Arial" w:hAnsi="Arial"/>
          <w:sz w:val="14"/>
          <w:szCs w:val="14"/>
          <w:color w:val="000000"/>
        </w:rPr>
        <w:t>Signature Page to Consent and Amendment No. 3 to Revolving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29043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9" w:name="page130"/>
    <w:bookmarkEnd w:id="129"/>
    <w:p>
      <w:pPr>
        <w:spacing w:after="0" w:line="235" w:lineRule="auto"/>
        <w:rPr>
          <w:sz w:val="20"/>
          <w:szCs w:val="20"/>
          <w:color w:val="auto"/>
        </w:rPr>
      </w:pPr>
      <w:r>
        <w:rPr>
          <w:rFonts w:ascii="Arial" w:cs="Arial" w:eastAsia="Arial" w:hAnsi="Arial"/>
          <w:sz w:val="14"/>
          <w:szCs w:val="14"/>
          <w:color w:val="auto"/>
        </w:rPr>
        <w:t>PORTIONS OF THIS EXHIBIT HAVE BEEN REDACTED PURSUANT TO A REQUEST FOR CONFIDENTIAL TREATMENT UNDER RULE 24B-2 OF THE SECURITIES EXCHANGE ACT OF 1934, AS AMENDED. INFORMATION FOR WHICH CONFIDENTIAL TREATMENT HAS BEEN REQUESTED IS OMITTED, MARKED WITH “[*]” or “[REDACTED]” AND FILED SEPARATELY WITH THE SECURITIES AND EXCHANGE COMMISSION.</w:t>
      </w:r>
    </w:p>
    <w:p>
      <w:pPr>
        <w:spacing w:after="0" w:line="390"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CAPITAL ONE, NATIONAL ASSOCIATION,</w:t>
      </w:r>
    </w:p>
    <w:p>
      <w:pPr>
        <w:spacing w:after="0" w:line="17"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As a Lender</w:t>
      </w:r>
    </w:p>
    <w:p>
      <w:pPr>
        <w:spacing w:after="0" w:line="200" w:lineRule="exact"/>
        <w:rPr>
          <w:sz w:val="20"/>
          <w:szCs w:val="20"/>
          <w:color w:val="auto"/>
        </w:rPr>
      </w:pPr>
    </w:p>
    <w:p>
      <w:pPr>
        <w:spacing w:after="0" w:line="261"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/s/Micah Spellman</w:t>
      </w:r>
    </w:p>
    <w:p>
      <w:pPr>
        <w:spacing w:after="0" w:line="15"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 xml:space="preserve">Name: </w:t>
      </w:r>
      <w:r>
        <w:rPr>
          <w:rFonts w:ascii="Arial" w:cs="Arial" w:eastAsia="Arial" w:hAnsi="Arial"/>
          <w:sz w:val="21"/>
          <w:szCs w:val="21"/>
          <w:u w:val="single" w:color="auto"/>
          <w:color w:val="auto"/>
        </w:rPr>
        <w:t>Micah Spellman</w:t>
      </w:r>
    </w:p>
    <w:p>
      <w:pPr>
        <w:ind w:left="4860"/>
        <w:spacing w:after="0"/>
        <w:rPr>
          <w:sz w:val="20"/>
          <w:szCs w:val="20"/>
          <w:color w:val="auto"/>
        </w:rPr>
      </w:pPr>
      <w:r>
        <w:rPr>
          <w:rFonts w:ascii="Arial" w:cs="Arial" w:eastAsia="Arial" w:hAnsi="Arial"/>
          <w:sz w:val="21"/>
          <w:szCs w:val="21"/>
          <w:color w:val="auto"/>
        </w:rPr>
        <w:t xml:space="preserve">Title: </w:t>
      </w:r>
      <w:r>
        <w:rPr>
          <w:rFonts w:ascii="Arial" w:cs="Arial" w:eastAsia="Arial" w:hAnsi="Arial"/>
          <w:sz w:val="21"/>
          <w:szCs w:val="21"/>
          <w:u w:val="single" w:color="auto"/>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FFFFFF"/>
        </w:rPr>
        <w:t>{N3521279.1}</w:t>
      </w:r>
      <w:r>
        <w:rPr>
          <w:rFonts w:ascii="Arial" w:cs="Arial" w:eastAsia="Arial" w:hAnsi="Arial"/>
          <w:sz w:val="14"/>
          <w:szCs w:val="14"/>
          <w:color w:val="000000"/>
        </w:rPr>
        <w:t>Signature Page to Consent and Amendment No. 3 to Revolving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29043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30" w:name="page131"/>
    <w:bookmarkEnd w:id="130"/>
    <w:p>
      <w:pPr>
        <w:spacing w:after="0" w:line="235" w:lineRule="auto"/>
        <w:rPr>
          <w:sz w:val="20"/>
          <w:szCs w:val="20"/>
          <w:color w:val="auto"/>
        </w:rPr>
      </w:pPr>
      <w:r>
        <w:rPr>
          <w:rFonts w:ascii="Arial" w:cs="Arial" w:eastAsia="Arial" w:hAnsi="Arial"/>
          <w:sz w:val="14"/>
          <w:szCs w:val="14"/>
          <w:color w:val="auto"/>
        </w:rPr>
        <w:t>PORTIONS OF THIS EXHIBIT HAVE BEEN REDACTED PURSUANT TO A REQUEST FOR CONFIDENTIAL TREATMENT UNDER RULE 24B-2 OF THE SECURITIES EXCHANGE ACT OF 1934, AS AMENDED. INFORMATION FOR WHICH CONFIDENTIAL TREATMENT HAS BEEN REQUESTED IS OMITTED, MARKED WITH “[*]” or “[REDACTED]” AND FILED SEPARATELY WITH THE SECURITIES AND EXCHANGE COMMISSION.</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21"/>
          <w:szCs w:val="21"/>
          <w:u w:val="single" w:color="auto"/>
          <w:color w:val="auto"/>
        </w:rPr>
        <w:t>Exhibit A</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Retiring Vessels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See attached</w:t>
      </w:r>
      <w:r>
        <w:rPr>
          <w:rFonts w:ascii="Arial" w:cs="Arial" w:eastAsia="Arial" w:hAnsi="Arial"/>
          <w:sz w:val="21"/>
          <w:szCs w:val="21"/>
          <w:color w:val="auto"/>
        </w:rPr>
        <w:t>)</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[REDACTED]</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FFFFFF"/>
        </w:rPr>
        <w:t>{N3521279.1}</w:t>
      </w:r>
    </w:p>
    <w:p>
      <w:pPr>
        <w:sectPr>
          <w:pgSz w:w="11900" w:h="16838" w:orient="portrait"/>
          <w:cols w:equalWidth="0" w:num="1">
            <w:col w:w="11400"/>
          </w:cols>
          <w:pgMar w:left="240" w:top="121" w:right="25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Exhibit 12.1</w:t>
            </w:r>
          </w:p>
        </w:tc>
      </w:tr>
      <w:tr>
        <w:trPr>
          <w:trHeight w:val="416"/>
        </w:trPr>
        <w:tc>
          <w:tcPr>
            <w:tcW w:w="4100" w:type="dxa"/>
            <w:vAlign w:val="bottom"/>
          </w:tcPr>
          <w:p>
            <w:pPr>
              <w:spacing w:after="0"/>
              <w:rPr>
                <w:sz w:val="24"/>
                <w:szCs w:val="24"/>
                <w:color w:val="auto"/>
              </w:rPr>
            </w:pPr>
          </w:p>
        </w:tc>
        <w:tc>
          <w:tcPr>
            <w:tcW w:w="3520" w:type="dxa"/>
            <w:vAlign w:val="bottom"/>
            <w:gridSpan w:val="8"/>
          </w:tcPr>
          <w:p>
            <w:pPr>
              <w:jc w:val="center"/>
              <w:ind w:right="300"/>
              <w:spacing w:after="0"/>
              <w:rPr>
                <w:sz w:val="20"/>
                <w:szCs w:val="20"/>
                <w:color w:val="auto"/>
              </w:rPr>
            </w:pPr>
            <w:r>
              <w:rPr>
                <w:rFonts w:ascii="Arial" w:cs="Arial" w:eastAsia="Arial" w:hAnsi="Arial"/>
                <w:sz w:val="18"/>
                <w:szCs w:val="18"/>
                <w:color w:val="auto"/>
                <w:w w:val="89"/>
              </w:rPr>
              <w:t>Ratio of Earnings to Fixed Charges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3"/>
        </w:trPr>
        <w:tc>
          <w:tcPr>
            <w:tcW w:w="4100" w:type="dxa"/>
            <w:vAlign w:val="bottom"/>
          </w:tcPr>
          <w:p>
            <w:pPr>
              <w:spacing w:after="0"/>
              <w:rPr>
                <w:sz w:val="18"/>
                <w:szCs w:val="18"/>
                <w:color w:val="auto"/>
              </w:rPr>
            </w:pPr>
          </w:p>
        </w:tc>
        <w:tc>
          <w:tcPr>
            <w:tcW w:w="3520" w:type="dxa"/>
            <w:vAlign w:val="bottom"/>
            <w:gridSpan w:val="8"/>
          </w:tcPr>
          <w:p>
            <w:pPr>
              <w:jc w:val="center"/>
              <w:ind w:right="300"/>
              <w:spacing w:after="0"/>
              <w:rPr>
                <w:sz w:val="20"/>
                <w:szCs w:val="20"/>
                <w:color w:val="auto"/>
              </w:rPr>
            </w:pPr>
            <w:r>
              <w:rPr>
                <w:rFonts w:ascii="Arial" w:cs="Arial" w:eastAsia="Arial" w:hAnsi="Arial"/>
                <w:sz w:val="18"/>
                <w:szCs w:val="18"/>
                <w:color w:val="auto"/>
                <w:w w:val="90"/>
              </w:rPr>
              <w:t>Great Lakes Dredge &amp; Dock Corporation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4"/>
        </w:trPr>
        <w:tc>
          <w:tcPr>
            <w:tcW w:w="4100" w:type="dxa"/>
            <w:vAlign w:val="bottom"/>
          </w:tcPr>
          <w:p>
            <w:pPr>
              <w:spacing w:after="0"/>
              <w:rPr>
                <w:sz w:val="19"/>
                <w:szCs w:val="19"/>
                <w:color w:val="auto"/>
              </w:rPr>
            </w:pPr>
          </w:p>
        </w:tc>
        <w:tc>
          <w:tcPr>
            <w:tcW w:w="2380" w:type="dxa"/>
            <w:vAlign w:val="bottom"/>
            <w:gridSpan w:val="5"/>
          </w:tcPr>
          <w:p>
            <w:pPr>
              <w:jc w:val="center"/>
              <w:ind w:left="751"/>
              <w:spacing w:after="0"/>
              <w:rPr>
                <w:sz w:val="20"/>
                <w:szCs w:val="20"/>
                <w:color w:val="auto"/>
              </w:rPr>
            </w:pPr>
            <w:r>
              <w:rPr>
                <w:rFonts w:ascii="Arial" w:cs="Arial" w:eastAsia="Arial" w:hAnsi="Arial"/>
                <w:sz w:val="18"/>
                <w:szCs w:val="18"/>
                <w:color w:val="auto"/>
                <w:w w:val="89"/>
              </w:rPr>
              <w:t>(dollars in thousands)</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75"/>
        </w:trPr>
        <w:tc>
          <w:tcPr>
            <w:tcW w:w="4100" w:type="dxa"/>
            <w:vAlign w:val="bottom"/>
            <w:tcBorders>
              <w:bottom w:val="single" w:sz="8" w:color="CFF0FC"/>
            </w:tcBorders>
          </w:tcPr>
          <w:p>
            <w:pPr>
              <w:spacing w:after="0"/>
              <w:rPr>
                <w:sz w:val="24"/>
                <w:szCs w:val="24"/>
                <w:color w:val="auto"/>
              </w:rPr>
            </w:pPr>
          </w:p>
        </w:tc>
        <w:tc>
          <w:tcPr>
            <w:tcW w:w="114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24"/>
                <w:szCs w:val="24"/>
                <w:color w:val="auto"/>
              </w:rPr>
            </w:pPr>
          </w:p>
        </w:tc>
      </w:tr>
      <w:tr>
        <w:trPr>
          <w:trHeight w:val="22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w w:val="99"/>
              </w:rPr>
              <w:t>Pretax income (loss) from continuing operations (1)</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29,109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6,293</w:t>
            </w: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(2,635)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(11,604)</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(52,689)</w:t>
            </w:r>
          </w:p>
        </w:tc>
      </w:tr>
      <w:tr>
        <w:trPr>
          <w:trHeight w:val="226"/>
        </w:trPr>
        <w:tc>
          <w:tcPr>
            <w:tcW w:w="4100" w:type="dxa"/>
            <w:vAlign w:val="bottom"/>
          </w:tcPr>
          <w:p>
            <w:pPr>
              <w:spacing w:after="0"/>
              <w:rPr>
                <w:sz w:val="20"/>
                <w:szCs w:val="20"/>
                <w:color w:val="auto"/>
              </w:rPr>
            </w:pPr>
            <w:r>
              <w:rPr>
                <w:rFonts w:ascii="Arial" w:cs="Arial" w:eastAsia="Arial" w:hAnsi="Arial"/>
                <w:sz w:val="18"/>
                <w:szCs w:val="18"/>
                <w:color w:val="auto"/>
              </w:rPr>
              <w:t>Fixed charges</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28,556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27,766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31,007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29,549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31,759</w:t>
            </w:r>
          </w:p>
        </w:tc>
        <w:tc>
          <w:tcPr>
            <w:tcW w:w="120" w:type="dxa"/>
            <w:vAlign w:val="bottom"/>
          </w:tcPr>
          <w:p>
            <w:pPr>
              <w:spacing w:after="0"/>
              <w:rPr>
                <w:sz w:val="19"/>
                <w:szCs w:val="19"/>
                <w:color w:val="auto"/>
              </w:rPr>
            </w:pPr>
          </w:p>
        </w:tc>
      </w:tr>
      <w:tr>
        <w:trPr>
          <w:trHeight w:val="227"/>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Capitalized Interest</w:t>
            </w: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(522)</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(1,401)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(3,227)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(5,628)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(7,572)</w:t>
            </w:r>
          </w:p>
        </w:tc>
      </w:tr>
      <w:tr>
        <w:trPr>
          <w:trHeight w:val="226"/>
        </w:trPr>
        <w:tc>
          <w:tcPr>
            <w:tcW w:w="4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Distributed income of equity investees</w:t>
            </w:r>
          </w:p>
        </w:tc>
        <w:tc>
          <w:tcPr>
            <w:tcW w:w="1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gridSpan w:val="2"/>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gridSpan w:val="2"/>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0"/>
        </w:trPr>
        <w:tc>
          <w:tcPr>
            <w:tcW w:w="4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57,143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32,658</w:t>
            </w: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25,145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12,317</w:t>
            </w:r>
          </w:p>
        </w:tc>
        <w:tc>
          <w:tcPr>
            <w:tcW w:w="1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(28,502)</w:t>
            </w:r>
          </w:p>
        </w:tc>
      </w:tr>
      <w:tr>
        <w:trPr>
          <w:trHeight w:val="20"/>
        </w:trPr>
        <w:tc>
          <w:tcPr>
            <w:tcW w:w="41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207"/>
        </w:trPr>
        <w:tc>
          <w:tcPr>
            <w:tcW w:w="4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7"/>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Fixed charges:</w:t>
            </w: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6"/>
        </w:trPr>
        <w:tc>
          <w:tcPr>
            <w:tcW w:w="4100" w:type="dxa"/>
            <w:vAlign w:val="bottom"/>
          </w:tcPr>
          <w:p>
            <w:pPr>
              <w:spacing w:after="0"/>
              <w:rPr>
                <w:sz w:val="20"/>
                <w:szCs w:val="20"/>
                <w:color w:val="auto"/>
              </w:rPr>
            </w:pPr>
            <w:r>
              <w:rPr>
                <w:rFonts w:ascii="Arial" w:cs="Arial" w:eastAsia="Arial" w:hAnsi="Arial"/>
                <w:sz w:val="18"/>
                <w:szCs w:val="18"/>
                <w:color w:val="auto"/>
                <w:w w:val="91"/>
              </w:rPr>
              <w:t>Interest expense and amortized deferred financing costs</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21,941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19,967</w:t>
            </w:r>
          </w:p>
        </w:tc>
        <w:tc>
          <w:tcPr>
            <w:tcW w:w="100" w:type="dxa"/>
            <w:vAlign w:val="bottom"/>
          </w:tcPr>
          <w:p>
            <w:pPr>
              <w:spacing w:after="0"/>
              <w:rPr>
                <w:sz w:val="19"/>
                <w:szCs w:val="19"/>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24,365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22,907</w:t>
            </w:r>
          </w:p>
        </w:tc>
        <w:tc>
          <w:tcPr>
            <w:tcW w:w="100" w:type="dxa"/>
            <w:vAlign w:val="bottom"/>
          </w:tcPr>
          <w:p>
            <w:pPr>
              <w:spacing w:after="0"/>
              <w:rPr>
                <w:sz w:val="19"/>
                <w:szCs w:val="19"/>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26,046</w:t>
            </w:r>
          </w:p>
        </w:tc>
        <w:tc>
          <w:tcPr>
            <w:tcW w:w="120" w:type="dxa"/>
            <w:vAlign w:val="bottom"/>
          </w:tcPr>
          <w:p>
            <w:pPr>
              <w:spacing w:after="0"/>
              <w:rPr>
                <w:sz w:val="19"/>
                <w:szCs w:val="19"/>
                <w:color w:val="auto"/>
              </w:rPr>
            </w:pPr>
          </w:p>
        </w:tc>
      </w:tr>
      <w:tr>
        <w:trPr>
          <w:trHeight w:val="227"/>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Estimated interest expense in operating leases</w:t>
            </w: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5,713</w:t>
            </w:r>
          </w:p>
        </w:tc>
        <w:tc>
          <w:tcPr>
            <w:tcW w:w="120" w:type="dxa"/>
            <w:vAlign w:val="bottom"/>
            <w:shd w:val="clear" w:color="auto" w:fill="CFF0FC"/>
          </w:tcPr>
          <w:p>
            <w:pPr>
              <w:spacing w:after="0"/>
              <w:rPr>
                <w:sz w:val="19"/>
                <w:szCs w:val="19"/>
                <w:color w:val="auto"/>
              </w:rPr>
            </w:pPr>
          </w:p>
        </w:tc>
      </w:tr>
      <w:tr>
        <w:trPr>
          <w:trHeight w:val="226"/>
        </w:trPr>
        <w:tc>
          <w:tcPr>
            <w:tcW w:w="4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Preference security dividend requirements</w:t>
            </w:r>
          </w:p>
        </w:tc>
        <w:tc>
          <w:tcPr>
            <w:tcW w:w="1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gridSpan w:val="2"/>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gridSpan w:val="2"/>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Total fixed charges</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28,556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27,766</w:t>
            </w: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31,007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29,549</w:t>
            </w:r>
          </w:p>
        </w:tc>
        <w:tc>
          <w:tcPr>
            <w:tcW w:w="1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31,759</w:t>
            </w:r>
          </w:p>
        </w:tc>
        <w:tc>
          <w:tcPr>
            <w:tcW w:w="120" w:type="dxa"/>
            <w:vAlign w:val="bottom"/>
            <w:shd w:val="clear" w:color="auto" w:fill="CFF0FC"/>
          </w:tcPr>
          <w:p>
            <w:pPr>
              <w:spacing w:after="0"/>
              <w:rPr>
                <w:sz w:val="19"/>
                <w:szCs w:val="19"/>
                <w:color w:val="auto"/>
              </w:rPr>
            </w:pPr>
          </w:p>
        </w:tc>
      </w:tr>
      <w:tr>
        <w:trPr>
          <w:trHeight w:val="20"/>
        </w:trPr>
        <w:tc>
          <w:tcPr>
            <w:tcW w:w="41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207"/>
        </w:trPr>
        <w:tc>
          <w:tcPr>
            <w:tcW w:w="4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6"/>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Ratio of earnings to fixed charges (2)</w:t>
            </w: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(0.9)</w:t>
            </w:r>
          </w:p>
        </w:tc>
      </w:tr>
      <w:tr>
        <w:trPr>
          <w:trHeight w:val="20"/>
        </w:trPr>
        <w:tc>
          <w:tcPr>
            <w:tcW w:w="41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14" w:lineRule="exact"/>
        <w:rPr>
          <w:sz w:val="20"/>
          <w:szCs w:val="20"/>
          <w:color w:val="auto"/>
        </w:rPr>
      </w:pPr>
    </w:p>
    <w:p>
      <w:pPr>
        <w:ind w:left="260" w:hanging="253"/>
        <w:spacing w:after="0"/>
        <w:tabs>
          <w:tab w:leader="none" w:pos="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Before adjustment for noncontrolling interests in consolidated subsidiaries and income (loss) from equity investees.</w:t>
      </w:r>
    </w:p>
    <w:p>
      <w:pPr>
        <w:spacing w:after="0" w:line="19" w:lineRule="exact"/>
        <w:rPr>
          <w:rFonts w:ascii="Arial" w:cs="Arial" w:eastAsia="Arial" w:hAnsi="Arial"/>
          <w:sz w:val="18"/>
          <w:szCs w:val="18"/>
          <w:color w:val="auto"/>
        </w:rPr>
      </w:pPr>
    </w:p>
    <w:p>
      <w:pPr>
        <w:ind w:right="600" w:firstLine="7"/>
        <w:spacing w:after="0" w:line="267" w:lineRule="auto"/>
        <w:tabs>
          <w:tab w:leader="none" w:pos="2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had deficiencies of earnings to fixed charges of $60,261, $17,232 and $5,862 for the years ended December 31, 2017, 2016 and 2015, respectively.</w:t>
      </w:r>
    </w:p>
    <w:p>
      <w:pPr>
        <w:sectPr>
          <w:pgSz w:w="11900" w:h="16838" w:orient="portrait"/>
          <w:cols w:equalWidth="0" w:num="1">
            <w:col w:w="11420"/>
          </w:cols>
          <w:pgMar w:left="240" w:top="121"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21.1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THE REGISTRANT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760" w:type="dxa"/>
            <w:vAlign w:val="bottom"/>
          </w:tcPr>
          <w:p>
            <w:pPr>
              <w:spacing w:after="0"/>
              <w:rPr>
                <w:sz w:val="20"/>
                <w:szCs w:val="20"/>
                <w:color w:val="auto"/>
              </w:rPr>
            </w:pPr>
            <w:r>
              <w:rPr>
                <w:rFonts w:ascii="Arial" w:cs="Arial" w:eastAsia="Arial" w:hAnsi="Arial"/>
                <w:sz w:val="14"/>
                <w:szCs w:val="14"/>
                <w:b w:val="1"/>
                <w:bCs w:val="1"/>
                <w:color w:val="auto"/>
                <w:w w:val="91"/>
              </w:rPr>
              <w:t>Jurisdiction of Incorporation</w:t>
            </w:r>
          </w:p>
        </w:tc>
      </w:tr>
      <w:tr>
        <w:trPr>
          <w:trHeight w:val="20"/>
        </w:trPr>
        <w:tc>
          <w:tcPr>
            <w:tcW w:w="360" w:type="dxa"/>
            <w:vAlign w:val="bottom"/>
            <w:shd w:val="clear" w:color="auto" w:fill="000000"/>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r>
      <w:tr>
        <w:trPr>
          <w:trHeight w:val="325"/>
        </w:trPr>
        <w:tc>
          <w:tcPr>
            <w:tcW w:w="7780" w:type="dxa"/>
            <w:vAlign w:val="bottom"/>
            <w:gridSpan w:val="2"/>
          </w:tcPr>
          <w:p>
            <w:pPr>
              <w:spacing w:after="0"/>
              <w:rPr>
                <w:sz w:val="20"/>
                <w:szCs w:val="20"/>
                <w:color w:val="auto"/>
              </w:rPr>
            </w:pPr>
            <w:r>
              <w:rPr>
                <w:rFonts w:ascii="Arial" w:cs="Arial" w:eastAsia="Arial" w:hAnsi="Arial"/>
                <w:sz w:val="18"/>
                <w:szCs w:val="18"/>
                <w:color w:val="auto"/>
              </w:rPr>
              <w:t>Great Lakes Dredge &amp; Dock Company, LLC</w:t>
            </w:r>
          </w:p>
        </w:tc>
        <w:tc>
          <w:tcPr>
            <w:tcW w:w="1760" w:type="dxa"/>
            <w:vAlign w:val="bottom"/>
          </w:tcPr>
          <w:p>
            <w:pPr>
              <w:spacing w:after="0"/>
              <w:rPr>
                <w:sz w:val="20"/>
                <w:szCs w:val="20"/>
                <w:color w:val="auto"/>
              </w:rPr>
            </w:pPr>
            <w:r>
              <w:rPr>
                <w:rFonts w:ascii="Arial" w:cs="Arial" w:eastAsia="Arial" w:hAnsi="Arial"/>
                <w:sz w:val="18"/>
                <w:szCs w:val="18"/>
                <w:color w:val="auto"/>
              </w:rPr>
              <w:t>Delaware</w:t>
            </w:r>
          </w:p>
        </w:tc>
      </w:tr>
      <w:tr>
        <w:trPr>
          <w:trHeight w:val="347"/>
        </w:trPr>
        <w:tc>
          <w:tcPr>
            <w:tcW w:w="7780" w:type="dxa"/>
            <w:vAlign w:val="bottom"/>
            <w:gridSpan w:val="2"/>
          </w:tcPr>
          <w:p>
            <w:pPr>
              <w:spacing w:after="0"/>
              <w:rPr>
                <w:sz w:val="20"/>
                <w:szCs w:val="20"/>
                <w:color w:val="auto"/>
              </w:rPr>
            </w:pPr>
            <w:r>
              <w:rPr>
                <w:rFonts w:ascii="Arial" w:cs="Arial" w:eastAsia="Arial" w:hAnsi="Arial"/>
                <w:sz w:val="18"/>
                <w:szCs w:val="18"/>
                <w:color w:val="auto"/>
              </w:rPr>
              <w:t>Great Lakes U.S. Fleet Management, LLC</w:t>
            </w:r>
          </w:p>
        </w:tc>
        <w:tc>
          <w:tcPr>
            <w:tcW w:w="1760" w:type="dxa"/>
            <w:vAlign w:val="bottom"/>
          </w:tcPr>
          <w:p>
            <w:pPr>
              <w:spacing w:after="0"/>
              <w:rPr>
                <w:sz w:val="20"/>
                <w:szCs w:val="20"/>
                <w:color w:val="auto"/>
              </w:rPr>
            </w:pPr>
            <w:r>
              <w:rPr>
                <w:rFonts w:ascii="Arial" w:cs="Arial" w:eastAsia="Arial" w:hAnsi="Arial"/>
                <w:sz w:val="18"/>
                <w:szCs w:val="18"/>
                <w:color w:val="auto"/>
              </w:rPr>
              <w:t>Delaware</w:t>
            </w:r>
          </w:p>
        </w:tc>
      </w:tr>
      <w:tr>
        <w:trPr>
          <w:trHeight w:val="440"/>
        </w:trPr>
        <w:tc>
          <w:tcPr>
            <w:tcW w:w="7780" w:type="dxa"/>
            <w:vAlign w:val="bottom"/>
            <w:gridSpan w:val="2"/>
          </w:tcPr>
          <w:p>
            <w:pPr>
              <w:spacing w:after="0"/>
              <w:rPr>
                <w:sz w:val="20"/>
                <w:szCs w:val="20"/>
                <w:color w:val="auto"/>
              </w:rPr>
            </w:pPr>
            <w:r>
              <w:rPr>
                <w:rFonts w:ascii="Arial" w:cs="Arial" w:eastAsia="Arial" w:hAnsi="Arial"/>
                <w:sz w:val="18"/>
                <w:szCs w:val="18"/>
                <w:color w:val="auto"/>
              </w:rPr>
              <w:t>Dawson Marine Services Company (dissolved as of December 27, 2017)</w:t>
            </w:r>
          </w:p>
        </w:tc>
        <w:tc>
          <w:tcPr>
            <w:tcW w:w="1760" w:type="dxa"/>
            <w:vAlign w:val="bottom"/>
          </w:tcPr>
          <w:p>
            <w:pPr>
              <w:spacing w:after="0"/>
              <w:rPr>
                <w:sz w:val="20"/>
                <w:szCs w:val="20"/>
                <w:color w:val="auto"/>
              </w:rPr>
            </w:pPr>
            <w:r>
              <w:rPr>
                <w:rFonts w:ascii="Arial" w:cs="Arial" w:eastAsia="Arial" w:hAnsi="Arial"/>
                <w:sz w:val="18"/>
                <w:szCs w:val="18"/>
                <w:color w:val="auto"/>
              </w:rPr>
              <w:t>Delaware</w:t>
            </w:r>
          </w:p>
        </w:tc>
      </w:tr>
      <w:tr>
        <w:trPr>
          <w:trHeight w:val="333"/>
        </w:trPr>
        <w:tc>
          <w:tcPr>
            <w:tcW w:w="7780" w:type="dxa"/>
            <w:vAlign w:val="bottom"/>
            <w:gridSpan w:val="2"/>
          </w:tcPr>
          <w:p>
            <w:pPr>
              <w:spacing w:after="0"/>
              <w:rPr>
                <w:sz w:val="20"/>
                <w:szCs w:val="20"/>
                <w:color w:val="auto"/>
              </w:rPr>
            </w:pPr>
            <w:r>
              <w:rPr>
                <w:rFonts w:ascii="Arial" w:cs="Arial" w:eastAsia="Arial" w:hAnsi="Arial"/>
                <w:sz w:val="18"/>
                <w:szCs w:val="18"/>
                <w:color w:val="auto"/>
              </w:rPr>
              <w:t>Great Lakes Dredge &amp; Dock Environmental, Inc.</w:t>
            </w:r>
          </w:p>
        </w:tc>
        <w:tc>
          <w:tcPr>
            <w:tcW w:w="1760" w:type="dxa"/>
            <w:vAlign w:val="bottom"/>
          </w:tcPr>
          <w:p>
            <w:pPr>
              <w:spacing w:after="0"/>
              <w:rPr>
                <w:sz w:val="20"/>
                <w:szCs w:val="20"/>
                <w:color w:val="auto"/>
              </w:rPr>
            </w:pPr>
            <w:r>
              <w:rPr>
                <w:rFonts w:ascii="Arial" w:cs="Arial" w:eastAsia="Arial" w:hAnsi="Arial"/>
                <w:sz w:val="18"/>
                <w:szCs w:val="18"/>
                <w:color w:val="auto"/>
              </w:rPr>
              <w:t>Delaware</w:t>
            </w:r>
          </w:p>
        </w:tc>
      </w:tr>
      <w:tr>
        <w:trPr>
          <w:trHeight w:val="333"/>
        </w:trPr>
        <w:tc>
          <w:tcPr>
            <w:tcW w:w="7780" w:type="dxa"/>
            <w:vAlign w:val="bottom"/>
            <w:gridSpan w:val="2"/>
          </w:tcPr>
          <w:p>
            <w:pPr>
              <w:spacing w:after="0"/>
              <w:rPr>
                <w:sz w:val="20"/>
                <w:szCs w:val="20"/>
                <w:color w:val="auto"/>
              </w:rPr>
            </w:pPr>
            <w:r>
              <w:rPr>
                <w:rFonts w:ascii="Arial" w:cs="Arial" w:eastAsia="Arial" w:hAnsi="Arial"/>
                <w:sz w:val="18"/>
                <w:szCs w:val="18"/>
                <w:color w:val="auto"/>
              </w:rPr>
              <w:t>Fifty-Three Dredging Corporation (dissolved as of December 27, 2017)</w:t>
            </w:r>
          </w:p>
        </w:tc>
        <w:tc>
          <w:tcPr>
            <w:tcW w:w="1760" w:type="dxa"/>
            <w:vAlign w:val="bottom"/>
          </w:tcPr>
          <w:p>
            <w:pPr>
              <w:spacing w:after="0"/>
              <w:rPr>
                <w:sz w:val="20"/>
                <w:szCs w:val="20"/>
                <w:color w:val="auto"/>
              </w:rPr>
            </w:pPr>
            <w:r>
              <w:rPr>
                <w:rFonts w:ascii="Arial" w:cs="Arial" w:eastAsia="Arial" w:hAnsi="Arial"/>
                <w:sz w:val="18"/>
                <w:szCs w:val="18"/>
                <w:color w:val="auto"/>
              </w:rPr>
              <w:t>New Jersey</w:t>
            </w:r>
          </w:p>
        </w:tc>
      </w:tr>
      <w:tr>
        <w:trPr>
          <w:trHeight w:val="347"/>
        </w:trPr>
        <w:tc>
          <w:tcPr>
            <w:tcW w:w="7780" w:type="dxa"/>
            <w:vAlign w:val="bottom"/>
            <w:gridSpan w:val="2"/>
          </w:tcPr>
          <w:p>
            <w:pPr>
              <w:spacing w:after="0"/>
              <w:rPr>
                <w:sz w:val="20"/>
                <w:szCs w:val="20"/>
                <w:color w:val="auto"/>
              </w:rPr>
            </w:pPr>
            <w:r>
              <w:rPr>
                <w:rFonts w:ascii="Arial" w:cs="Arial" w:eastAsia="Arial" w:hAnsi="Arial"/>
                <w:sz w:val="18"/>
                <w:szCs w:val="18"/>
                <w:color w:val="auto"/>
              </w:rPr>
              <w:t>Great Lakes Dredge &amp; Dock Australia Pty Ltd</w:t>
            </w:r>
          </w:p>
        </w:tc>
        <w:tc>
          <w:tcPr>
            <w:tcW w:w="1760" w:type="dxa"/>
            <w:vAlign w:val="bottom"/>
          </w:tcPr>
          <w:p>
            <w:pPr>
              <w:spacing w:after="0"/>
              <w:rPr>
                <w:sz w:val="20"/>
                <w:szCs w:val="20"/>
                <w:color w:val="auto"/>
              </w:rPr>
            </w:pPr>
            <w:r>
              <w:rPr>
                <w:rFonts w:ascii="Arial" w:cs="Arial" w:eastAsia="Arial" w:hAnsi="Arial"/>
                <w:sz w:val="18"/>
                <w:szCs w:val="18"/>
                <w:color w:val="auto"/>
              </w:rPr>
              <w:t>Australia</w:t>
            </w:r>
          </w:p>
        </w:tc>
      </w:tr>
      <w:tr>
        <w:trPr>
          <w:trHeight w:val="333"/>
        </w:trPr>
        <w:tc>
          <w:tcPr>
            <w:tcW w:w="7780" w:type="dxa"/>
            <w:vAlign w:val="bottom"/>
            <w:gridSpan w:val="2"/>
          </w:tcPr>
          <w:p>
            <w:pPr>
              <w:spacing w:after="0"/>
              <w:rPr>
                <w:sz w:val="20"/>
                <w:szCs w:val="20"/>
                <w:color w:val="auto"/>
              </w:rPr>
            </w:pPr>
            <w:r>
              <w:rPr>
                <w:rFonts w:ascii="Arial" w:cs="Arial" w:eastAsia="Arial" w:hAnsi="Arial"/>
                <w:sz w:val="18"/>
                <w:szCs w:val="18"/>
                <w:color w:val="auto"/>
              </w:rPr>
              <w:t>Great Lakes Dredge &amp; Dock do Brasil Ltda.</w:t>
            </w:r>
          </w:p>
        </w:tc>
        <w:tc>
          <w:tcPr>
            <w:tcW w:w="1760" w:type="dxa"/>
            <w:vAlign w:val="bottom"/>
          </w:tcPr>
          <w:p>
            <w:pPr>
              <w:spacing w:after="0"/>
              <w:rPr>
                <w:sz w:val="20"/>
                <w:szCs w:val="20"/>
                <w:color w:val="auto"/>
              </w:rPr>
            </w:pPr>
            <w:r>
              <w:rPr>
                <w:rFonts w:ascii="Arial" w:cs="Arial" w:eastAsia="Arial" w:hAnsi="Arial"/>
                <w:sz w:val="18"/>
                <w:szCs w:val="18"/>
                <w:color w:val="auto"/>
              </w:rPr>
              <w:t>Brazil</w:t>
            </w:r>
          </w:p>
        </w:tc>
      </w:tr>
      <w:tr>
        <w:trPr>
          <w:trHeight w:val="347"/>
        </w:trPr>
        <w:tc>
          <w:tcPr>
            <w:tcW w:w="7780" w:type="dxa"/>
            <w:vAlign w:val="bottom"/>
            <w:gridSpan w:val="2"/>
          </w:tcPr>
          <w:p>
            <w:pPr>
              <w:spacing w:after="0"/>
              <w:rPr>
                <w:sz w:val="20"/>
                <w:szCs w:val="20"/>
                <w:color w:val="auto"/>
              </w:rPr>
            </w:pPr>
            <w:r>
              <w:rPr>
                <w:rFonts w:ascii="Arial" w:cs="Arial" w:eastAsia="Arial" w:hAnsi="Arial"/>
                <w:sz w:val="18"/>
                <w:szCs w:val="18"/>
                <w:color w:val="auto"/>
              </w:rPr>
              <w:t>Great Lakes Dredge &amp; Dock India Private Limited</w:t>
            </w:r>
          </w:p>
        </w:tc>
        <w:tc>
          <w:tcPr>
            <w:tcW w:w="1760" w:type="dxa"/>
            <w:vAlign w:val="bottom"/>
          </w:tcPr>
          <w:p>
            <w:pPr>
              <w:spacing w:after="0"/>
              <w:rPr>
                <w:sz w:val="20"/>
                <w:szCs w:val="20"/>
                <w:color w:val="auto"/>
              </w:rPr>
            </w:pPr>
            <w:r>
              <w:rPr>
                <w:rFonts w:ascii="Arial" w:cs="Arial" w:eastAsia="Arial" w:hAnsi="Arial"/>
                <w:sz w:val="18"/>
                <w:szCs w:val="18"/>
                <w:color w:val="auto"/>
              </w:rPr>
              <w:t>India</w:t>
            </w:r>
          </w:p>
        </w:tc>
      </w:tr>
      <w:tr>
        <w:trPr>
          <w:trHeight w:val="333"/>
        </w:trPr>
        <w:tc>
          <w:tcPr>
            <w:tcW w:w="7780" w:type="dxa"/>
            <w:vAlign w:val="bottom"/>
            <w:gridSpan w:val="2"/>
          </w:tcPr>
          <w:p>
            <w:pPr>
              <w:spacing w:after="0"/>
              <w:rPr>
                <w:sz w:val="20"/>
                <w:szCs w:val="20"/>
                <w:color w:val="auto"/>
              </w:rPr>
            </w:pPr>
            <w:r>
              <w:rPr>
                <w:rFonts w:ascii="Arial" w:cs="Arial" w:eastAsia="Arial" w:hAnsi="Arial"/>
                <w:sz w:val="18"/>
                <w:szCs w:val="18"/>
                <w:color w:val="auto"/>
              </w:rPr>
              <w:t>Lydon Dredging &amp; Construction Company, Ltd. (dissolved as of August 31, 2017)</w:t>
            </w:r>
          </w:p>
        </w:tc>
        <w:tc>
          <w:tcPr>
            <w:tcW w:w="1760" w:type="dxa"/>
            <w:vAlign w:val="bottom"/>
          </w:tcPr>
          <w:p>
            <w:pPr>
              <w:spacing w:after="0"/>
              <w:rPr>
                <w:sz w:val="20"/>
                <w:szCs w:val="20"/>
                <w:color w:val="auto"/>
              </w:rPr>
            </w:pPr>
            <w:r>
              <w:rPr>
                <w:rFonts w:ascii="Arial" w:cs="Arial" w:eastAsia="Arial" w:hAnsi="Arial"/>
                <w:sz w:val="18"/>
                <w:szCs w:val="18"/>
                <w:color w:val="auto"/>
              </w:rPr>
              <w:t>Canada</w:t>
            </w:r>
          </w:p>
        </w:tc>
      </w:tr>
      <w:tr>
        <w:trPr>
          <w:trHeight w:val="333"/>
        </w:trPr>
        <w:tc>
          <w:tcPr>
            <w:tcW w:w="7780" w:type="dxa"/>
            <w:vAlign w:val="bottom"/>
            <w:gridSpan w:val="2"/>
          </w:tcPr>
          <w:p>
            <w:pPr>
              <w:spacing w:after="0"/>
              <w:rPr>
                <w:sz w:val="20"/>
                <w:szCs w:val="20"/>
                <w:color w:val="auto"/>
              </w:rPr>
            </w:pPr>
            <w:r>
              <w:rPr>
                <w:rFonts w:ascii="Arial" w:cs="Arial" w:eastAsia="Arial" w:hAnsi="Arial"/>
                <w:sz w:val="18"/>
                <w:szCs w:val="18"/>
                <w:color w:val="auto"/>
              </w:rPr>
              <w:t>Great Lakes Dredge &amp; Dock (Bahamas) Ltd.</w:t>
            </w:r>
          </w:p>
        </w:tc>
        <w:tc>
          <w:tcPr>
            <w:tcW w:w="1760" w:type="dxa"/>
            <w:vAlign w:val="bottom"/>
          </w:tcPr>
          <w:p>
            <w:pPr>
              <w:spacing w:after="0"/>
              <w:rPr>
                <w:sz w:val="20"/>
                <w:szCs w:val="20"/>
                <w:color w:val="auto"/>
              </w:rPr>
            </w:pPr>
            <w:r>
              <w:rPr>
                <w:rFonts w:ascii="Arial" w:cs="Arial" w:eastAsia="Arial" w:hAnsi="Arial"/>
                <w:sz w:val="18"/>
                <w:szCs w:val="18"/>
                <w:color w:val="auto"/>
              </w:rPr>
              <w:t>Bahamas</w:t>
            </w:r>
          </w:p>
        </w:tc>
      </w:tr>
      <w:tr>
        <w:trPr>
          <w:trHeight w:val="333"/>
        </w:trPr>
        <w:tc>
          <w:tcPr>
            <w:tcW w:w="7780" w:type="dxa"/>
            <w:vAlign w:val="bottom"/>
            <w:gridSpan w:val="2"/>
          </w:tcPr>
          <w:p>
            <w:pPr>
              <w:spacing w:after="0"/>
              <w:rPr>
                <w:sz w:val="20"/>
                <w:szCs w:val="20"/>
                <w:color w:val="auto"/>
              </w:rPr>
            </w:pPr>
            <w:r>
              <w:rPr>
                <w:rFonts w:ascii="Arial" w:cs="Arial" w:eastAsia="Arial" w:hAnsi="Arial"/>
                <w:sz w:val="18"/>
                <w:szCs w:val="18"/>
                <w:color w:val="auto"/>
              </w:rPr>
              <w:t>GLDD Mexicana, S. de R.L. DE C.V.</w:t>
            </w:r>
          </w:p>
        </w:tc>
        <w:tc>
          <w:tcPr>
            <w:tcW w:w="1760" w:type="dxa"/>
            <w:vAlign w:val="bottom"/>
          </w:tcPr>
          <w:p>
            <w:pPr>
              <w:spacing w:after="0"/>
              <w:rPr>
                <w:sz w:val="20"/>
                <w:szCs w:val="20"/>
                <w:color w:val="auto"/>
              </w:rPr>
            </w:pPr>
            <w:r>
              <w:rPr>
                <w:rFonts w:ascii="Arial" w:cs="Arial" w:eastAsia="Arial" w:hAnsi="Arial"/>
                <w:sz w:val="18"/>
                <w:szCs w:val="18"/>
                <w:color w:val="auto"/>
              </w:rPr>
              <w:t>Mexico</w:t>
            </w:r>
          </w:p>
        </w:tc>
      </w:tr>
      <w:tr>
        <w:trPr>
          <w:trHeight w:val="333"/>
        </w:trPr>
        <w:tc>
          <w:tcPr>
            <w:tcW w:w="7780" w:type="dxa"/>
            <w:vAlign w:val="bottom"/>
            <w:gridSpan w:val="2"/>
          </w:tcPr>
          <w:p>
            <w:pPr>
              <w:spacing w:after="0"/>
              <w:rPr>
                <w:sz w:val="20"/>
                <w:szCs w:val="20"/>
                <w:color w:val="auto"/>
              </w:rPr>
            </w:pPr>
            <w:r>
              <w:rPr>
                <w:rFonts w:ascii="Arial" w:cs="Arial" w:eastAsia="Arial" w:hAnsi="Arial"/>
                <w:sz w:val="18"/>
                <w:szCs w:val="18"/>
                <w:color w:val="auto"/>
              </w:rPr>
              <w:t>NASDI Holdings, LLC</w:t>
            </w:r>
          </w:p>
        </w:tc>
        <w:tc>
          <w:tcPr>
            <w:tcW w:w="1760" w:type="dxa"/>
            <w:vAlign w:val="bottom"/>
          </w:tcPr>
          <w:p>
            <w:pPr>
              <w:spacing w:after="0"/>
              <w:rPr>
                <w:sz w:val="20"/>
                <w:szCs w:val="20"/>
                <w:color w:val="auto"/>
              </w:rPr>
            </w:pPr>
            <w:r>
              <w:rPr>
                <w:rFonts w:ascii="Arial" w:cs="Arial" w:eastAsia="Arial" w:hAnsi="Arial"/>
                <w:sz w:val="18"/>
                <w:szCs w:val="18"/>
                <w:color w:val="auto"/>
              </w:rPr>
              <w:t>Delaware</w:t>
            </w:r>
          </w:p>
        </w:tc>
      </w:tr>
      <w:tr>
        <w:trPr>
          <w:trHeight w:val="347"/>
        </w:trPr>
        <w:tc>
          <w:tcPr>
            <w:tcW w:w="7780" w:type="dxa"/>
            <w:vAlign w:val="bottom"/>
            <w:gridSpan w:val="2"/>
          </w:tcPr>
          <w:p>
            <w:pPr>
              <w:spacing w:after="0"/>
              <w:rPr>
                <w:sz w:val="20"/>
                <w:szCs w:val="20"/>
                <w:color w:val="auto"/>
              </w:rPr>
            </w:pPr>
            <w:r>
              <w:rPr>
                <w:rFonts w:ascii="Arial" w:cs="Arial" w:eastAsia="Arial" w:hAnsi="Arial"/>
                <w:sz w:val="18"/>
                <w:szCs w:val="18"/>
                <w:color w:val="auto"/>
              </w:rPr>
              <w:t>Terra Contracting Services, LLC</w:t>
            </w:r>
          </w:p>
        </w:tc>
        <w:tc>
          <w:tcPr>
            <w:tcW w:w="1760" w:type="dxa"/>
            <w:vAlign w:val="bottom"/>
          </w:tcPr>
          <w:p>
            <w:pPr>
              <w:spacing w:after="0"/>
              <w:rPr>
                <w:sz w:val="20"/>
                <w:szCs w:val="20"/>
                <w:color w:val="auto"/>
              </w:rPr>
            </w:pPr>
            <w:r>
              <w:rPr>
                <w:rFonts w:ascii="Arial" w:cs="Arial" w:eastAsia="Arial" w:hAnsi="Arial"/>
                <w:sz w:val="18"/>
                <w:szCs w:val="18"/>
                <w:color w:val="auto"/>
              </w:rPr>
              <w:t>Delaware</w:t>
            </w:r>
          </w:p>
        </w:tc>
      </w:tr>
      <w:tr>
        <w:trPr>
          <w:trHeight w:val="347"/>
        </w:trPr>
        <w:tc>
          <w:tcPr>
            <w:tcW w:w="7780" w:type="dxa"/>
            <w:vAlign w:val="bottom"/>
            <w:gridSpan w:val="2"/>
          </w:tcPr>
          <w:p>
            <w:pPr>
              <w:spacing w:after="0"/>
              <w:rPr>
                <w:sz w:val="20"/>
                <w:szCs w:val="20"/>
                <w:color w:val="auto"/>
              </w:rPr>
            </w:pPr>
            <w:r>
              <w:rPr>
                <w:rFonts w:ascii="Arial" w:cs="Arial" w:eastAsia="Arial" w:hAnsi="Arial"/>
                <w:sz w:val="18"/>
                <w:szCs w:val="18"/>
                <w:color w:val="auto"/>
              </w:rPr>
              <w:t>Great Lakes Environmental &amp; Infrastructure, LLC</w:t>
            </w:r>
          </w:p>
        </w:tc>
        <w:tc>
          <w:tcPr>
            <w:tcW w:w="1760" w:type="dxa"/>
            <w:vAlign w:val="bottom"/>
          </w:tcPr>
          <w:p>
            <w:pPr>
              <w:spacing w:after="0"/>
              <w:rPr>
                <w:sz w:val="20"/>
                <w:szCs w:val="20"/>
                <w:color w:val="auto"/>
              </w:rPr>
            </w:pPr>
            <w:r>
              <w:rPr>
                <w:rFonts w:ascii="Arial" w:cs="Arial" w:eastAsia="Arial" w:hAnsi="Arial"/>
                <w:sz w:val="18"/>
                <w:szCs w:val="18"/>
                <w:color w:val="auto"/>
              </w:rPr>
              <w:t>Delaware</w:t>
            </w:r>
          </w:p>
        </w:tc>
      </w:tr>
      <w:tr>
        <w:trPr>
          <w:trHeight w:val="333"/>
        </w:trPr>
        <w:tc>
          <w:tcPr>
            <w:tcW w:w="7780" w:type="dxa"/>
            <w:vAlign w:val="bottom"/>
            <w:gridSpan w:val="2"/>
          </w:tcPr>
          <w:p>
            <w:pPr>
              <w:spacing w:after="0"/>
              <w:rPr>
                <w:sz w:val="20"/>
                <w:szCs w:val="20"/>
                <w:color w:val="auto"/>
              </w:rPr>
            </w:pPr>
            <w:r>
              <w:rPr>
                <w:rFonts w:ascii="Arial" w:cs="Arial" w:eastAsia="Arial" w:hAnsi="Arial"/>
                <w:sz w:val="18"/>
                <w:szCs w:val="18"/>
                <w:color w:val="auto"/>
              </w:rPr>
              <w:t>Great Lakes Environmental &amp; Infrastructure Solutions, LLC</w:t>
            </w:r>
          </w:p>
        </w:tc>
        <w:tc>
          <w:tcPr>
            <w:tcW w:w="1760" w:type="dxa"/>
            <w:vAlign w:val="bottom"/>
          </w:tcPr>
          <w:p>
            <w:pPr>
              <w:spacing w:after="0"/>
              <w:rPr>
                <w:sz w:val="20"/>
                <w:szCs w:val="20"/>
                <w:color w:val="auto"/>
              </w:rPr>
            </w:pPr>
            <w:r>
              <w:rPr>
                <w:rFonts w:ascii="Arial" w:cs="Arial" w:eastAsia="Arial" w:hAnsi="Arial"/>
                <w:sz w:val="18"/>
                <w:szCs w:val="18"/>
                <w:color w:val="auto"/>
              </w:rPr>
              <w:t>Delaware</w:t>
            </w:r>
          </w:p>
        </w:tc>
      </w:tr>
      <w:tr>
        <w:trPr>
          <w:trHeight w:val="347"/>
        </w:trPr>
        <w:tc>
          <w:tcPr>
            <w:tcW w:w="7780" w:type="dxa"/>
            <w:vAlign w:val="bottom"/>
            <w:gridSpan w:val="2"/>
          </w:tcPr>
          <w:p>
            <w:pPr>
              <w:spacing w:after="0"/>
              <w:rPr>
                <w:sz w:val="20"/>
                <w:szCs w:val="20"/>
                <w:color w:val="auto"/>
              </w:rPr>
            </w:pPr>
            <w:r>
              <w:rPr>
                <w:rFonts w:ascii="Arial" w:cs="Arial" w:eastAsia="Arial" w:hAnsi="Arial"/>
                <w:sz w:val="18"/>
                <w:szCs w:val="18"/>
                <w:color w:val="auto"/>
              </w:rPr>
              <w:t>Terra Fluid Management, LLC</w:t>
            </w:r>
          </w:p>
        </w:tc>
        <w:tc>
          <w:tcPr>
            <w:tcW w:w="1760" w:type="dxa"/>
            <w:vAlign w:val="bottom"/>
          </w:tcPr>
          <w:p>
            <w:pPr>
              <w:spacing w:after="0"/>
              <w:rPr>
                <w:sz w:val="20"/>
                <w:szCs w:val="20"/>
                <w:color w:val="auto"/>
              </w:rPr>
            </w:pPr>
            <w:r>
              <w:rPr>
                <w:rFonts w:ascii="Arial" w:cs="Arial" w:eastAsia="Arial" w:hAnsi="Arial"/>
                <w:sz w:val="18"/>
                <w:szCs w:val="18"/>
                <w:color w:val="auto"/>
              </w:rPr>
              <w:t>Delaware</w:t>
            </w:r>
          </w:p>
        </w:tc>
      </w:tr>
      <w:tr>
        <w:trPr>
          <w:trHeight w:val="320"/>
        </w:trPr>
        <w:tc>
          <w:tcPr>
            <w:tcW w:w="7780" w:type="dxa"/>
            <w:vAlign w:val="bottom"/>
            <w:gridSpan w:val="2"/>
          </w:tcPr>
          <w:p>
            <w:pPr>
              <w:spacing w:after="0"/>
              <w:rPr>
                <w:sz w:val="20"/>
                <w:szCs w:val="20"/>
                <w:color w:val="auto"/>
              </w:rPr>
            </w:pPr>
            <w:r>
              <w:rPr>
                <w:rFonts w:ascii="Arial" w:cs="Arial" w:eastAsia="Arial" w:hAnsi="Arial"/>
                <w:sz w:val="18"/>
                <w:szCs w:val="18"/>
                <w:color w:val="auto"/>
              </w:rPr>
              <w:t>Drews Services LLC</w:t>
            </w:r>
          </w:p>
        </w:tc>
        <w:tc>
          <w:tcPr>
            <w:tcW w:w="1760" w:type="dxa"/>
            <w:vAlign w:val="bottom"/>
          </w:tcPr>
          <w:p>
            <w:pPr>
              <w:spacing w:after="0"/>
              <w:rPr>
                <w:sz w:val="20"/>
                <w:szCs w:val="20"/>
                <w:color w:val="auto"/>
              </w:rPr>
            </w:pPr>
            <w:r>
              <w:rPr>
                <w:rFonts w:ascii="Arial" w:cs="Arial" w:eastAsia="Arial" w:hAnsi="Arial"/>
                <w:sz w:val="18"/>
                <w:szCs w:val="18"/>
                <w:color w:val="auto"/>
              </w:rPr>
              <w:t>South Carolina</w:t>
            </w:r>
          </w:p>
        </w:tc>
      </w:tr>
    </w:tbl>
    <w:p>
      <w:pPr>
        <w:sectPr>
          <w:pgSz w:w="11900" w:h="16838" w:orient="portrait"/>
          <w:cols w:equalWidth="0" w:num="1">
            <w:col w:w="11420"/>
          </w:cols>
          <w:pgMar w:left="240" w:top="121"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23.1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6"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We consent to the incorporation by reference in Registration Statement No. 333-153207 on Form S-3 and Registration Statement Nos. 333-150067, 333-185350 and 333-218242 on Form S-8 of our reports dated February 28, 2018, relating to the consolidated financial statements and financial statement schedule of Great Lakes Dredge &amp; Dock Corporation and subsidiaries (the “Company”), and the effectiveness of the Company’s internal control over financial reporting, appearing in the Annual Report on Form 10-K of Great Lakes Dredge &amp; Dock Corporation for the year ended December 31, 2017.</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ectPr>
          <w:pgSz w:w="11900" w:h="16838" w:orient="portrait"/>
          <w:cols w:equalWidth="0" w:num="1">
            <w:col w:w="11420"/>
          </w:cols>
          <w:pgMar w:left="240" w:top="121"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23.2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w:t>
      </w:r>
    </w:p>
    <w:p>
      <w:pPr>
        <w:spacing w:after="0" w:line="22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consent to the incorporation by reference in the Registration Statement No. 333-153207 on Form S-3 and Registration Statement Nos. 333-150067, 333-185350 and 333-218242 on Form S-8 of Great Lakes Dredge &amp; Dock Corporation of our report, dated February 29, 2016, on our audits of the financial statements of TerraSea Environmental Solutions, LLC as of December 31, 2015 (Liquidation Basis) and for the year then ended, which report is included in the annual report on Form 10-K of Great Lakes Dredge &amp; Dock Corporation for the year ended December 31,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/s/CohnReznick LLP</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ectPr>
          <w:pgSz w:w="11900" w:h="16838" w:orient="portrait"/>
          <w:cols w:equalWidth="0" w:num="1">
            <w:col w:w="11420"/>
          </w:cols>
          <w:pgMar w:left="240" w:top="121"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23.3</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w:t>
      </w:r>
    </w:p>
    <w:p>
      <w:pPr>
        <w:spacing w:after="0" w:line="2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consent to the incorporation by reference in the Registration Statement No. 333-153207 on Form S-3 and Registration Statement Nos. 333-150067, 333-185350 and 333-218242 on Form S-8 of Great Lakes Dredge &amp; Dock Corporation of our report, dated February 29, 2016, on our audit of the consolidated financial statements of Amboy Aggregates Joint Venture and Subsidiaries as of December 31, 2015 and for the period from January 1, 2015 to June 30, 2015 (Going Concern Basis) and July 1, 2015 to December 31, 2015 (Liquidation Basis), which report is included in the Form 10-K of Great Lakes Dredge &amp; Dock Corporation for the year ended December 31,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/s/CohnReznick LLP</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ectPr>
          <w:pgSz w:w="11900" w:h="16838" w:orient="portrait"/>
          <w:cols w:equalWidth="0" w:num="1">
            <w:col w:w="11420"/>
          </w:cols>
          <w:pgMar w:left="240" w:top="121"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PURSUANT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Lasse J. Petterson, certify that:</w:t>
      </w:r>
    </w:p>
    <w:p>
      <w:pPr>
        <w:spacing w:after="0" w:line="113" w:lineRule="exact"/>
        <w:rPr>
          <w:sz w:val="20"/>
          <w:szCs w:val="20"/>
          <w:color w:val="auto"/>
        </w:rPr>
      </w:pPr>
    </w:p>
    <w:p>
      <w:pPr>
        <w:ind w:left="520" w:hanging="513"/>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Great Lakes Dredge &amp; Dock Corporation;</w:t>
      </w:r>
    </w:p>
    <w:p>
      <w:pPr>
        <w:spacing w:after="0" w:line="113" w:lineRule="exact"/>
        <w:rPr>
          <w:rFonts w:ascii="Arial" w:cs="Arial" w:eastAsia="Arial" w:hAnsi="Arial"/>
          <w:sz w:val="18"/>
          <w:szCs w:val="18"/>
          <w:color w:val="auto"/>
        </w:rPr>
      </w:pPr>
    </w:p>
    <w:p>
      <w:pPr>
        <w:ind w:left="520" w:right="80" w:hanging="513"/>
        <w:spacing w:after="0" w:line="397" w:lineRule="auto"/>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520" w:right="540" w:hanging="513"/>
        <w:spacing w:after="0" w:line="297" w:lineRule="auto"/>
        <w:tabs>
          <w:tab w:leader="none" w:pos="5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7"/>
          <w:szCs w:val="17"/>
          <w:color w:val="auto"/>
        </w:rPr>
      </w:pPr>
    </w:p>
    <w:p>
      <w:pPr>
        <w:ind w:left="520" w:right="20" w:hanging="513"/>
        <w:spacing w:after="0" w:line="257"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Arial" w:cs="Arial" w:eastAsia="Arial" w:hAnsi="Arial"/>
          <w:sz w:val="18"/>
          <w:szCs w:val="18"/>
          <w:color w:val="auto"/>
        </w:rPr>
      </w:pPr>
    </w:p>
    <w:p>
      <w:pPr>
        <w:ind w:left="1020" w:right="320" w:hanging="507"/>
        <w:spacing w:after="0" w:line="257" w:lineRule="auto"/>
        <w:tabs>
          <w:tab w:leader="none" w:pos="10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Arial" w:cs="Arial" w:eastAsia="Arial" w:hAnsi="Arial"/>
          <w:sz w:val="18"/>
          <w:szCs w:val="18"/>
          <w:color w:val="auto"/>
        </w:rPr>
      </w:pPr>
    </w:p>
    <w:p>
      <w:pPr>
        <w:ind w:left="1020" w:right="20" w:hanging="507"/>
        <w:spacing w:after="0" w:line="257" w:lineRule="auto"/>
        <w:tabs>
          <w:tab w:leader="none" w:pos="10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Arial" w:cs="Arial" w:eastAsia="Arial" w:hAnsi="Arial"/>
          <w:sz w:val="18"/>
          <w:szCs w:val="18"/>
          <w:color w:val="auto"/>
        </w:rPr>
      </w:pPr>
    </w:p>
    <w:p>
      <w:pPr>
        <w:jc w:val="both"/>
        <w:ind w:left="1020" w:right="800" w:hanging="507"/>
        <w:spacing w:after="0" w:line="397" w:lineRule="auto"/>
        <w:tabs>
          <w:tab w:leader="none" w:pos="1020" w:val="left"/>
        </w:tabs>
        <w:numPr>
          <w:ilvl w:val="1"/>
          <w:numId w:val="4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020" w:right="20" w:hanging="507"/>
        <w:spacing w:after="0" w:line="257" w:lineRule="auto"/>
        <w:tabs>
          <w:tab w:leader="none" w:pos="10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Arial" w:cs="Arial" w:eastAsia="Arial" w:hAnsi="Arial"/>
          <w:sz w:val="18"/>
          <w:szCs w:val="18"/>
          <w:color w:val="auto"/>
        </w:rPr>
      </w:pPr>
    </w:p>
    <w:p>
      <w:pPr>
        <w:ind w:left="520" w:right="460" w:hanging="513"/>
        <w:spacing w:after="0" w:line="331" w:lineRule="auto"/>
        <w:tabs>
          <w:tab w:leader="none" w:pos="5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Arial" w:cs="Arial" w:eastAsia="Arial" w:hAnsi="Arial"/>
          <w:sz w:val="16"/>
          <w:szCs w:val="16"/>
          <w:color w:val="auto"/>
        </w:rPr>
      </w:pPr>
    </w:p>
    <w:p>
      <w:pPr>
        <w:ind w:left="1020" w:right="220" w:hanging="507"/>
        <w:spacing w:after="0" w:line="297" w:lineRule="auto"/>
        <w:tabs>
          <w:tab w:leader="none" w:pos="1020" w:val="left"/>
        </w:tabs>
        <w:numPr>
          <w:ilvl w:val="1"/>
          <w:numId w:val="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7"/>
          <w:szCs w:val="17"/>
          <w:color w:val="auto"/>
        </w:rPr>
      </w:pPr>
    </w:p>
    <w:p>
      <w:pPr>
        <w:ind w:left="1020" w:right="180" w:hanging="507"/>
        <w:spacing w:after="0" w:line="267" w:lineRule="auto"/>
        <w:tabs>
          <w:tab w:leader="none" w:pos="10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2018</w:t>
      </w:r>
    </w:p>
    <w:p>
      <w:pPr>
        <w:spacing w:after="0" w:line="24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L</w:t>
      </w:r>
      <w:r>
        <w:rPr>
          <w:rFonts w:ascii="Arial" w:cs="Arial" w:eastAsia="Arial" w:hAnsi="Arial"/>
          <w:sz w:val="12"/>
          <w:szCs w:val="12"/>
          <w:color w:val="auto"/>
        </w:rPr>
        <w:t>ASSE</w:t>
      </w:r>
      <w:r>
        <w:rPr>
          <w:rFonts w:ascii="Arial" w:cs="Arial" w:eastAsia="Arial" w:hAnsi="Arial"/>
          <w:sz w:val="18"/>
          <w:szCs w:val="18"/>
          <w:color w:val="auto"/>
        </w:rPr>
        <w:t xml:space="preserve"> J. P</w:t>
      </w:r>
      <w:r>
        <w:rPr>
          <w:rFonts w:ascii="Arial" w:cs="Arial" w:eastAsia="Arial" w:hAnsi="Arial"/>
          <w:sz w:val="12"/>
          <w:szCs w:val="12"/>
          <w:color w:val="auto"/>
        </w:rPr>
        <w:t>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12065</wp:posOffset>
            </wp:positionV>
            <wp:extent cx="362394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8">
                      <a:extLst>
                        <a:ext uri="{28A0092B-C50C-407E-A947-70E740481C1C}"/>
                      </a:extLst>
                    </a:blip>
                    <a:srcRect/>
                    <a:stretch>
                      <a:fillRect/>
                    </a:stretch>
                  </pic:blipFill>
                  <pic:spPr bwMode="auto">
                    <a:xfrm>
                      <a:off x="0" y="0"/>
                      <a:ext cx="3623945"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Lasse J. Petterson</w:t>
      </w:r>
    </w:p>
    <w:p>
      <w:pPr>
        <w:spacing w:after="0" w:line="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31.2</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PURSUANT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Mark W. Marinko, certify that:</w:t>
      </w:r>
    </w:p>
    <w:p>
      <w:pPr>
        <w:spacing w:after="0" w:line="113" w:lineRule="exact"/>
        <w:rPr>
          <w:sz w:val="20"/>
          <w:szCs w:val="20"/>
          <w:color w:val="auto"/>
        </w:rPr>
      </w:pPr>
    </w:p>
    <w:p>
      <w:pPr>
        <w:ind w:left="520" w:hanging="513"/>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Great Lakes Dredge &amp; Dock Corporation;</w:t>
      </w:r>
    </w:p>
    <w:p>
      <w:pPr>
        <w:spacing w:after="0" w:line="113" w:lineRule="exact"/>
        <w:rPr>
          <w:rFonts w:ascii="Arial" w:cs="Arial" w:eastAsia="Arial" w:hAnsi="Arial"/>
          <w:sz w:val="18"/>
          <w:szCs w:val="18"/>
          <w:color w:val="auto"/>
        </w:rPr>
      </w:pPr>
    </w:p>
    <w:p>
      <w:pPr>
        <w:ind w:left="520" w:right="80" w:hanging="513"/>
        <w:spacing w:after="0" w:line="397" w:lineRule="auto"/>
        <w:tabs>
          <w:tab w:leader="none" w:pos="5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520" w:right="540" w:hanging="513"/>
        <w:spacing w:after="0" w:line="297" w:lineRule="auto"/>
        <w:tabs>
          <w:tab w:leader="none" w:pos="5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7"/>
          <w:szCs w:val="17"/>
          <w:color w:val="auto"/>
        </w:rPr>
      </w:pPr>
    </w:p>
    <w:p>
      <w:pPr>
        <w:ind w:left="520" w:right="20" w:hanging="513"/>
        <w:spacing w:after="0" w:line="257"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Arial" w:cs="Arial" w:eastAsia="Arial" w:hAnsi="Arial"/>
          <w:sz w:val="18"/>
          <w:szCs w:val="18"/>
          <w:color w:val="auto"/>
        </w:rPr>
      </w:pPr>
    </w:p>
    <w:p>
      <w:pPr>
        <w:ind w:left="1020" w:right="320" w:hanging="507"/>
        <w:spacing w:after="0" w:line="257" w:lineRule="auto"/>
        <w:tabs>
          <w:tab w:leader="none" w:pos="10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Arial" w:cs="Arial" w:eastAsia="Arial" w:hAnsi="Arial"/>
          <w:sz w:val="18"/>
          <w:szCs w:val="18"/>
          <w:color w:val="auto"/>
        </w:rPr>
      </w:pPr>
    </w:p>
    <w:p>
      <w:pPr>
        <w:ind w:left="1020" w:right="20" w:hanging="507"/>
        <w:spacing w:after="0" w:line="257" w:lineRule="auto"/>
        <w:tabs>
          <w:tab w:leader="none" w:pos="10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Arial" w:cs="Arial" w:eastAsia="Arial" w:hAnsi="Arial"/>
          <w:sz w:val="18"/>
          <w:szCs w:val="18"/>
          <w:color w:val="auto"/>
        </w:rPr>
      </w:pPr>
    </w:p>
    <w:p>
      <w:pPr>
        <w:jc w:val="both"/>
        <w:ind w:left="1020" w:right="800" w:hanging="507"/>
        <w:spacing w:after="0" w:line="397" w:lineRule="auto"/>
        <w:tabs>
          <w:tab w:leader="none" w:pos="1020" w:val="left"/>
        </w:tabs>
        <w:numPr>
          <w:ilvl w:val="1"/>
          <w:numId w:val="5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020" w:right="20" w:hanging="507"/>
        <w:spacing w:after="0" w:line="257" w:lineRule="auto"/>
        <w:tabs>
          <w:tab w:leader="none" w:pos="10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Arial" w:cs="Arial" w:eastAsia="Arial" w:hAnsi="Arial"/>
          <w:sz w:val="18"/>
          <w:szCs w:val="18"/>
          <w:color w:val="auto"/>
        </w:rPr>
      </w:pPr>
    </w:p>
    <w:p>
      <w:pPr>
        <w:ind w:left="520" w:right="460" w:hanging="513"/>
        <w:spacing w:after="0" w:line="331" w:lineRule="auto"/>
        <w:tabs>
          <w:tab w:leader="none" w:pos="5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Arial" w:cs="Arial" w:eastAsia="Arial" w:hAnsi="Arial"/>
          <w:sz w:val="16"/>
          <w:szCs w:val="16"/>
          <w:color w:val="auto"/>
        </w:rPr>
      </w:pPr>
    </w:p>
    <w:p>
      <w:pPr>
        <w:ind w:left="1020" w:right="220" w:hanging="507"/>
        <w:spacing w:after="0" w:line="297" w:lineRule="auto"/>
        <w:tabs>
          <w:tab w:leader="none" w:pos="1020" w:val="left"/>
        </w:tabs>
        <w:numPr>
          <w:ilvl w:val="1"/>
          <w:numId w:val="5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7"/>
          <w:szCs w:val="17"/>
          <w:color w:val="auto"/>
        </w:rPr>
      </w:pPr>
    </w:p>
    <w:p>
      <w:pPr>
        <w:ind w:left="1020" w:right="180" w:hanging="507"/>
        <w:spacing w:after="0" w:line="267" w:lineRule="auto"/>
        <w:tabs>
          <w:tab w:leader="none" w:pos="10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2018</w:t>
      </w:r>
    </w:p>
    <w:p>
      <w:pPr>
        <w:spacing w:after="0" w:line="24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W. M</w:t>
      </w:r>
      <w:r>
        <w:rPr>
          <w:rFonts w:ascii="Arial" w:cs="Arial" w:eastAsia="Arial" w:hAnsi="Arial"/>
          <w:sz w:val="12"/>
          <w:szCs w:val="12"/>
          <w:color w:val="auto"/>
        </w:rPr>
        <w:t>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12065</wp:posOffset>
            </wp:positionV>
            <wp:extent cx="362394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9">
                      <a:extLst>
                        <a:ext uri="{28A0092B-C50C-407E-A947-70E740481C1C}"/>
                      </a:extLst>
                    </a:blip>
                    <a:srcRect/>
                    <a:stretch>
                      <a:fillRect/>
                    </a:stretch>
                  </pic:blipFill>
                  <pic:spPr bwMode="auto">
                    <a:xfrm>
                      <a:off x="0" y="0"/>
                      <a:ext cx="3623945"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Mark W. Marinko</w:t>
      </w:r>
    </w:p>
    <w:p>
      <w:pPr>
        <w:spacing w:after="0" w:line="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121"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32.1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connection with the Annual Report of Great Lakes Dredge &amp; Dock Corporation (the “Company”) on Form 10-K for the year ended December 31, 2017, as filed with the Securities and Exchange Commission on the date hereof (the “Report”), I, Lasse J. Petterson, Chief Executive Officer of the Company, certify pursuant to 18 U.S.C. Section 1350, as adopted pursuant to Section 906 of the Sarbanes-Oxley Act of 2002, that:</w:t>
      </w:r>
    </w:p>
    <w:p>
      <w:pPr>
        <w:spacing w:after="0" w:line="65" w:lineRule="exact"/>
        <w:rPr>
          <w:sz w:val="20"/>
          <w:szCs w:val="20"/>
          <w:color w:val="auto"/>
        </w:rPr>
      </w:pPr>
    </w:p>
    <w:p>
      <w:pPr>
        <w:ind w:left="1020" w:hanging="507"/>
        <w:spacing w:after="0"/>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62" w:lineRule="exact"/>
        <w:rPr>
          <w:rFonts w:ascii="Arial" w:cs="Arial" w:eastAsia="Arial" w:hAnsi="Arial"/>
          <w:sz w:val="16"/>
          <w:szCs w:val="16"/>
          <w:color w:val="auto"/>
        </w:rPr>
      </w:pPr>
    </w:p>
    <w:p>
      <w:pPr>
        <w:ind w:left="1020" w:hanging="507"/>
        <w:spacing w:after="0"/>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 L</w:t>
      </w:r>
      <w:r>
        <w:rPr>
          <w:rFonts w:ascii="Arial" w:cs="Arial" w:eastAsia="Arial" w:hAnsi="Arial"/>
          <w:sz w:val="12"/>
          <w:szCs w:val="12"/>
          <w:color w:val="auto"/>
        </w:rPr>
        <w:t>ASSE</w:t>
      </w:r>
      <w:r>
        <w:rPr>
          <w:rFonts w:ascii="Arial" w:cs="Arial" w:eastAsia="Arial" w:hAnsi="Arial"/>
          <w:sz w:val="18"/>
          <w:szCs w:val="18"/>
          <w:color w:val="auto"/>
        </w:rPr>
        <w:t xml:space="preserve"> J. P</w:t>
      </w:r>
      <w:r>
        <w:rPr>
          <w:rFonts w:ascii="Arial" w:cs="Arial" w:eastAsia="Arial" w:hAnsi="Arial"/>
          <w:sz w:val="12"/>
          <w:szCs w:val="12"/>
          <w:color w:val="auto"/>
        </w:rPr>
        <w:t>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8962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0">
                      <a:extLst>
                        <a:ext uri="{28A0092B-C50C-407E-A947-70E740481C1C}"/>
                      </a:extLst>
                    </a:blip>
                    <a:srcRect/>
                    <a:stretch>
                      <a:fillRect/>
                    </a:stretch>
                  </pic:blipFill>
                  <pic:spPr bwMode="auto">
                    <a:xfrm>
                      <a:off x="0" y="0"/>
                      <a:ext cx="289623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Lasse J. Petterson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2018</w:t>
      </w:r>
    </w:p>
    <w:p>
      <w:pPr>
        <w:spacing w:after="0" w:line="23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32.2</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9"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In connection with the Annual Report of Great Lakes Dredge &amp; Dock Corporation (the “Company”) on Form 10-K for the year ended December 31, 2017, as filed with the Securities and Exchange Commission on the date hereof (the “Report”), I, Mark W. Marinko, Senior Vice President and Chief Financial Officer of the Company, certify pursuant to 18 U.S.C. Section 1350, as adopted pursuant to Section 906 of the Sarbanes-Oxley Act of 2002, that:</w:t>
      </w:r>
    </w:p>
    <w:p>
      <w:pPr>
        <w:spacing w:after="0" w:line="48" w:lineRule="exact"/>
        <w:rPr>
          <w:sz w:val="20"/>
          <w:szCs w:val="20"/>
          <w:color w:val="auto"/>
        </w:rPr>
      </w:pPr>
    </w:p>
    <w:p>
      <w:pPr>
        <w:ind w:left="1020" w:hanging="507"/>
        <w:spacing w:after="0"/>
        <w:tabs>
          <w:tab w:leader="none" w:pos="10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62" w:lineRule="exact"/>
        <w:rPr>
          <w:rFonts w:ascii="Arial" w:cs="Arial" w:eastAsia="Arial" w:hAnsi="Arial"/>
          <w:sz w:val="16"/>
          <w:szCs w:val="16"/>
          <w:color w:val="auto"/>
        </w:rPr>
      </w:pPr>
    </w:p>
    <w:p>
      <w:pPr>
        <w:ind w:left="1020" w:hanging="507"/>
        <w:spacing w:after="0"/>
        <w:tabs>
          <w:tab w:leader="none" w:pos="10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W. M</w:t>
      </w:r>
      <w:r>
        <w:rPr>
          <w:rFonts w:ascii="Arial" w:cs="Arial" w:eastAsia="Arial" w:hAnsi="Arial"/>
          <w:sz w:val="12"/>
          <w:szCs w:val="12"/>
          <w:color w:val="auto"/>
        </w:rPr>
        <w:t>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8962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1">
                      <a:extLst>
                        <a:ext uri="{28A0092B-C50C-407E-A947-70E740481C1C}"/>
                      </a:extLst>
                    </a:blip>
                    <a:srcRect/>
                    <a:stretch>
                      <a:fillRect/>
                    </a:stretch>
                  </pic:blipFill>
                  <pic:spPr bwMode="auto">
                    <a:xfrm>
                      <a:off x="0" y="0"/>
                      <a:ext cx="289623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Mark W. Marinko</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2018</w:t>
      </w:r>
    </w:p>
    <w:p>
      <w:pPr>
        <w:spacing w:after="0" w:line="23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20"/>
          <w:szCs w:val="20"/>
          <w:b w:val="1"/>
          <w:bCs w:val="1"/>
          <w:color w:val="auto"/>
        </w:rPr>
        <w:t>Exhibit 99.1</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53"/>
          <w:szCs w:val="53"/>
          <w:color w:val="auto"/>
        </w:rPr>
        <w:t>TerraSea Environmental Solutions,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left="200" w:right="1380"/>
        <w:spacing w:after="0" w:line="246" w:lineRule="auto"/>
        <w:rPr>
          <w:sz w:val="20"/>
          <w:szCs w:val="20"/>
          <w:color w:val="auto"/>
        </w:rPr>
      </w:pPr>
      <w:r>
        <w:rPr>
          <w:rFonts w:ascii="Arial" w:cs="Arial" w:eastAsia="Arial" w:hAnsi="Arial"/>
          <w:sz w:val="20"/>
          <w:szCs w:val="20"/>
          <w:color w:val="auto"/>
        </w:rPr>
        <w:t>Financial Statements as of December 31, 2016 (Unaudited) and for the Period from January 1, 2017 to August 28, 2017 (Unaudited) and for the Years Ended December 31, 2016 (Unaudited) and 2015, and Independent Auditor’s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319405</wp:posOffset>
            </wp:positionV>
            <wp:extent cx="729043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220"/>
          </w:cols>
          <w:pgMar w:left="1440" w:top="118" w:right="239" w:bottom="1440" w:gutter="0" w:footer="0" w:header="0"/>
        </w:sectPr>
      </w:pPr>
    </w:p>
    <w:bookmarkStart w:id="141" w:name="page142"/>
    <w:bookmarkEnd w:id="141"/>
    <w:p>
      <w:pPr>
        <w:spacing w:after="0"/>
        <w:rPr>
          <w:sz w:val="20"/>
          <w:szCs w:val="20"/>
          <w:color w:val="auto"/>
        </w:rPr>
      </w:pPr>
      <w:r>
        <w:rPr>
          <w:rFonts w:ascii="Arial" w:cs="Arial" w:eastAsia="Arial" w:hAnsi="Arial"/>
          <w:sz w:val="23"/>
          <w:szCs w:val="23"/>
          <w:b w:val="1"/>
          <w:bCs w:val="1"/>
          <w:color w:val="auto"/>
        </w:rPr>
        <w:t>TERRASEA ENVIRONMENTAL SOLUTIONS, LLC</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2485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3">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Page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INDEPENDENT AUDITOR’S REPORT2-3</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20"/>
          <w:szCs w:val="20"/>
          <w:color w:val="auto"/>
        </w:rPr>
        <w:t>FINANCIAL STATEMENTS AS OF DECEMBER 31, 2016 (UNAUDITED) AND</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THE PERIOD FROM JANUARY 1, 2017 TO AUGUST 28, 2017 (UNAUDITED) AND FOR THE YEARS ENDED DECEMBER 31,</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2016 (UNAUDITED) AND 2015:</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Statement of Net Liabilities in Liquidation (Liquidation Basis)4</w:t>
      </w:r>
    </w:p>
    <w:p>
      <w:pPr>
        <w:spacing w:after="0" w:line="22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Statement of Changes in Net Liabilities in Liquidation (Liquidation Basis)5</w:t>
      </w:r>
    </w:p>
    <w:p>
      <w:pPr>
        <w:spacing w:after="0" w:line="22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Statements of Operations (Going Concern Basis)6</w:t>
      </w:r>
    </w:p>
    <w:p>
      <w:pPr>
        <w:spacing w:after="0" w:line="22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Statements of Members’ Deficit (Going Concern Basis)7</w:t>
      </w:r>
    </w:p>
    <w:p>
      <w:pPr>
        <w:spacing w:after="0" w:line="22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Statements of Cash Flows (Going Concern Basis)8</w:t>
      </w:r>
    </w:p>
    <w:p>
      <w:pPr>
        <w:spacing w:after="0" w:line="22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Notes to Financial Statements9–11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469900</wp:posOffset>
            </wp:positionV>
            <wp:extent cx="729043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21" w:right="2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20"/>
          <w:szCs w:val="20"/>
          <w:u w:val="single" w:color="auto"/>
          <w:color w:val="auto"/>
        </w:rPr>
        <w:t>Independent Auditor's Report</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252525"/>
        </w:rPr>
        <w:t>To the Members of</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252525"/>
        </w:rPr>
        <w:t>TerraSea Environmental Solutions, LLC</w:t>
      </w:r>
    </w:p>
    <w:p>
      <w:pPr>
        <w:spacing w:after="0" w:line="16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have audited the accompanying financial statements of TerraSea Environmental Solutions, LLC, which comprise the statements of operations (going concern basis), members’ deficit (going concern basis), and cash flows (going concern basis) for the year ended December 31, 2015, and the related notes to the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Management's Responsibility for the Financial Statements</w:t>
      </w:r>
    </w:p>
    <w:p>
      <w:pPr>
        <w:spacing w:after="0" w:line="197" w:lineRule="exact"/>
        <w:rPr>
          <w:sz w:val="20"/>
          <w:szCs w:val="20"/>
          <w:color w:val="auto"/>
        </w:rPr>
      </w:pPr>
    </w:p>
    <w:p>
      <w:pPr>
        <w:ind w:right="140"/>
        <w:spacing w:after="0" w:line="286" w:lineRule="auto"/>
        <w:rPr>
          <w:sz w:val="20"/>
          <w:szCs w:val="20"/>
          <w:color w:val="auto"/>
        </w:rPr>
      </w:pPr>
      <w:r>
        <w:rPr>
          <w:rFonts w:ascii="Arial" w:cs="Arial" w:eastAsia="Arial" w:hAnsi="Arial"/>
          <w:sz w:val="18"/>
          <w:szCs w:val="18"/>
          <w:color w:val="auto"/>
        </w:rPr>
        <w:t>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Auditor's Responsibility</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Our responsibility is to express an opinion on these financial statements based on our audit. We conducted our audit in accordance with auditing standards generally accepted in the United States of America. Those standards require that we plan and perform the audit to obtain reasonable assurance about whether the financial statements are free from material misstatement.</w:t>
      </w:r>
    </w:p>
    <w:p>
      <w:pPr>
        <w:spacing w:after="0" w:line="14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TerraSea Environmental Solutions, LLC's preparation and fair presentation of the financial statements in order to design audit procedures that are appropriate in the circumstances, but not for the purpose of expressing an opinion on the effectiveness of the TerraSea Environmental Solutions, LLC's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26" w:lineRule="exact"/>
        <w:rPr>
          <w:sz w:val="20"/>
          <w:szCs w:val="20"/>
          <w:color w:val="auto"/>
        </w:rPr>
      </w:pPr>
    </w:p>
    <w:p>
      <w:pPr>
        <w:ind w:right="1940"/>
        <w:spacing w:after="0" w:line="445" w:lineRule="auto"/>
        <w:rPr>
          <w:sz w:val="20"/>
          <w:szCs w:val="20"/>
          <w:color w:val="auto"/>
        </w:rPr>
      </w:pPr>
      <w:r>
        <w:rPr>
          <w:rFonts w:ascii="Arial" w:cs="Arial" w:eastAsia="Arial" w:hAnsi="Arial"/>
          <w:sz w:val="20"/>
          <w:szCs w:val="20"/>
          <w:color w:val="auto"/>
        </w:rPr>
        <w:t xml:space="preserve">We believe that the audit evidence we have obtained is sufficient and appropriate to provide a basis for our audit opinion. </w:t>
      </w:r>
      <w:r>
        <w:rPr>
          <w:rFonts w:ascii="Arial" w:cs="Arial" w:eastAsia="Arial" w:hAnsi="Arial"/>
          <w:sz w:val="20"/>
          <w:szCs w:val="20"/>
          <w:i w:val="1"/>
          <w:iCs w:val="1"/>
          <w:color w:val="auto"/>
        </w:rPr>
        <w:t>Opinion</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our opinion, the financial statements referred to above present fairly, in all material respects, the results of operations (going concern basis) and cash flows (going concern basis) of TerraSea Environmental Solutions, LLC for the year ended December 31, 2015 in accordance with accounting principles generally accepted in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378460</wp:posOffset>
            </wp:positionV>
            <wp:extent cx="729043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43" w:name="page144"/>
    <w:bookmarkEnd w:id="143"/>
    <w:p>
      <w:pPr>
        <w:spacing w:after="0"/>
        <w:rPr>
          <w:sz w:val="20"/>
          <w:szCs w:val="20"/>
          <w:color w:val="auto"/>
        </w:rPr>
      </w:pPr>
      <w:r>
        <w:rPr>
          <w:rFonts w:ascii="Arial" w:cs="Arial" w:eastAsia="Arial" w:hAnsi="Arial"/>
          <w:sz w:val="20"/>
          <w:szCs w:val="20"/>
          <w:i w:val="1"/>
          <w:iCs w:val="1"/>
          <w:color w:val="auto"/>
        </w:rPr>
        <w:t>Emphasis of a Matter</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 discussed in Note 1 to the financial statements, the partners of TerraSea Environmental Solutions, LLC have determined that liquidation was imminent as of December 31, 2015. As a result, the Company changed its basis of accounting from the going concern basis to the liquidation basis as of that date. Our opinion is not modified with respect to that matter.</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color w:val="auto"/>
        </w:rPr>
        <w:t>/s/ CohnReznick LLP</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Chicago, Illinois</w:t>
      </w:r>
    </w:p>
    <w:p>
      <w:pPr>
        <w:spacing w:after="0"/>
        <w:rPr>
          <w:sz w:val="20"/>
          <w:szCs w:val="20"/>
          <w:color w:val="auto"/>
        </w:rPr>
      </w:pPr>
      <w:r>
        <w:rPr>
          <w:rFonts w:ascii="Arial" w:cs="Arial" w:eastAsia="Arial" w:hAnsi="Arial"/>
          <w:sz w:val="20"/>
          <w:szCs w:val="20"/>
          <w:color w:val="auto"/>
        </w:rPr>
        <w:t>February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688340</wp:posOffset>
            </wp:positionV>
            <wp:extent cx="729043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44" w:name="page145"/>
    <w:bookmarkEnd w:id="144"/>
    <w:p>
      <w:pPr>
        <w:spacing w:after="0"/>
        <w:rPr>
          <w:sz w:val="20"/>
          <w:szCs w:val="20"/>
          <w:color w:val="auto"/>
        </w:rPr>
      </w:pPr>
      <w:r>
        <w:rPr>
          <w:rFonts w:ascii="Arial" w:cs="Arial" w:eastAsia="Arial" w:hAnsi="Arial"/>
          <w:sz w:val="20"/>
          <w:szCs w:val="20"/>
          <w:b w:val="1"/>
          <w:bCs w:val="1"/>
          <w:color w:val="auto"/>
        </w:rPr>
        <w:t>TERRASEA ENVIRONMENTAL SOLUTIONS, LLC</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STATEMENT OF NET LIABILITIES IN LIQUIDATION (LIQUIDATION BASIS)</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2016 (UNAUDITED)</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tcPr>
          <w:p>
            <w:pPr>
              <w:jc w:val="right"/>
              <w:ind w:right="695"/>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460" w:type="dxa"/>
            <w:vAlign w:val="bottom"/>
          </w:tcPr>
          <w:p>
            <w:pPr>
              <w:ind w:left="100"/>
              <w:spacing w:after="0"/>
              <w:rPr>
                <w:sz w:val="20"/>
                <w:szCs w:val="20"/>
                <w:color w:val="auto"/>
              </w:rPr>
            </w:pPr>
            <w:r>
              <w:rPr>
                <w:rFonts w:ascii="Arial" w:cs="Arial" w:eastAsia="Arial" w:hAnsi="Arial"/>
                <w:sz w:val="18"/>
                <w:szCs w:val="18"/>
                <w:color w:val="auto"/>
              </w:rPr>
              <w:t>Cash</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94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46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Claim receivable</w:t>
            </w: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4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9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9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3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460" w:type="dxa"/>
            <w:vAlign w:val="bottom"/>
          </w:tcPr>
          <w:p>
            <w:pPr>
              <w:ind w:left="100"/>
              <w:spacing w:after="0"/>
              <w:rPr>
                <w:sz w:val="20"/>
                <w:szCs w:val="20"/>
                <w:color w:val="auto"/>
              </w:rPr>
            </w:pPr>
            <w:r>
              <w:rPr>
                <w:rFonts w:ascii="Arial" w:cs="Arial" w:eastAsia="Arial" w:hAnsi="Arial"/>
                <w:sz w:val="18"/>
                <w:szCs w:val="18"/>
                <w:color w:val="auto"/>
              </w:rPr>
              <w:t>Advances from members</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26,245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94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Accrued liquidation costs</w:t>
            </w:r>
          </w:p>
        </w:tc>
        <w:tc>
          <w:tcPr>
            <w:tcW w:w="32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460" w:type="dxa"/>
            <w:vAlign w:val="bottom"/>
          </w:tcPr>
          <w:p>
            <w:pPr>
              <w:ind w:left="48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26,529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94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480" w:type="dxa"/>
            <w:vAlign w:val="bottom"/>
            <w:gridSpan w:val="2"/>
          </w:tcPr>
          <w:p>
            <w:pPr>
              <w:spacing w:after="0"/>
              <w:rPr>
                <w:sz w:val="20"/>
                <w:szCs w:val="20"/>
                <w:color w:val="auto"/>
              </w:rPr>
            </w:pPr>
            <w:r>
              <w:rPr>
                <w:rFonts w:ascii="Arial" w:cs="Arial" w:eastAsia="Arial" w:hAnsi="Arial"/>
                <w:sz w:val="18"/>
                <w:szCs w:val="18"/>
                <w:color w:val="auto"/>
              </w:rPr>
              <w:t>NET LIABILITIES IN LIQUIDATION</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(24,152)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405765</wp:posOffset>
            </wp:positionV>
            <wp:extent cx="729043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t>TERRASEA ENVIRONMENTAL SOLUTIONS,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CHANGES IN NET LIABILITIES IN LIQUIDATION (LIQUIDATION BASIS)</w:t>
      </w:r>
    </w:p>
    <w:p>
      <w:pPr>
        <w:spacing w:after="0" w:line="20" w:lineRule="exact"/>
        <w:rPr>
          <w:sz w:val="20"/>
          <w:szCs w:val="20"/>
          <w:color w:val="auto"/>
        </w:rPr>
      </w:pPr>
    </w:p>
    <w:p>
      <w:pPr>
        <w:ind w:right="620"/>
        <w:spacing w:after="0" w:line="255" w:lineRule="auto"/>
        <w:rPr>
          <w:sz w:val="20"/>
          <w:szCs w:val="20"/>
          <w:color w:val="auto"/>
        </w:rPr>
      </w:pPr>
      <w:r>
        <w:rPr>
          <w:rFonts w:ascii="Arial" w:cs="Arial" w:eastAsia="Arial" w:hAnsi="Arial"/>
          <w:sz w:val="18"/>
          <w:szCs w:val="18"/>
          <w:b w:val="1"/>
          <w:bCs w:val="1"/>
          <w:color w:val="auto"/>
        </w:rPr>
        <w:t>FOR THE PERIOD FROM JANUARY 1, 2017 TO AUGUST 28, 2017 (UNAUDITED) AND FOR THE YEAR ENDED DECEMBER 31, 2016 (UNAUDITED)</w:t>
      </w:r>
    </w:p>
    <w:p>
      <w:pPr>
        <w:spacing w:after="0"/>
        <w:rPr>
          <w:sz w:val="20"/>
          <w:szCs w:val="20"/>
          <w:color w:val="auto"/>
        </w:rPr>
      </w:pPr>
      <w:r>
        <w:rPr>
          <w:rFonts w:ascii="Arial" w:cs="Arial" w:eastAsia="Arial" w:hAnsi="Arial"/>
          <w:sz w:val="18"/>
          <w:szCs w:val="18"/>
          <w:b w:val="1"/>
          <w:bCs w:val="1"/>
          <w:color w:val="auto"/>
        </w:rPr>
        <w:t>(In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center"/>
              <w:ind w:right="178"/>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9720" w:type="dxa"/>
            <w:vAlign w:val="bottom"/>
            <w:vMerge w:val="restart"/>
          </w:tcPr>
          <w:p>
            <w:pPr>
              <w:spacing w:after="0"/>
              <w:rPr>
                <w:sz w:val="20"/>
                <w:szCs w:val="20"/>
                <w:color w:val="auto"/>
              </w:rPr>
            </w:pPr>
            <w:r>
              <w:rPr>
                <w:rFonts w:ascii="Arial" w:cs="Arial" w:eastAsia="Arial" w:hAnsi="Arial"/>
                <w:sz w:val="18"/>
                <w:szCs w:val="18"/>
                <w:color w:val="auto"/>
              </w:rPr>
              <w:t>Net liabilities in liquidation as of December 31, 2016</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1"/>
              </w:rPr>
              <w:t>(unaudited)</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720" w:type="dxa"/>
            <w:vAlign w:val="bottom"/>
            <w:vMerge w:val="continue"/>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(24,152)</w:t>
            </w:r>
          </w:p>
        </w:tc>
        <w:tc>
          <w:tcPr>
            <w:tcW w:w="0" w:type="dxa"/>
            <w:vAlign w:val="bottom"/>
          </w:tcPr>
          <w:p>
            <w:pPr>
              <w:spacing w:after="0"/>
              <w:rPr>
                <w:sz w:val="1"/>
                <w:szCs w:val="1"/>
                <w:color w:val="auto"/>
              </w:rPr>
            </w:pPr>
          </w:p>
        </w:tc>
      </w:tr>
      <w:tr>
        <w:trPr>
          <w:trHeight w:val="227"/>
        </w:trPr>
        <w:tc>
          <w:tcPr>
            <w:tcW w:w="9720" w:type="dxa"/>
            <w:vAlign w:val="bottom"/>
            <w:shd w:val="clear" w:color="auto" w:fill="CFF0FC"/>
          </w:tcPr>
          <w:p>
            <w:pPr>
              <w:spacing w:after="0"/>
              <w:rPr>
                <w:sz w:val="20"/>
                <w:szCs w:val="20"/>
                <w:color w:val="auto"/>
              </w:rPr>
            </w:pPr>
            <w:r>
              <w:rPr>
                <w:rFonts w:ascii="Arial" w:cs="Arial" w:eastAsia="Arial" w:hAnsi="Arial"/>
                <w:sz w:val="18"/>
                <w:szCs w:val="18"/>
                <w:color w:val="auto"/>
              </w:rPr>
              <w:t>Changes in net liabilities in liquidation</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972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Liquidating distribution to members</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24,152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720" w:type="dxa"/>
            <w:vAlign w:val="bottom"/>
            <w:shd w:val="clear" w:color="auto" w:fill="CFF0FC"/>
          </w:tcPr>
          <w:p>
            <w:pPr>
              <w:spacing w:after="0"/>
              <w:rPr>
                <w:sz w:val="20"/>
                <w:szCs w:val="20"/>
                <w:color w:val="auto"/>
              </w:rPr>
            </w:pPr>
            <w:r>
              <w:rPr>
                <w:rFonts w:ascii="Arial" w:cs="Arial" w:eastAsia="Arial" w:hAnsi="Arial"/>
                <w:sz w:val="18"/>
                <w:szCs w:val="18"/>
                <w:color w:val="auto"/>
              </w:rPr>
              <w:t>Net liabilities in liquidation as of August 28, 2017</w:t>
            </w: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7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9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center"/>
              <w:ind w:right="178"/>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972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1"/>
              </w:rPr>
              <w:t>(unaudited)</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9720" w:type="dxa"/>
            <w:vAlign w:val="bottom"/>
            <w:shd w:val="clear" w:color="auto" w:fill="CFF0FC"/>
          </w:tcPr>
          <w:p>
            <w:pPr>
              <w:spacing w:after="0"/>
              <w:rPr>
                <w:sz w:val="20"/>
                <w:szCs w:val="20"/>
                <w:color w:val="auto"/>
              </w:rPr>
            </w:pPr>
            <w:r>
              <w:rPr>
                <w:rFonts w:ascii="Arial" w:cs="Arial" w:eastAsia="Arial" w:hAnsi="Arial"/>
                <w:sz w:val="18"/>
                <w:szCs w:val="18"/>
                <w:color w:val="auto"/>
              </w:rPr>
              <w:t>Net liabilities in liquidation as of December 31, 2015</w:t>
            </w: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(24,068)</w:t>
            </w:r>
          </w:p>
        </w:tc>
        <w:tc>
          <w:tcPr>
            <w:tcW w:w="0" w:type="dxa"/>
            <w:vAlign w:val="bottom"/>
          </w:tcPr>
          <w:p>
            <w:pPr>
              <w:spacing w:after="0"/>
              <w:rPr>
                <w:sz w:val="1"/>
                <w:szCs w:val="1"/>
                <w:color w:val="auto"/>
              </w:rPr>
            </w:pPr>
          </w:p>
        </w:tc>
      </w:tr>
      <w:tr>
        <w:trPr>
          <w:trHeight w:val="226"/>
        </w:trPr>
        <w:tc>
          <w:tcPr>
            <w:tcW w:w="9720" w:type="dxa"/>
            <w:vAlign w:val="bottom"/>
          </w:tcPr>
          <w:p>
            <w:pPr>
              <w:spacing w:after="0"/>
              <w:rPr>
                <w:sz w:val="20"/>
                <w:szCs w:val="20"/>
                <w:color w:val="auto"/>
              </w:rPr>
            </w:pPr>
            <w:r>
              <w:rPr>
                <w:rFonts w:ascii="Arial" w:cs="Arial" w:eastAsia="Arial" w:hAnsi="Arial"/>
                <w:sz w:val="18"/>
                <w:szCs w:val="18"/>
                <w:color w:val="auto"/>
              </w:rPr>
              <w:t>Changes in net liabilities in liquidation</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Changes in accrued liquidation costs</w:t>
            </w:r>
          </w:p>
        </w:tc>
        <w:tc>
          <w:tcPr>
            <w:tcW w:w="2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9720" w:type="dxa"/>
            <w:vAlign w:val="bottom"/>
            <w:vMerge w:val="restart"/>
          </w:tcPr>
          <w:p>
            <w:pPr>
              <w:spacing w:after="0"/>
              <w:rPr>
                <w:sz w:val="20"/>
                <w:szCs w:val="20"/>
                <w:color w:val="auto"/>
              </w:rPr>
            </w:pPr>
            <w:r>
              <w:rPr>
                <w:rFonts w:ascii="Arial" w:cs="Arial" w:eastAsia="Arial" w:hAnsi="Arial"/>
                <w:sz w:val="18"/>
                <w:szCs w:val="18"/>
                <w:color w:val="auto"/>
              </w:rPr>
              <w:t>Net liabilities in liquidation as of December 31, 2016</w:t>
            </w: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9720" w:type="dxa"/>
            <w:vAlign w:val="bottom"/>
            <w:vMerge w:val="continue"/>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(24,152)</w:t>
            </w: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541020</wp:posOffset>
            </wp:positionV>
            <wp:extent cx="729043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TERRASEA ENVIRONMENTAL SOLUTIONS,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OPERATIONS (GOING CONCERN BASIS)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60" w:type="dxa"/>
            <w:vAlign w:val="bottom"/>
          </w:tcPr>
          <w:p>
            <w:pPr>
              <w:jc w:val="right"/>
              <w:ind w:right="995"/>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r>
      <w:tr>
        <w:trPr>
          <w:trHeight w:val="25"/>
        </w:trPr>
        <w:tc>
          <w:tcPr>
            <w:tcW w:w="5820" w:type="dxa"/>
            <w:vAlign w:val="bottom"/>
            <w:tcBorders>
              <w:bottom w:val="single" w:sz="8" w:color="CFF0FC"/>
            </w:tcBorders>
          </w:tcPr>
          <w:p>
            <w:pPr>
              <w:spacing w:after="0"/>
              <w:rPr>
                <w:sz w:val="2"/>
                <w:szCs w:val="2"/>
                <w:color w:val="auto"/>
              </w:rPr>
            </w:pPr>
          </w:p>
        </w:tc>
        <w:tc>
          <w:tcPr>
            <w:tcW w:w="3020" w:type="dxa"/>
            <w:vAlign w:val="bottom"/>
            <w:tcBorders>
              <w:bottom w:val="single" w:sz="8" w:color="CFF0FC"/>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r>
      <w:tr>
        <w:trPr>
          <w:trHeight w:val="22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REVENUES</w:t>
            </w:r>
          </w:p>
        </w:tc>
        <w:tc>
          <w:tcPr>
            <w:tcW w:w="3620" w:type="dxa"/>
            <w:vAlign w:val="bottom"/>
            <w:gridSpan w:val="2"/>
            <w:shd w:val="clear" w:color="auto" w:fill="CFF0FC"/>
          </w:tcPr>
          <w:p>
            <w:pPr>
              <w:jc w:val="right"/>
              <w:ind w:right="50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6,960</w:t>
            </w:r>
          </w:p>
        </w:tc>
        <w:tc>
          <w:tcPr>
            <w:tcW w:w="120" w:type="dxa"/>
            <w:vAlign w:val="bottom"/>
            <w:shd w:val="clear" w:color="auto" w:fill="CFF0FC"/>
          </w:tcPr>
          <w:p>
            <w:pPr>
              <w:spacing w:after="0"/>
              <w:rPr>
                <w:sz w:val="19"/>
                <w:szCs w:val="19"/>
                <w:color w:val="auto"/>
              </w:rPr>
            </w:pPr>
          </w:p>
        </w:tc>
      </w:tr>
      <w:tr>
        <w:trPr>
          <w:trHeight w:val="227"/>
        </w:trPr>
        <w:tc>
          <w:tcPr>
            <w:tcW w:w="58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COSTS OF CONTRACT REVENUES</w:t>
            </w:r>
          </w:p>
        </w:tc>
        <w:tc>
          <w:tcPr>
            <w:tcW w:w="30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10,761</w:t>
            </w:r>
          </w:p>
        </w:tc>
        <w:tc>
          <w:tcPr>
            <w:tcW w:w="120" w:type="dxa"/>
            <w:vAlign w:val="bottom"/>
            <w:shd w:val="clear" w:color="auto" w:fill="CFF0FC"/>
          </w:tcPr>
          <w:p>
            <w:pPr>
              <w:spacing w:after="0"/>
              <w:rPr>
                <w:sz w:val="19"/>
                <w:szCs w:val="19"/>
                <w:color w:val="auto"/>
              </w:rPr>
            </w:pPr>
          </w:p>
        </w:tc>
      </w:tr>
      <w:tr>
        <w:trPr>
          <w:trHeight w:val="221"/>
        </w:trPr>
        <w:tc>
          <w:tcPr>
            <w:tcW w:w="58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6"/>
        </w:trPr>
        <w:tc>
          <w:tcPr>
            <w:tcW w:w="5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GROSS LOSS</w:t>
            </w:r>
          </w:p>
        </w:tc>
        <w:tc>
          <w:tcPr>
            <w:tcW w:w="30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(3,801)</w:t>
            </w:r>
          </w:p>
        </w:tc>
      </w:tr>
      <w:tr>
        <w:trPr>
          <w:trHeight w:val="221"/>
        </w:trPr>
        <w:tc>
          <w:tcPr>
            <w:tcW w:w="58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3620" w:type="dxa"/>
            <w:vAlign w:val="bottom"/>
            <w:gridSpan w:val="2"/>
            <w:shd w:val="clear" w:color="auto" w:fill="CFF0FC"/>
          </w:tcPr>
          <w:p>
            <w:pPr>
              <w:jc w:val="right"/>
              <w:ind w:right="50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(3,801)</w:t>
            </w:r>
          </w:p>
        </w:tc>
      </w:tr>
      <w:tr>
        <w:trPr>
          <w:trHeight w:val="20"/>
        </w:trPr>
        <w:tc>
          <w:tcPr>
            <w:tcW w:w="5820" w:type="dxa"/>
            <w:vAlign w:val="bottom"/>
            <w:tcBorders>
              <w:top w:val="single" w:sz="8" w:color="CFF0FC"/>
            </w:tcBorders>
          </w:tcPr>
          <w:p>
            <w:pPr>
              <w:spacing w:after="0" w:line="20" w:lineRule="exact"/>
              <w:rPr>
                <w:sz w:val="1"/>
                <w:szCs w:val="1"/>
                <w:color w:val="auto"/>
              </w:rPr>
            </w:pPr>
          </w:p>
        </w:tc>
        <w:tc>
          <w:tcPr>
            <w:tcW w:w="302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422275</wp:posOffset>
            </wp:positionV>
            <wp:extent cx="729043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color w:val="auto"/>
        </w:rPr>
        <w:t>TERRASEA ENVIRONMENTAL SOLUTIONS,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MEMBERS' DEFICIT (GOING CONCERN BASIS)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40" w:type="dxa"/>
            <w:vAlign w:val="bottom"/>
          </w:tcPr>
          <w:p>
            <w:pPr>
              <w:spacing w:after="0"/>
              <w:rPr>
                <w:sz w:val="16"/>
                <w:szCs w:val="16"/>
                <w:color w:val="auto"/>
              </w:rPr>
            </w:pPr>
          </w:p>
        </w:tc>
        <w:tc>
          <w:tcPr>
            <w:tcW w:w="2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Members'</w:t>
            </w:r>
          </w:p>
        </w:tc>
        <w:tc>
          <w:tcPr>
            <w:tcW w:w="680" w:type="dxa"/>
            <w:vAlign w:val="bottom"/>
          </w:tcPr>
          <w:p>
            <w:pPr>
              <w:spacing w:after="0"/>
              <w:rPr>
                <w:sz w:val="16"/>
                <w:szCs w:val="16"/>
                <w:color w:val="auto"/>
              </w:rPr>
            </w:pPr>
          </w:p>
        </w:tc>
      </w:tr>
      <w:tr>
        <w:trPr>
          <w:trHeight w:val="211"/>
        </w:trPr>
        <w:tc>
          <w:tcPr>
            <w:tcW w:w="8140" w:type="dxa"/>
            <w:vAlign w:val="bottom"/>
            <w:tcBorders>
              <w:bottom w:val="single" w:sz="8" w:color="CFF0FC"/>
            </w:tcBorders>
          </w:tcPr>
          <w:p>
            <w:pPr>
              <w:spacing w:after="0"/>
              <w:rPr>
                <w:sz w:val="18"/>
                <w:szCs w:val="18"/>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Borders>
              <w:bottom w:val="single" w:sz="8" w:color="CFF0FC"/>
            </w:tcBorders>
          </w:tcPr>
          <w:p>
            <w:pPr>
              <w:spacing w:after="0"/>
              <w:rPr>
                <w:sz w:val="18"/>
                <w:szCs w:val="18"/>
                <w:color w:val="auto"/>
              </w:rPr>
            </w:pPr>
          </w:p>
        </w:tc>
        <w:tc>
          <w:tcPr>
            <w:tcW w:w="680" w:type="dxa"/>
            <w:vAlign w:val="bottom"/>
          </w:tcPr>
          <w:p>
            <w:pPr>
              <w:spacing w:after="0"/>
              <w:rPr>
                <w:sz w:val="18"/>
                <w:szCs w:val="18"/>
                <w:color w:val="auto"/>
              </w:rPr>
            </w:pPr>
          </w:p>
        </w:tc>
      </w:tr>
      <w:tr>
        <w:trPr>
          <w:trHeight w:val="220"/>
        </w:trPr>
        <w:tc>
          <w:tcPr>
            <w:tcW w:w="81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BALANCE — December 31, 2014</w:t>
            </w:r>
          </w:p>
        </w:tc>
        <w:tc>
          <w:tcPr>
            <w:tcW w:w="2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(20,714)</w:t>
            </w:r>
          </w:p>
        </w:tc>
        <w:tc>
          <w:tcPr>
            <w:tcW w:w="680" w:type="dxa"/>
            <w:vAlign w:val="bottom"/>
          </w:tcPr>
          <w:p>
            <w:pPr>
              <w:spacing w:after="0"/>
              <w:rPr>
                <w:sz w:val="19"/>
                <w:szCs w:val="19"/>
                <w:color w:val="auto"/>
              </w:rPr>
            </w:pPr>
          </w:p>
        </w:tc>
      </w:tr>
      <w:tr>
        <w:trPr>
          <w:trHeight w:val="227"/>
        </w:trPr>
        <w:tc>
          <w:tcPr>
            <w:tcW w:w="81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6"/>
        </w:trPr>
        <w:tc>
          <w:tcPr>
            <w:tcW w:w="8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2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(3,801)</w:t>
            </w:r>
          </w:p>
        </w:tc>
        <w:tc>
          <w:tcPr>
            <w:tcW w:w="680" w:type="dxa"/>
            <w:vAlign w:val="bottom"/>
          </w:tcPr>
          <w:p>
            <w:pPr>
              <w:spacing w:after="0"/>
              <w:rPr>
                <w:sz w:val="19"/>
                <w:szCs w:val="19"/>
                <w:color w:val="auto"/>
              </w:rPr>
            </w:pPr>
          </w:p>
        </w:tc>
      </w:tr>
      <w:tr>
        <w:trPr>
          <w:trHeight w:val="221"/>
        </w:trPr>
        <w:tc>
          <w:tcPr>
            <w:tcW w:w="8140" w:type="dxa"/>
            <w:vAlign w:val="bottom"/>
          </w:tcPr>
          <w:p>
            <w:pPr>
              <w:spacing w:after="0"/>
              <w:rPr>
                <w:sz w:val="19"/>
                <w:szCs w:val="19"/>
                <w:color w:val="auto"/>
              </w:rPr>
            </w:pPr>
          </w:p>
        </w:tc>
        <w:tc>
          <w:tcPr>
            <w:tcW w:w="2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7"/>
        </w:trPr>
        <w:tc>
          <w:tcPr>
            <w:tcW w:w="81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BALANCE — December 31, 2015</w:t>
            </w:r>
          </w:p>
        </w:tc>
        <w:tc>
          <w:tcPr>
            <w:tcW w:w="2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(24,515)</w:t>
            </w:r>
          </w:p>
        </w:tc>
        <w:tc>
          <w:tcPr>
            <w:tcW w:w="680" w:type="dxa"/>
            <w:vAlign w:val="bottom"/>
          </w:tcPr>
          <w:p>
            <w:pPr>
              <w:spacing w:after="0"/>
              <w:rPr>
                <w:sz w:val="19"/>
                <w:szCs w:val="19"/>
                <w:color w:val="auto"/>
              </w:rPr>
            </w:pPr>
          </w:p>
        </w:tc>
      </w:tr>
      <w:tr>
        <w:trPr>
          <w:trHeight w:val="679"/>
        </w:trPr>
        <w:tc>
          <w:tcPr>
            <w:tcW w:w="8140" w:type="dxa"/>
            <w:vAlign w:val="bottom"/>
          </w:tcPr>
          <w:p>
            <w:pPr>
              <w:spacing w:after="0"/>
              <w:rPr>
                <w:sz w:val="20"/>
                <w:szCs w:val="20"/>
                <w:color w:val="auto"/>
              </w:rPr>
            </w:pPr>
            <w:r>
              <w:rPr>
                <w:rFonts w:ascii="Arial" w:cs="Arial" w:eastAsia="Arial" w:hAnsi="Arial"/>
                <w:sz w:val="18"/>
                <w:szCs w:val="18"/>
                <w:color w:val="auto"/>
              </w:rPr>
              <w:t>See notes to financial statements.</w:t>
            </w: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48"/>
        </w:trPr>
        <w:tc>
          <w:tcPr>
            <w:tcW w:w="81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61" w:right="21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t>TERRASEA ENVIRONMENTAL SOLUTIONS,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 (GOING CONCERN BASIS)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500" w:type="dxa"/>
            <w:vAlign w:val="bottom"/>
            <w:tcBorders>
              <w:bottom w:val="single" w:sz="8" w:color="CFF0FC"/>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r>
      <w:tr>
        <w:trPr>
          <w:trHeight w:val="220"/>
        </w:trPr>
        <w:tc>
          <w:tcPr>
            <w:tcW w:w="950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9500" w:type="dxa"/>
            <w:vAlign w:val="bottom"/>
          </w:tcPr>
          <w:p>
            <w:pPr>
              <w:spacing w:after="0"/>
              <w:rPr>
                <w:sz w:val="20"/>
                <w:szCs w:val="20"/>
                <w:color w:val="auto"/>
              </w:rPr>
            </w:pPr>
            <w:r>
              <w:rPr>
                <w:rFonts w:ascii="Arial" w:cs="Arial" w:eastAsia="Arial" w:hAnsi="Arial"/>
                <w:sz w:val="18"/>
                <w:szCs w:val="18"/>
                <w:color w:val="auto"/>
              </w:rPr>
              <w:t>Net loss</w:t>
            </w: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(3,801)</w:t>
            </w:r>
          </w:p>
        </w:tc>
      </w:tr>
      <w:tr>
        <w:trPr>
          <w:trHeight w:val="227"/>
        </w:trPr>
        <w:tc>
          <w:tcPr>
            <w:tcW w:w="95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9500" w:type="dxa"/>
            <w:vAlign w:val="bottom"/>
          </w:tcPr>
          <w:p>
            <w:pPr>
              <w:ind w:left="260"/>
              <w:spacing w:after="0"/>
              <w:rPr>
                <w:sz w:val="20"/>
                <w:szCs w:val="20"/>
                <w:color w:val="auto"/>
              </w:rPr>
            </w:pPr>
            <w:r>
              <w:rPr>
                <w:rFonts w:ascii="Arial" w:cs="Arial" w:eastAsia="Arial" w:hAnsi="Arial"/>
                <w:sz w:val="18"/>
                <w:szCs w:val="18"/>
                <w:color w:val="auto"/>
              </w:rPr>
              <w:t>Provision for loss contract</w:t>
            </w:r>
          </w:p>
        </w:tc>
        <w:tc>
          <w:tcPr>
            <w:tcW w:w="42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(4,221)</w:t>
            </w:r>
          </w:p>
        </w:tc>
      </w:tr>
      <w:tr>
        <w:trPr>
          <w:trHeight w:val="227"/>
        </w:trPr>
        <w:tc>
          <w:tcPr>
            <w:tcW w:w="9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assets and liabilities:</w:t>
            </w: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950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42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(2,388)</w:t>
            </w:r>
          </w:p>
        </w:tc>
      </w:tr>
      <w:tr>
        <w:trPr>
          <w:trHeight w:val="227"/>
        </w:trPr>
        <w:tc>
          <w:tcPr>
            <w:tcW w:w="9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Contract revenues in excess of billings</w:t>
            </w: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6,727</w:t>
            </w:r>
          </w:p>
        </w:tc>
        <w:tc>
          <w:tcPr>
            <w:tcW w:w="100" w:type="dxa"/>
            <w:vAlign w:val="bottom"/>
            <w:shd w:val="clear" w:color="auto" w:fill="CFF0FC"/>
          </w:tcPr>
          <w:p>
            <w:pPr>
              <w:spacing w:after="0"/>
              <w:rPr>
                <w:sz w:val="19"/>
                <w:szCs w:val="19"/>
                <w:color w:val="auto"/>
              </w:rPr>
            </w:pPr>
          </w:p>
        </w:tc>
      </w:tr>
      <w:tr>
        <w:trPr>
          <w:trHeight w:val="226"/>
        </w:trPr>
        <w:tc>
          <w:tcPr>
            <w:tcW w:w="9500" w:type="dxa"/>
            <w:vAlign w:val="bottom"/>
          </w:tcPr>
          <w:p>
            <w:pPr>
              <w:ind w:left="380"/>
              <w:spacing w:after="0"/>
              <w:rPr>
                <w:sz w:val="20"/>
                <w:szCs w:val="20"/>
                <w:color w:val="auto"/>
              </w:rPr>
            </w:pPr>
            <w:r>
              <w:rPr>
                <w:rFonts w:ascii="Arial" w:cs="Arial" w:eastAsia="Arial" w:hAnsi="Arial"/>
                <w:sz w:val="18"/>
                <w:szCs w:val="18"/>
                <w:color w:val="auto"/>
              </w:rPr>
              <w:t>Accrued expenses</w:t>
            </w:r>
          </w:p>
        </w:tc>
        <w:tc>
          <w:tcPr>
            <w:tcW w:w="42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(1,032)</w:t>
            </w:r>
          </w:p>
        </w:tc>
      </w:tr>
      <w:tr>
        <w:trPr>
          <w:trHeight w:val="221"/>
        </w:trPr>
        <w:tc>
          <w:tcPr>
            <w:tcW w:w="95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9500" w:type="dxa"/>
            <w:vAlign w:val="bottom"/>
          </w:tcPr>
          <w:p>
            <w:pPr>
              <w:ind w:left="500"/>
              <w:spacing w:after="0"/>
              <w:rPr>
                <w:sz w:val="20"/>
                <w:szCs w:val="20"/>
                <w:color w:val="auto"/>
              </w:rPr>
            </w:pPr>
            <w:r>
              <w:rPr>
                <w:rFonts w:ascii="Arial" w:cs="Arial" w:eastAsia="Arial" w:hAnsi="Arial"/>
                <w:sz w:val="18"/>
                <w:szCs w:val="18"/>
                <w:color w:val="auto"/>
              </w:rPr>
              <w:t>Net cash flows used in operating activities</w:t>
            </w:r>
          </w:p>
        </w:tc>
        <w:tc>
          <w:tcPr>
            <w:tcW w:w="42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(4,715)</w:t>
            </w:r>
          </w:p>
        </w:tc>
      </w:tr>
      <w:tr>
        <w:trPr>
          <w:trHeight w:val="221"/>
        </w:trPr>
        <w:tc>
          <w:tcPr>
            <w:tcW w:w="95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9500" w:type="dxa"/>
            <w:vAlign w:val="bottom"/>
          </w:tcPr>
          <w:p>
            <w:pPr>
              <w:spacing w:after="0"/>
              <w:rPr>
                <w:sz w:val="20"/>
                <w:szCs w:val="20"/>
                <w:color w:val="auto"/>
              </w:rPr>
            </w:pPr>
            <w:r>
              <w:rPr>
                <w:rFonts w:ascii="Arial" w:cs="Arial" w:eastAsia="Arial" w:hAnsi="Arial"/>
                <w:sz w:val="18"/>
                <w:szCs w:val="18"/>
                <w:color w:val="auto"/>
              </w:rPr>
              <w:t>FINANCING ACTIVITIES:</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9500" w:type="dxa"/>
            <w:vAlign w:val="bottom"/>
            <w:shd w:val="clear" w:color="auto" w:fill="CFF0FC"/>
          </w:tcPr>
          <w:p>
            <w:pPr>
              <w:spacing w:after="0"/>
              <w:rPr>
                <w:sz w:val="20"/>
                <w:szCs w:val="20"/>
                <w:color w:val="auto"/>
              </w:rPr>
            </w:pPr>
            <w:r>
              <w:rPr>
                <w:rFonts w:ascii="Arial" w:cs="Arial" w:eastAsia="Arial" w:hAnsi="Arial"/>
                <w:sz w:val="18"/>
                <w:szCs w:val="18"/>
                <w:color w:val="auto"/>
              </w:rPr>
              <w:t>Advances from members</w:t>
            </w:r>
          </w:p>
        </w:tc>
        <w:tc>
          <w:tcPr>
            <w:tcW w:w="4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4,715</w:t>
            </w:r>
          </w:p>
        </w:tc>
        <w:tc>
          <w:tcPr>
            <w:tcW w:w="100" w:type="dxa"/>
            <w:vAlign w:val="bottom"/>
            <w:shd w:val="clear" w:color="auto" w:fill="CFF0FC"/>
          </w:tcPr>
          <w:p>
            <w:pPr>
              <w:spacing w:after="0"/>
              <w:rPr>
                <w:sz w:val="19"/>
                <w:szCs w:val="19"/>
                <w:color w:val="auto"/>
              </w:rPr>
            </w:pPr>
          </w:p>
        </w:tc>
      </w:tr>
      <w:tr>
        <w:trPr>
          <w:trHeight w:val="221"/>
        </w:trPr>
        <w:tc>
          <w:tcPr>
            <w:tcW w:w="9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9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flows provided by financing activities</w:t>
            </w:r>
          </w:p>
        </w:tc>
        <w:tc>
          <w:tcPr>
            <w:tcW w:w="4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4,715</w:t>
            </w:r>
          </w:p>
        </w:tc>
        <w:tc>
          <w:tcPr>
            <w:tcW w:w="100" w:type="dxa"/>
            <w:vAlign w:val="bottom"/>
            <w:shd w:val="clear" w:color="auto" w:fill="CFF0FC"/>
          </w:tcPr>
          <w:p>
            <w:pPr>
              <w:spacing w:after="0"/>
              <w:rPr>
                <w:sz w:val="19"/>
                <w:szCs w:val="19"/>
                <w:color w:val="auto"/>
              </w:rPr>
            </w:pPr>
          </w:p>
        </w:tc>
      </w:tr>
      <w:tr>
        <w:trPr>
          <w:trHeight w:val="221"/>
        </w:trPr>
        <w:tc>
          <w:tcPr>
            <w:tcW w:w="9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9500" w:type="dxa"/>
            <w:vAlign w:val="bottom"/>
            <w:shd w:val="clear" w:color="auto" w:fill="CFF0FC"/>
          </w:tcPr>
          <w:p>
            <w:pPr>
              <w:spacing w:after="0"/>
              <w:rPr>
                <w:sz w:val="20"/>
                <w:szCs w:val="20"/>
                <w:color w:val="auto"/>
              </w:rPr>
            </w:pPr>
            <w:r>
              <w:rPr>
                <w:rFonts w:ascii="Arial" w:cs="Arial" w:eastAsia="Arial" w:hAnsi="Arial"/>
                <w:sz w:val="18"/>
                <w:szCs w:val="18"/>
                <w:color w:val="auto"/>
              </w:rPr>
              <w:t>NET CHANGE IN CASH AND EQUIVALENTS</w:t>
            </w:r>
          </w:p>
        </w:tc>
        <w:tc>
          <w:tcPr>
            <w:tcW w:w="4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9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95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 Beginning of year</w:t>
            </w:r>
          </w:p>
        </w:tc>
        <w:tc>
          <w:tcPr>
            <w:tcW w:w="4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FF0FC"/>
          </w:tcPr>
          <w:p>
            <w:pPr>
              <w:spacing w:after="0"/>
              <w:rPr>
                <w:sz w:val="19"/>
                <w:szCs w:val="19"/>
                <w:color w:val="auto"/>
              </w:rPr>
            </w:pPr>
          </w:p>
        </w:tc>
      </w:tr>
      <w:tr>
        <w:trPr>
          <w:trHeight w:val="221"/>
        </w:trPr>
        <w:tc>
          <w:tcPr>
            <w:tcW w:w="9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9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 End of year</w:t>
            </w:r>
          </w:p>
        </w:tc>
        <w:tc>
          <w:tcPr>
            <w:tcW w:w="420" w:type="dxa"/>
            <w:vAlign w:val="bottom"/>
            <w:tcBorders>
              <w:bottom w:val="single" w:sz="8" w:color="auto"/>
            </w:tcBorders>
            <w:shd w:val="clear" w:color="auto" w:fill="CFF0FC"/>
          </w:tcPr>
          <w:p>
            <w:pPr>
              <w:jc w:val="right"/>
              <w:ind w:right="231"/>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9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447675</wp:posOffset>
            </wp:positionV>
            <wp:extent cx="729043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149" w:name="page150"/>
    <w:bookmarkEnd w:id="149"/>
    <w:p>
      <w:pPr>
        <w:jc w:val="center"/>
        <w:ind w:right="7"/>
        <w:spacing w:after="0" w:line="262" w:lineRule="auto"/>
        <w:rPr>
          <w:sz w:val="20"/>
          <w:szCs w:val="20"/>
          <w:color w:val="auto"/>
        </w:rPr>
      </w:pPr>
      <w:r>
        <w:rPr>
          <w:rFonts w:ascii="Arial" w:cs="Arial" w:eastAsia="Arial" w:hAnsi="Arial"/>
          <w:sz w:val="20"/>
          <w:szCs w:val="20"/>
          <w:b w:val="1"/>
          <w:bCs w:val="1"/>
          <w:color w:val="auto"/>
        </w:rPr>
        <w:t xml:space="preserve">Notes to </w:t>
      </w:r>
      <w:r>
        <w:rPr>
          <w:rFonts w:ascii="Arial" w:cs="Arial" w:eastAsia="Arial" w:hAnsi="Arial"/>
          <w:sz w:val="21"/>
          <w:szCs w:val="21"/>
          <w:b w:val="1"/>
          <w:bCs w:val="1"/>
          <w:color w:val="auto"/>
        </w:rPr>
        <w:t>Financial Statements as of December 31, 2016 (Unaudited) and for the Period from January 1, 2017 to August 28,</w:t>
      </w:r>
      <w:r>
        <w:rPr>
          <w:rFonts w:ascii="Arial" w:cs="Arial" w:eastAsia="Arial" w:hAnsi="Arial"/>
          <w:sz w:val="20"/>
          <w:szCs w:val="20"/>
          <w:b w:val="1"/>
          <w:bCs w:val="1"/>
          <w:color w:val="auto"/>
        </w:rPr>
        <w:t xml:space="preserve"> </w:t>
      </w:r>
      <w:r>
        <w:rPr>
          <w:rFonts w:ascii="Arial" w:cs="Arial" w:eastAsia="Arial" w:hAnsi="Arial"/>
          <w:sz w:val="21"/>
          <w:szCs w:val="21"/>
          <w:b w:val="1"/>
          <w:bCs w:val="1"/>
          <w:color w:val="auto"/>
        </w:rPr>
        <w:t>2017 (Unaudited) and for the Years Ended December 31, 2016 (Unaudited) and 2015 (in thousands)</w:t>
      </w:r>
    </w:p>
    <w:p>
      <w:pPr>
        <w:spacing w:after="0" w:line="200" w:lineRule="exact"/>
        <w:rPr>
          <w:sz w:val="20"/>
          <w:szCs w:val="20"/>
          <w:color w:val="auto"/>
        </w:rPr>
      </w:pPr>
    </w:p>
    <w:p>
      <w:pPr>
        <w:spacing w:after="0" w:line="237" w:lineRule="exact"/>
        <w:rPr>
          <w:sz w:val="20"/>
          <w:szCs w:val="20"/>
          <w:color w:val="auto"/>
        </w:rPr>
      </w:pPr>
    </w:p>
    <w:p>
      <w:pPr>
        <w:ind w:left="513" w:hanging="513"/>
        <w:spacing w:after="0"/>
        <w:tabs>
          <w:tab w:leader="none" w:pos="513" w:val="left"/>
        </w:tabs>
        <w:numPr>
          <w:ilvl w:val="0"/>
          <w:numId w:val="53"/>
        </w:numPr>
        <w:rPr>
          <w:rFonts w:ascii="Arial" w:cs="Arial" w:eastAsia="Arial" w:hAnsi="Arial"/>
          <w:sz w:val="20"/>
          <w:szCs w:val="20"/>
          <w:b w:val="1"/>
          <w:bCs w:val="1"/>
          <w:color w:val="auto"/>
        </w:rPr>
      </w:pPr>
      <w:r>
        <w:rPr>
          <w:rFonts w:ascii="Arial" w:cs="Arial" w:eastAsia="Arial" w:hAnsi="Arial"/>
          <w:sz w:val="20"/>
          <w:szCs w:val="20"/>
          <w:b w:val="1"/>
          <w:bCs w:val="1"/>
          <w:color w:val="auto"/>
        </w:rPr>
        <w:t>NATURE OF BUSINESS AND SUMMARY OF SIGNIFICANT ACCOUNTING POLICIES</w:t>
      </w:r>
    </w:p>
    <w:p>
      <w:pPr>
        <w:spacing w:after="0" w:line="210" w:lineRule="exact"/>
        <w:rPr>
          <w:sz w:val="20"/>
          <w:szCs w:val="20"/>
          <w:color w:val="auto"/>
        </w:rPr>
      </w:pPr>
    </w:p>
    <w:p>
      <w:pPr>
        <w:ind w:left="553" w:right="60"/>
        <w:spacing w:after="0" w:line="244" w:lineRule="auto"/>
        <w:rPr>
          <w:sz w:val="20"/>
          <w:szCs w:val="20"/>
          <w:color w:val="auto"/>
        </w:rPr>
      </w:pPr>
      <w:r>
        <w:rPr>
          <w:rFonts w:ascii="Arial" w:cs="Arial" w:eastAsia="Arial" w:hAnsi="Arial"/>
          <w:sz w:val="20"/>
          <w:szCs w:val="20"/>
          <w:b w:val="1"/>
          <w:bCs w:val="1"/>
          <w:color w:val="auto"/>
        </w:rPr>
        <w:t xml:space="preserve">Organization </w:t>
      </w:r>
      <w:r>
        <w:rPr>
          <w:rFonts w:ascii="Arial" w:cs="Arial" w:eastAsia="Arial" w:hAnsi="Arial"/>
          <w:sz w:val="20"/>
          <w:szCs w:val="20"/>
          <w:color w:val="auto"/>
        </w:rPr>
        <w:t>— TerraSea Environmental Solutions, LLC (the “Company” or “TerraSea”) is a limited liability company (LLC) organized</w:t>
      </w:r>
      <w:r>
        <w:rPr>
          <w:rFonts w:ascii="Arial" w:cs="Arial" w:eastAsia="Arial" w:hAnsi="Arial"/>
          <w:sz w:val="20"/>
          <w:szCs w:val="20"/>
          <w:b w:val="1"/>
          <w:bCs w:val="1"/>
          <w:color w:val="auto"/>
        </w:rPr>
        <w:t xml:space="preserve"> </w:t>
      </w:r>
      <w:r>
        <w:rPr>
          <w:rFonts w:ascii="Arial" w:cs="Arial" w:eastAsia="Arial" w:hAnsi="Arial"/>
          <w:sz w:val="20"/>
          <w:szCs w:val="20"/>
          <w:color w:val="auto"/>
        </w:rPr>
        <w:t>on July 9, 2011, under Delaware law. TerraSea is 50% owned by Great Lakes Dredge &amp; Dock Environmental, Inc. (“Great Lakes”), a member, and 50% owned by Environmental Remediation Holdings (“ERH”), a member, and is governed by a Board of Managers under the terms of a limited liability company agreement.</w:t>
      </w:r>
    </w:p>
    <w:p>
      <w:pPr>
        <w:spacing w:after="0" w:line="191" w:lineRule="exact"/>
        <w:rPr>
          <w:sz w:val="20"/>
          <w:szCs w:val="20"/>
          <w:color w:val="auto"/>
        </w:rPr>
      </w:pPr>
    </w:p>
    <w:p>
      <w:pPr>
        <w:ind w:left="553"/>
        <w:spacing w:after="0" w:line="286" w:lineRule="auto"/>
        <w:rPr>
          <w:sz w:val="20"/>
          <w:szCs w:val="20"/>
          <w:color w:val="auto"/>
        </w:rPr>
      </w:pPr>
      <w:r>
        <w:rPr>
          <w:rFonts w:ascii="Arial" w:cs="Arial" w:eastAsia="Arial" w:hAnsi="Arial"/>
          <w:sz w:val="18"/>
          <w:szCs w:val="18"/>
          <w:color w:val="auto"/>
        </w:rPr>
        <w:t>TerraSea provides water and land based environmental services in the area of clean up and remediation of sediments, soil and groundwater for both marine and land based projects. The joint venture was established to capitalize on the expertise of the two equal partners for projects in the United States offering optimally engineered global solutions for environmental cleanup needs.</w:t>
      </w:r>
    </w:p>
    <w:p>
      <w:pPr>
        <w:spacing w:after="0" w:line="153" w:lineRule="exact"/>
        <w:rPr>
          <w:sz w:val="20"/>
          <w:szCs w:val="20"/>
          <w:color w:val="auto"/>
        </w:rPr>
      </w:pPr>
    </w:p>
    <w:p>
      <w:pPr>
        <w:ind w:left="553"/>
        <w:spacing w:after="0"/>
        <w:rPr>
          <w:sz w:val="20"/>
          <w:szCs w:val="20"/>
          <w:color w:val="auto"/>
        </w:rPr>
      </w:pPr>
      <w:r>
        <w:rPr>
          <w:rFonts w:ascii="Arial" w:cs="Arial" w:eastAsia="Arial" w:hAnsi="Arial"/>
          <w:sz w:val="20"/>
          <w:szCs w:val="20"/>
          <w:color w:val="auto"/>
        </w:rPr>
        <w:t>TerraSea was dissolved effective August 28, 2017.</w:t>
      </w:r>
    </w:p>
    <w:p>
      <w:pPr>
        <w:spacing w:after="0" w:line="204" w:lineRule="exact"/>
        <w:rPr>
          <w:sz w:val="20"/>
          <w:szCs w:val="20"/>
          <w:color w:val="auto"/>
        </w:rPr>
      </w:pPr>
    </w:p>
    <w:p>
      <w:pPr>
        <w:ind w:left="553" w:right="300"/>
        <w:spacing w:after="0" w:line="249" w:lineRule="auto"/>
        <w:rPr>
          <w:sz w:val="20"/>
          <w:szCs w:val="20"/>
          <w:color w:val="auto"/>
        </w:rPr>
      </w:pPr>
      <w:r>
        <w:rPr>
          <w:rFonts w:ascii="Arial" w:cs="Arial" w:eastAsia="Arial" w:hAnsi="Arial"/>
          <w:sz w:val="20"/>
          <w:szCs w:val="20"/>
          <w:b w:val="1"/>
          <w:bCs w:val="1"/>
          <w:color w:val="auto"/>
        </w:rPr>
        <w:t xml:space="preserve">Use of Estimates </w:t>
      </w:r>
      <w:r>
        <w:rPr>
          <w:rFonts w:ascii="Arial" w:cs="Arial" w:eastAsia="Arial" w:hAnsi="Arial"/>
          <w:sz w:val="20"/>
          <w:szCs w:val="20"/>
          <w:color w:val="auto"/>
        </w:rPr>
        <w:t>— The preparation of financial statements in conformity with accounting principles generally accepted in the United</w:t>
      </w:r>
      <w:r>
        <w:rPr>
          <w:rFonts w:ascii="Arial" w:cs="Arial" w:eastAsia="Arial" w:hAnsi="Arial"/>
          <w:sz w:val="20"/>
          <w:szCs w:val="20"/>
          <w:b w:val="1"/>
          <w:bCs w:val="1"/>
          <w:color w:val="auto"/>
        </w:rPr>
        <w:t xml:space="preserve"> </w:t>
      </w:r>
      <w:r>
        <w:rPr>
          <w:rFonts w:ascii="Arial" w:cs="Arial" w:eastAsia="Arial" w:hAnsi="Arial"/>
          <w:sz w:val="20"/>
          <w:szCs w:val="20"/>
          <w:color w:val="auto"/>
        </w:rPr>
        <w:t>States of America (“GAAP”) requires management to make estimates and assumptions that affect certain reported amounts and disclosures. Accordingly, actual results could differ from those estimates.</w:t>
      </w:r>
    </w:p>
    <w:p>
      <w:pPr>
        <w:spacing w:after="0" w:line="178" w:lineRule="exact"/>
        <w:rPr>
          <w:sz w:val="20"/>
          <w:szCs w:val="20"/>
          <w:color w:val="auto"/>
        </w:rPr>
      </w:pPr>
    </w:p>
    <w:p>
      <w:pPr>
        <w:ind w:left="553" w:right="20"/>
        <w:spacing w:after="0" w:line="266" w:lineRule="auto"/>
        <w:rPr>
          <w:sz w:val="20"/>
          <w:szCs w:val="20"/>
          <w:color w:val="auto"/>
        </w:rPr>
      </w:pPr>
      <w:r>
        <w:rPr>
          <w:rFonts w:ascii="Arial" w:cs="Arial" w:eastAsia="Arial" w:hAnsi="Arial"/>
          <w:sz w:val="18"/>
          <w:szCs w:val="18"/>
          <w:b w:val="1"/>
          <w:bCs w:val="1"/>
          <w:color w:val="auto"/>
        </w:rPr>
        <w:t xml:space="preserve">Revenue and Cost Recognition on Contracts </w:t>
      </w:r>
      <w:r>
        <w:rPr>
          <w:rFonts w:ascii="Arial" w:cs="Arial" w:eastAsia="Arial" w:hAnsi="Arial"/>
          <w:sz w:val="18"/>
          <w:szCs w:val="18"/>
          <w:color w:val="auto"/>
        </w:rPr>
        <w:t>— The Company’s contracts for dredging services are fixed-price contracts, which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for remeasurement based on actual quantities dredged. The Company’s contracts for environmental and remediation projects are also fixed-price contracts, with others performed on a time-and-materials basis. Contract revenues are recognized under the percentage-of-completion method based on the Company’s engineering estimates of the physical percentage completed for dredging projects and based on costs incurred to date compared to total estimated costs for fixed-price environmental and remediation projects. For dredging projects, costs of contract revenues are adjusted to reflect the gross profit percentage expected to be achieved upon ultimate completion. For environmental and remediation contracts, contract revenues are adjusted to reflect the estimated gross profit percentage. Revisions in estimated gross profit percentages are recorded in the period during which the change in circumstances is experienced or becomes known. Provisions for estimated losses on contracts in progress are made in the period in which such losses are determined. Change orders are not recognized in revenue until the recovery is probable and collectability is reasonably assured. Claims for additional compensation due to the Company are not recognized in contract revenues until such claims are settled. Billings on contracts are generally submitted after verification with the customers of physical progress and may not match the timing of revenue recognition. The difference between amounts billed and recognized as revenue is reflected in the balance sheet as either contract revenues in excess of billings or billings in excess of contract revenues. Modifications may be negotiated when a change from the original contract specification is encountered, and a change in project scope, performance methodology and/or material disposal is necessary. Thus, the resulting modification is considered a change in the scope of the original project to which it relates. Significant expenditures incurred incidental to major contracts are deferred and recognized as contract costs based on contract performance over the duration of the related project. These expenditures are reported as 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106045</wp:posOffset>
            </wp:positionV>
            <wp:extent cx="729043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13"/>
          </w:cols>
          <w:pgMar w:left="247" w:top="592" w:right="239" w:bottom="1440" w:gutter="0" w:footer="0" w:header="0"/>
        </w:sectPr>
      </w:pPr>
    </w:p>
    <w:bookmarkStart w:id="150" w:name="page151"/>
    <w:bookmarkEnd w:id="150"/>
    <w:p>
      <w:pPr>
        <w:ind w:left="553" w:right="100"/>
        <w:spacing w:after="0" w:line="234" w:lineRule="exact"/>
        <w:rPr>
          <w:sz w:val="20"/>
          <w:szCs w:val="20"/>
          <w:color w:val="auto"/>
        </w:rPr>
      </w:pPr>
      <w:r>
        <w:rPr>
          <w:rFonts w:ascii="Arial" w:cs="Arial" w:eastAsia="Arial" w:hAnsi="Arial"/>
          <w:sz w:val="18"/>
          <w:szCs w:val="18"/>
          <w:color w:val="auto"/>
        </w:rPr>
        <w:t>The components of costs of contract revenues include labor, equipment (including depreciation, maintenance, insurance and long</w:t>
      </w:r>
      <w:r>
        <w:rPr>
          <w:rFonts w:ascii="MS PGothic" w:cs="MS PGothic" w:eastAsia="MS PGothic" w:hAnsi="MS PGothic"/>
          <w:sz w:val="18"/>
          <w:szCs w:val="18"/>
          <w:color w:val="auto"/>
        </w:rPr>
        <w:t>‑</w:t>
      </w:r>
      <w:r>
        <w:rPr>
          <w:rFonts w:ascii="Arial" w:cs="Arial" w:eastAsia="Arial" w:hAnsi="Arial"/>
          <w:sz w:val="18"/>
          <w:szCs w:val="18"/>
          <w:color w:val="auto"/>
        </w:rPr>
        <w:t>term rentals), subcontracts, fuel and project overhead. Hourly labor is generally hired on a project</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project basis. Costs of contract revenues vary significantly depending on the type and location of work performed and assets utilized.</w:t>
      </w:r>
    </w:p>
    <w:p>
      <w:pPr>
        <w:spacing w:after="0" w:line="186" w:lineRule="exact"/>
        <w:rPr>
          <w:sz w:val="20"/>
          <w:szCs w:val="20"/>
          <w:color w:val="auto"/>
        </w:rPr>
      </w:pPr>
    </w:p>
    <w:p>
      <w:pPr>
        <w:ind w:left="553" w:right="220"/>
        <w:spacing w:after="0" w:line="249" w:lineRule="auto"/>
        <w:rPr>
          <w:sz w:val="20"/>
          <w:szCs w:val="20"/>
          <w:color w:val="auto"/>
        </w:rPr>
      </w:pPr>
      <w:r>
        <w:rPr>
          <w:rFonts w:ascii="Arial" w:cs="Arial" w:eastAsia="Arial" w:hAnsi="Arial"/>
          <w:sz w:val="20"/>
          <w:szCs w:val="20"/>
          <w:b w:val="1"/>
          <w:bCs w:val="1"/>
          <w:color w:val="auto"/>
        </w:rPr>
        <w:t xml:space="preserve">Income Taxes </w:t>
      </w:r>
      <w:r>
        <w:rPr>
          <w:rFonts w:ascii="Arial" w:cs="Arial" w:eastAsia="Arial" w:hAnsi="Arial"/>
          <w:sz w:val="20"/>
          <w:szCs w:val="20"/>
          <w:color w:val="auto"/>
        </w:rPr>
        <w:t>— The Company is treated as a partnership for federal and state income tax reporting purposes and is not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corporate income taxes on the taxable income. For income tax purposes, the Company reports income on the percentage of completion, capitalized cost method of accounting.</w:t>
      </w:r>
    </w:p>
    <w:p>
      <w:pPr>
        <w:spacing w:after="0" w:line="178" w:lineRule="exact"/>
        <w:rPr>
          <w:sz w:val="20"/>
          <w:szCs w:val="20"/>
          <w:color w:val="auto"/>
        </w:rPr>
      </w:pPr>
    </w:p>
    <w:p>
      <w:pPr>
        <w:ind w:left="553" w:right="540"/>
        <w:spacing w:after="0" w:line="350" w:lineRule="auto"/>
        <w:rPr>
          <w:sz w:val="20"/>
          <w:szCs w:val="20"/>
          <w:color w:val="auto"/>
        </w:rPr>
      </w:pPr>
      <w:r>
        <w:rPr>
          <w:rFonts w:ascii="Arial" w:cs="Arial" w:eastAsia="Arial" w:hAnsi="Arial"/>
          <w:sz w:val="17"/>
          <w:szCs w:val="17"/>
          <w:b w:val="1"/>
          <w:bCs w:val="1"/>
          <w:color w:val="auto"/>
        </w:rPr>
        <w:t xml:space="preserve">Classification of Current Assets and Liabilities </w:t>
      </w:r>
      <w:r>
        <w:rPr>
          <w:rFonts w:ascii="Arial" w:cs="Arial" w:eastAsia="Arial" w:hAnsi="Arial"/>
          <w:sz w:val="17"/>
          <w:szCs w:val="17"/>
          <w:color w:val="auto"/>
        </w:rPr>
        <w:t>— The Company includes in current assets and liabilities amounts realizable and</w:t>
      </w:r>
      <w:r>
        <w:rPr>
          <w:rFonts w:ascii="Arial" w:cs="Arial" w:eastAsia="Arial" w:hAnsi="Arial"/>
          <w:sz w:val="17"/>
          <w:szCs w:val="17"/>
          <w:b w:val="1"/>
          <w:bCs w:val="1"/>
          <w:color w:val="auto"/>
        </w:rPr>
        <w:t xml:space="preserve"> </w:t>
      </w:r>
      <w:r>
        <w:rPr>
          <w:rFonts w:ascii="Arial" w:cs="Arial" w:eastAsia="Arial" w:hAnsi="Arial"/>
          <w:sz w:val="17"/>
          <w:szCs w:val="17"/>
          <w:color w:val="auto"/>
        </w:rPr>
        <w:t>payable in the normal course of contract completion, unless completion of such contracts extends significantly beyond one year.</w:t>
      </w:r>
    </w:p>
    <w:p>
      <w:pPr>
        <w:spacing w:after="0" w:line="97" w:lineRule="exact"/>
        <w:rPr>
          <w:sz w:val="20"/>
          <w:szCs w:val="20"/>
          <w:color w:val="auto"/>
        </w:rPr>
      </w:pPr>
    </w:p>
    <w:p>
      <w:pPr>
        <w:ind w:left="553" w:right="20"/>
        <w:spacing w:after="0" w:line="261" w:lineRule="auto"/>
        <w:rPr>
          <w:sz w:val="20"/>
          <w:szCs w:val="20"/>
          <w:color w:val="auto"/>
        </w:rPr>
      </w:pPr>
      <w:r>
        <w:rPr>
          <w:rFonts w:ascii="Arial" w:cs="Arial" w:eastAsia="Arial" w:hAnsi="Arial"/>
          <w:sz w:val="20"/>
          <w:szCs w:val="20"/>
          <w:b w:val="1"/>
          <w:bCs w:val="1"/>
          <w:color w:val="auto"/>
        </w:rPr>
        <w:t xml:space="preserve">Cash Equivalents </w:t>
      </w:r>
      <w:r>
        <w:rPr>
          <w:rFonts w:ascii="Arial" w:cs="Arial" w:eastAsia="Arial" w:hAnsi="Arial"/>
          <w:sz w:val="20"/>
          <w:szCs w:val="20"/>
          <w:color w:val="auto"/>
        </w:rPr>
        <w:t>— The Company considers all highly liquid investments with a maturity at purchase of three months or less to be cash</w:t>
      </w:r>
      <w:r>
        <w:rPr>
          <w:rFonts w:ascii="Arial" w:cs="Arial" w:eastAsia="Arial" w:hAnsi="Arial"/>
          <w:sz w:val="20"/>
          <w:szCs w:val="20"/>
          <w:b w:val="1"/>
          <w:bCs w:val="1"/>
          <w:color w:val="auto"/>
        </w:rPr>
        <w:t xml:space="preserve"> </w:t>
      </w:r>
      <w:r>
        <w:rPr>
          <w:rFonts w:ascii="Arial" w:cs="Arial" w:eastAsia="Arial" w:hAnsi="Arial"/>
          <w:sz w:val="20"/>
          <w:szCs w:val="20"/>
          <w:color w:val="auto"/>
        </w:rPr>
        <w:t>equivalents.</w:t>
      </w:r>
    </w:p>
    <w:p>
      <w:pPr>
        <w:spacing w:after="0" w:line="167" w:lineRule="exact"/>
        <w:rPr>
          <w:sz w:val="20"/>
          <w:szCs w:val="20"/>
          <w:color w:val="auto"/>
        </w:rPr>
      </w:pPr>
    </w:p>
    <w:p>
      <w:pPr>
        <w:ind w:left="553" w:right="60"/>
        <w:spacing w:after="0" w:line="244" w:lineRule="auto"/>
        <w:rPr>
          <w:sz w:val="20"/>
          <w:szCs w:val="20"/>
          <w:color w:val="auto"/>
        </w:rPr>
      </w:pPr>
      <w:r>
        <w:rPr>
          <w:rFonts w:ascii="Arial" w:cs="Arial" w:eastAsia="Arial" w:hAnsi="Arial"/>
          <w:sz w:val="20"/>
          <w:szCs w:val="20"/>
          <w:b w:val="1"/>
          <w:bCs w:val="1"/>
          <w:color w:val="auto"/>
        </w:rPr>
        <w:t xml:space="preserve">Accounts Receivable — Net </w:t>
      </w:r>
      <w:r>
        <w:rPr>
          <w:rFonts w:ascii="Arial" w:cs="Arial" w:eastAsia="Arial" w:hAnsi="Arial"/>
          <w:sz w:val="20"/>
          <w:szCs w:val="20"/>
          <w:color w:val="auto"/>
        </w:rPr>
        <w:t>— Accounts receivable represent amounts due or billable under the terms of contracts with customers,</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amounts related to retainage. The Company anticipates collection of retainage generally within one year, and accordingly presents retainage as a current asset. The Company provides an allowance for estimated uncollectible accounts receivable when events or conditions indicate that amounts outstanding are not recoverable.</w:t>
      </w:r>
    </w:p>
    <w:p>
      <w:pPr>
        <w:spacing w:after="0" w:line="185" w:lineRule="exact"/>
        <w:rPr>
          <w:sz w:val="20"/>
          <w:szCs w:val="20"/>
          <w:color w:val="auto"/>
        </w:rPr>
      </w:pPr>
    </w:p>
    <w:p>
      <w:pPr>
        <w:ind w:left="553" w:right="180"/>
        <w:spacing w:after="0" w:line="261" w:lineRule="auto"/>
        <w:rPr>
          <w:sz w:val="20"/>
          <w:szCs w:val="20"/>
          <w:color w:val="auto"/>
        </w:rPr>
      </w:pPr>
      <w:r>
        <w:rPr>
          <w:rFonts w:ascii="Arial" w:cs="Arial" w:eastAsia="Arial" w:hAnsi="Arial"/>
          <w:sz w:val="20"/>
          <w:szCs w:val="20"/>
          <w:b w:val="1"/>
          <w:bCs w:val="1"/>
          <w:color w:val="auto"/>
        </w:rPr>
        <w:t xml:space="preserve">Fair Value </w:t>
      </w:r>
      <w:r>
        <w:rPr>
          <w:rFonts w:ascii="Arial" w:cs="Arial" w:eastAsia="Arial" w:hAnsi="Arial"/>
          <w:sz w:val="20"/>
          <w:szCs w:val="20"/>
          <w:color w:val="auto"/>
        </w:rPr>
        <w:t>—The carrying value of accounts receivable and other financial instruments included in current assets and current liabilities</w:t>
      </w:r>
      <w:r>
        <w:rPr>
          <w:rFonts w:ascii="Arial" w:cs="Arial" w:eastAsia="Arial" w:hAnsi="Arial"/>
          <w:sz w:val="20"/>
          <w:szCs w:val="20"/>
          <w:b w:val="1"/>
          <w:bCs w:val="1"/>
          <w:color w:val="auto"/>
        </w:rPr>
        <w:t xml:space="preserve"> </w:t>
      </w:r>
      <w:r>
        <w:rPr>
          <w:rFonts w:ascii="Arial" w:cs="Arial" w:eastAsia="Arial" w:hAnsi="Arial"/>
          <w:sz w:val="20"/>
          <w:szCs w:val="20"/>
          <w:color w:val="auto"/>
        </w:rPr>
        <w:t>approximates fair value due to the short-term maturities of these instruments.</w:t>
      </w:r>
    </w:p>
    <w:p>
      <w:pPr>
        <w:spacing w:after="0" w:line="167" w:lineRule="exact"/>
        <w:rPr>
          <w:sz w:val="20"/>
          <w:szCs w:val="20"/>
          <w:color w:val="auto"/>
        </w:rPr>
      </w:pPr>
    </w:p>
    <w:p>
      <w:pPr>
        <w:ind w:left="553"/>
        <w:spacing w:after="0" w:line="290" w:lineRule="auto"/>
        <w:rPr>
          <w:sz w:val="20"/>
          <w:szCs w:val="20"/>
          <w:color w:val="auto"/>
        </w:rPr>
      </w:pPr>
      <w:r>
        <w:rPr>
          <w:rFonts w:ascii="Arial" w:cs="Arial" w:eastAsia="Arial" w:hAnsi="Arial"/>
          <w:sz w:val="17"/>
          <w:szCs w:val="17"/>
          <w:b w:val="1"/>
          <w:bCs w:val="1"/>
          <w:color w:val="auto"/>
        </w:rPr>
        <w:t>Liquidation—</w:t>
      </w:r>
      <w:r>
        <w:rPr>
          <w:rFonts w:ascii="Arial" w:cs="Arial" w:eastAsia="Arial" w:hAnsi="Arial"/>
          <w:sz w:val="17"/>
          <w:szCs w:val="17"/>
          <w:color w:val="auto"/>
        </w:rPr>
        <w:t>Based on discussions with the Company’s partners, it was determined that liquidation at TerraSea was imminent as of</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31, 2015. The Company finished dredging operations in October and demobilized in December 2015. Based on completion of the Company’s one project, effective December 31, 2015, the Company applied the liquidation basis of accounting on a prospective basis. The liquidation basis of accounting requires the Company to estimate amounts of cash or other consideration it expects to collect and to accrue all costs associated with implementing and completing the plan of liquidation and requires management to make estimates that affect the amounts reported in the combined financial statements and related notes. To the extent there are any changes in the Company’s December 31, 2015 initial estimates, there will be changes reflected in the Statement of Changes in Net Liabilities in Liquidation.</w:t>
      </w:r>
    </w:p>
    <w:p>
      <w:pPr>
        <w:spacing w:after="0" w:line="153" w:lineRule="exact"/>
        <w:rPr>
          <w:sz w:val="20"/>
          <w:szCs w:val="20"/>
          <w:color w:val="auto"/>
        </w:rPr>
      </w:pPr>
    </w:p>
    <w:p>
      <w:pPr>
        <w:ind w:left="553"/>
        <w:spacing w:after="0"/>
        <w:rPr>
          <w:sz w:val="20"/>
          <w:szCs w:val="20"/>
          <w:color w:val="auto"/>
        </w:rPr>
      </w:pPr>
      <w:r>
        <w:rPr>
          <w:rFonts w:ascii="Arial" w:cs="Arial" w:eastAsia="Arial" w:hAnsi="Arial"/>
          <w:sz w:val="20"/>
          <w:szCs w:val="20"/>
          <w:color w:val="auto"/>
        </w:rPr>
        <w:t>TerraSea completed its final project in 2016 and the Company was dissolved on August 28, 2017.</w:t>
      </w:r>
    </w:p>
    <w:p>
      <w:pPr>
        <w:spacing w:after="0" w:line="210" w:lineRule="exact"/>
        <w:rPr>
          <w:sz w:val="20"/>
          <w:szCs w:val="20"/>
          <w:color w:val="auto"/>
        </w:rPr>
      </w:pPr>
    </w:p>
    <w:p>
      <w:pPr>
        <w:ind w:left="553" w:right="800"/>
        <w:spacing w:after="0" w:line="310" w:lineRule="auto"/>
        <w:rPr>
          <w:sz w:val="20"/>
          <w:szCs w:val="20"/>
          <w:color w:val="auto"/>
        </w:rPr>
      </w:pPr>
      <w:r>
        <w:rPr>
          <w:rFonts w:ascii="Arial" w:cs="Arial" w:eastAsia="Arial" w:hAnsi="Arial"/>
          <w:sz w:val="18"/>
          <w:szCs w:val="18"/>
          <w:color w:val="auto"/>
        </w:rPr>
        <w:t>The financial statements for the year ended December 31, 2015, were prepared on the going concern basis of accounting, which contemplates the realization of assets and satisfaction of liabilities in the normal course of business.</w:t>
      </w:r>
    </w:p>
    <w:p>
      <w:pPr>
        <w:spacing w:after="0" w:line="126" w:lineRule="exact"/>
        <w:rPr>
          <w:sz w:val="20"/>
          <w:szCs w:val="20"/>
          <w:color w:val="auto"/>
        </w:rPr>
      </w:pPr>
    </w:p>
    <w:p>
      <w:pPr>
        <w:ind w:left="413" w:hanging="413"/>
        <w:spacing w:after="0"/>
        <w:tabs>
          <w:tab w:leader="none" w:pos="413"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color w:val="auto"/>
        </w:rPr>
        <w:t>CUMULATIVE EFFECT OF ACCOUNTING CHANGE/NET LIABILITIES IN LIQUIDATION</w:t>
      </w:r>
    </w:p>
    <w:p>
      <w:pPr>
        <w:spacing w:after="0" w:line="216" w:lineRule="exact"/>
        <w:rPr>
          <w:rFonts w:ascii="Arial" w:cs="Arial" w:eastAsia="Arial" w:hAnsi="Arial"/>
          <w:sz w:val="20"/>
          <w:szCs w:val="20"/>
          <w:b w:val="1"/>
          <w:bCs w:val="1"/>
          <w:color w:val="auto"/>
        </w:rPr>
      </w:pPr>
    </w:p>
    <w:p>
      <w:pPr>
        <w:ind w:left="413" w:right="80"/>
        <w:spacing w:after="0" w:line="255" w:lineRule="auto"/>
        <w:rPr>
          <w:rFonts w:ascii="Arial" w:cs="Arial" w:eastAsia="Arial" w:hAnsi="Arial"/>
          <w:sz w:val="20"/>
          <w:szCs w:val="20"/>
          <w:b w:val="1"/>
          <w:bCs w:val="1"/>
          <w:color w:val="auto"/>
        </w:rPr>
      </w:pPr>
      <w:r>
        <w:rPr>
          <w:rFonts w:ascii="Arial" w:cs="Arial" w:eastAsia="Arial" w:hAnsi="Arial"/>
          <w:sz w:val="20"/>
          <w:szCs w:val="20"/>
          <w:color w:val="auto"/>
        </w:rPr>
        <w:t>The following is a reconciliation of Members’ Deficit under the going concern basis of accounting to net liabilities in liquidation under the liquidation basis of accounting as of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246380</wp:posOffset>
            </wp:positionV>
            <wp:extent cx="729043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53"/>
          </w:cols>
          <w:pgMar w:left="247" w:top="336" w:right="29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156845</wp:posOffset>
            </wp:positionH>
            <wp:positionV relativeFrom="page">
              <wp:posOffset>224155</wp:posOffset>
            </wp:positionV>
            <wp:extent cx="7248525" cy="144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5">
                      <a:extLst>
                        <a:ext uri="{28A0092B-C50C-407E-A947-70E740481C1C}"/>
                      </a:extLst>
                    </a:blip>
                    <a:srcRect/>
                    <a:stretch>
                      <a:fillRect/>
                    </a:stretch>
                  </pic:blipFill>
                  <pic:spPr bwMode="auto">
                    <a:xfrm>
                      <a:off x="0" y="0"/>
                      <a:ext cx="7248525" cy="144145"/>
                    </a:xfrm>
                    <a:prstGeom prst="rect">
                      <a:avLst/>
                    </a:prstGeom>
                    <a:noFill/>
                  </pic:spPr>
                </pic:pic>
              </a:graphicData>
            </a:graphic>
          </wp:anchor>
        </w:drawing>
        <w:t>Members' Deficit as of December 31, 2015</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Increase due to claims on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144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6">
                      <a:extLst>
                        <a:ext uri="{28A0092B-C50C-407E-A947-70E740481C1C}"/>
                      </a:extLst>
                    </a:blip>
                    <a:srcRect/>
                    <a:stretch>
                      <a:fillRect/>
                    </a:stretch>
                  </pic:blipFill>
                  <pic:spPr bwMode="auto">
                    <a:xfrm>
                      <a:off x="0" y="0"/>
                      <a:ext cx="7248525" cy="144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Liability for accrued estimated disposal costs of liquidation</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Adjustments to reflect the change to the liquidation basis of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248525" cy="1606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7">
                      <a:extLst>
                        <a:ext uri="{28A0092B-C50C-407E-A947-70E740481C1C}"/>
                      </a:extLst>
                    </a:blip>
                    <a:srcRect/>
                    <a:stretch>
                      <a:fillRect/>
                    </a:stretch>
                  </pic:blipFill>
                  <pic:spPr bwMode="auto">
                    <a:xfrm>
                      <a:off x="0" y="0"/>
                      <a:ext cx="7248525" cy="160655"/>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Estimated value of net liabilities in liquidation as of December 31, 2015</w:t>
      </w:r>
    </w:p>
    <w:p>
      <w:pPr>
        <w:spacing w:after="0" w:line="20" w:lineRule="exact"/>
        <w:rPr>
          <w:sz w:val="20"/>
          <w:szCs w:val="20"/>
          <w:color w:val="auto"/>
        </w:rPr>
      </w:pPr>
      <w:r>
        <w:rPr>
          <w:sz w:val="20"/>
          <w:szCs w:val="20"/>
          <w:color w:val="auto"/>
        </w:rPr>
        <w:br w:type="column"/>
      </w:r>
    </w:p>
    <w:p>
      <w:pPr>
        <w:ind w:left="1086" w:hanging="1086"/>
        <w:spacing w:after="0"/>
        <w:tabs>
          <w:tab w:leader="none" w:pos="1086" w:val="left"/>
        </w:tabs>
        <w:numPr>
          <w:ilvl w:val="0"/>
          <w:numId w:val="55"/>
        </w:numPr>
        <w:rPr>
          <w:rFonts w:ascii="Arial" w:cs="Arial" w:eastAsia="Arial" w:hAnsi="Arial"/>
          <w:sz w:val="16"/>
          <w:szCs w:val="16"/>
          <w:color w:val="auto"/>
        </w:rPr>
      </w:pPr>
      <w:r>
        <w:rPr>
          <w:rFonts w:ascii="Arial" w:cs="Arial" w:eastAsia="Arial" w:hAnsi="Arial"/>
          <w:sz w:val="16"/>
          <w:szCs w:val="16"/>
          <w:color w:val="auto"/>
        </w:rPr>
        <w:t>(24,515)</w:t>
      </w:r>
    </w:p>
    <w:p>
      <w:pPr>
        <w:spacing w:after="0" w:line="42" w:lineRule="exact"/>
        <w:rPr>
          <w:rFonts w:ascii="Arial" w:cs="Arial" w:eastAsia="Arial" w:hAnsi="Arial"/>
          <w:sz w:val="16"/>
          <w:szCs w:val="16"/>
          <w:color w:val="auto"/>
        </w:rPr>
      </w:pPr>
    </w:p>
    <w:p>
      <w:pPr>
        <w:ind w:left="1366"/>
        <w:spacing w:after="0"/>
        <w:rPr>
          <w:rFonts w:ascii="Arial" w:cs="Arial" w:eastAsia="Arial" w:hAnsi="Arial"/>
          <w:sz w:val="16"/>
          <w:szCs w:val="16"/>
          <w:color w:val="auto"/>
        </w:rPr>
      </w:pPr>
      <w:r>
        <w:rPr>
          <w:rFonts w:ascii="Arial" w:cs="Arial" w:eastAsia="Arial" w:hAnsi="Arial"/>
          <w:sz w:val="18"/>
          <w:szCs w:val="18"/>
          <w:color w:val="auto"/>
        </w:rPr>
        <w:t>740</w:t>
      </w:r>
    </w:p>
    <w:p>
      <w:pPr>
        <w:spacing w:after="0" w:line="20" w:lineRule="exact"/>
        <w:rPr>
          <w:sz w:val="20"/>
          <w:szCs w:val="20"/>
          <w:color w:val="auto"/>
        </w:rPr>
      </w:pPr>
    </w:p>
    <w:p>
      <w:pPr>
        <w:ind w:left="1306"/>
        <w:spacing w:after="0"/>
        <w:rPr>
          <w:sz w:val="20"/>
          <w:szCs w:val="20"/>
          <w:color w:val="auto"/>
        </w:rPr>
      </w:pPr>
      <w:r>
        <w:rPr>
          <w:rFonts w:ascii="Arial" w:cs="Arial" w:eastAsia="Arial" w:hAnsi="Arial"/>
          <w:sz w:val="17"/>
          <w:szCs w:val="17"/>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10414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8">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spacing w:after="0" w:line="25" w:lineRule="exact"/>
        <w:rPr>
          <w:sz w:val="20"/>
          <w:szCs w:val="20"/>
          <w:color w:val="auto"/>
        </w:rPr>
      </w:pPr>
    </w:p>
    <w:p>
      <w:pPr>
        <w:ind w:left="1366"/>
        <w:spacing w:after="0"/>
        <w:rPr>
          <w:sz w:val="20"/>
          <w:szCs w:val="20"/>
          <w:color w:val="auto"/>
        </w:rPr>
      </w:pPr>
      <w:r>
        <w:rPr>
          <w:rFonts w:ascii="Arial" w:cs="Arial" w:eastAsia="Arial" w:hAnsi="Arial"/>
          <w:sz w:val="18"/>
          <w:szCs w:val="18"/>
          <w:color w:val="auto"/>
        </w:rPr>
        <w:t>548</w:t>
      </w:r>
    </w:p>
    <w:p>
      <w:pPr>
        <w:spacing w:after="0" w:line="33" w:lineRule="exact"/>
        <w:rPr>
          <w:sz w:val="20"/>
          <w:szCs w:val="20"/>
          <w:color w:val="auto"/>
        </w:rPr>
      </w:pPr>
    </w:p>
    <w:p>
      <w:pPr>
        <w:ind w:left="1086" w:hanging="1086"/>
        <w:spacing w:after="0"/>
        <w:tabs>
          <w:tab w:leader="none" w:pos="1086" w:val="left"/>
        </w:tabs>
        <w:numPr>
          <w:ilvl w:val="0"/>
          <w:numId w:val="56"/>
        </w:numPr>
        <w:rPr>
          <w:rFonts w:ascii="Arial" w:cs="Arial" w:eastAsia="Arial" w:hAnsi="Arial"/>
          <w:sz w:val="16"/>
          <w:szCs w:val="16"/>
          <w:color w:val="auto"/>
        </w:rPr>
      </w:pPr>
      <w:r>
        <w:rPr>
          <w:rFonts w:ascii="Arial" w:cs="Arial" w:eastAsia="Arial" w:hAnsi="Arial"/>
          <w:sz w:val="16"/>
          <w:szCs w:val="16"/>
          <w:color w:val="auto"/>
        </w:rPr>
        <w:t>(23,967)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10414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9">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54" w:space="720"/>
            <w:col w:w="1706"/>
          </w:cols>
          <w:pgMar w:left="240" w:top="354" w:right="279" w:bottom="1440" w:gutter="0" w:footer="0" w:header="0"/>
        </w:sectPr>
      </w:pPr>
    </w:p>
    <w:p>
      <w:pPr>
        <w:spacing w:after="0" w:line="78" w:lineRule="exact"/>
        <w:rPr>
          <w:sz w:val="20"/>
          <w:szCs w:val="20"/>
          <w:color w:val="auto"/>
        </w:rPr>
      </w:pPr>
    </w:p>
    <w:p>
      <w:pPr>
        <w:ind w:left="420" w:right="120"/>
        <w:spacing w:after="0" w:line="242" w:lineRule="auto"/>
        <w:rPr>
          <w:sz w:val="20"/>
          <w:szCs w:val="20"/>
          <w:color w:val="auto"/>
        </w:rPr>
      </w:pPr>
      <w:r>
        <w:rPr>
          <w:rFonts w:ascii="Arial" w:cs="Arial" w:eastAsia="Arial" w:hAnsi="Arial"/>
          <w:sz w:val="20"/>
          <w:szCs w:val="20"/>
          <w:color w:val="auto"/>
        </w:rPr>
        <w:t>In applying liquidation basis of accounting, the Company recognized a decrease of $548 in its estimated value of net liabilities in liquidation. This estimated value of net liabilities in liquidation includes projections of costs and expenses to be incurred during the time it takes to complete the plan of liquidation. There is inherent uncertainty with these projects, and they could change materially based on the timing of the completion of all the steps necessary for the liquidation.</w:t>
      </w:r>
    </w:p>
    <w:p>
      <w:pPr>
        <w:spacing w:after="0" w:line="1"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8"/>
          <w:szCs w:val="18"/>
          <w:b w:val="1"/>
          <w:bCs w:val="1"/>
          <w:color w:val="auto"/>
        </w:rPr>
        <w:t>MAJOR CUSTOMERS AND CONCENTRATIONS OF RISK</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20"/>
          <w:szCs w:val="20"/>
          <w:color w:val="auto"/>
        </w:rPr>
        <w:t>The Company had one customer that represented 99.2% of contract revenues in 2015.</w:t>
      </w:r>
    </w:p>
    <w:p>
      <w:pPr>
        <w:spacing w:after="0" w:line="204"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4.</w:t>
        <w:tab/>
        <w:t>COMMITMENTS AND CONTINGENCIES</w:t>
      </w:r>
    </w:p>
    <w:p>
      <w:pPr>
        <w:spacing w:after="0" w:line="216" w:lineRule="exact"/>
        <w:rPr>
          <w:sz w:val="20"/>
          <w:szCs w:val="20"/>
          <w:color w:val="auto"/>
        </w:rPr>
      </w:pPr>
    </w:p>
    <w:p>
      <w:pPr>
        <w:ind w:left="540" w:right="440"/>
        <w:spacing w:after="0" w:line="255" w:lineRule="auto"/>
        <w:rPr>
          <w:sz w:val="20"/>
          <w:szCs w:val="20"/>
          <w:color w:val="auto"/>
        </w:rPr>
      </w:pPr>
      <w:r>
        <w:rPr>
          <w:rFonts w:ascii="Arial" w:cs="Arial" w:eastAsia="Arial" w:hAnsi="Arial"/>
          <w:sz w:val="20"/>
          <w:szCs w:val="20"/>
          <w:color w:val="auto"/>
        </w:rPr>
        <w:t>Commitments include the usual obligations of construction contractors for completion of contracts and those incurred in the ordinary course of business.</w:t>
      </w:r>
    </w:p>
    <w:p>
      <w:pPr>
        <w:spacing w:after="0" w:line="172" w:lineRule="exact"/>
        <w:rPr>
          <w:sz w:val="20"/>
          <w:szCs w:val="20"/>
          <w:color w:val="auto"/>
        </w:rPr>
      </w:pPr>
    </w:p>
    <w:p>
      <w:pPr>
        <w:ind w:left="60"/>
        <w:spacing w:after="0" w:line="230" w:lineRule="exact"/>
        <w:tabs>
          <w:tab w:leader="none" w:pos="400" w:val="left"/>
        </w:tabs>
        <w:rPr>
          <w:sz w:val="20"/>
          <w:szCs w:val="20"/>
          <w:color w:val="auto"/>
        </w:rPr>
      </w:pPr>
      <w:r>
        <w:rPr>
          <w:rFonts w:ascii="Arial" w:cs="Arial" w:eastAsia="Arial" w:hAnsi="Arial"/>
          <w:sz w:val="20"/>
          <w:szCs w:val="20"/>
          <w:b w:val="1"/>
          <w:bCs w:val="1"/>
          <w:color w:val="auto"/>
        </w:rPr>
        <w:t>5.</w:t>
      </w:r>
      <w:r>
        <w:rPr>
          <w:sz w:val="20"/>
          <w:szCs w:val="20"/>
          <w:color w:val="auto"/>
        </w:rPr>
        <w:tab/>
      </w:r>
      <w:r>
        <w:rPr>
          <w:rFonts w:ascii="Arial" w:cs="Arial" w:eastAsia="Arial" w:hAnsi="Arial"/>
          <w:sz w:val="18"/>
          <w:szCs w:val="18"/>
          <w:b w:val="1"/>
          <w:bCs w:val="1"/>
          <w:color w:val="auto"/>
        </w:rPr>
        <w:t>RELATED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PARTY TRANSACTIONS</w:t>
      </w:r>
    </w:p>
    <w:p>
      <w:pPr>
        <w:spacing w:after="0" w:line="216" w:lineRule="exact"/>
        <w:rPr>
          <w:sz w:val="20"/>
          <w:szCs w:val="20"/>
          <w:color w:val="auto"/>
        </w:rPr>
      </w:pPr>
    </w:p>
    <w:p>
      <w:pPr>
        <w:ind w:left="560" w:right="20"/>
        <w:spacing w:after="0" w:line="241" w:lineRule="auto"/>
        <w:rPr>
          <w:sz w:val="20"/>
          <w:szCs w:val="20"/>
          <w:color w:val="auto"/>
        </w:rPr>
      </w:pPr>
      <w:r>
        <w:rPr>
          <w:rFonts w:ascii="Arial" w:cs="Arial" w:eastAsia="Arial" w:hAnsi="Arial"/>
          <w:sz w:val="20"/>
          <w:szCs w:val="20"/>
          <w:color w:val="auto"/>
        </w:rPr>
        <w:t>The Company has no direct employees and pays no invoices directly, so each member incurs expenses on behalf of TerraSea and recharges the costs to the joint venture. Since inception, the Company received advances of $24,693 as of December 31, 2016, from Great Lakes and $593 as of December 31, 2016 from ERH, net of funds retained by members from project receivables collections, to fund working capital needs of TerraSea. The outstanding balance is shown as advances from members in the statement of net liabilities in liquidation.</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20"/>
          <w:szCs w:val="20"/>
          <w:color w:val="auto"/>
        </w:rPr>
        <w:t>All advances from Great Lakes and ERH have been settled as of August 28, 2017.</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 * * *</w:t>
      </w:r>
    </w:p>
    <w:p>
      <w:pPr>
        <w:sectPr>
          <w:pgSz w:w="11900" w:h="16838" w:orient="portrait"/>
          <w:cols w:equalWidth="0" w:num="1">
            <w:col w:w="11380"/>
          </w:cols>
          <w:pgMar w:left="240" w:top="354" w:right="279" w:bottom="1440" w:gutter="0" w:footer="0" w:header="0"/>
          <w:type w:val="continuous"/>
        </w:sectPr>
      </w:pPr>
    </w:p>
    <w:bookmarkStart w:id="152" w:name="page153"/>
    <w:bookmarkEnd w:id="152"/>
    <w:p>
      <w:pPr>
        <w:jc w:val="right"/>
        <w:spacing w:after="0"/>
        <w:rPr>
          <w:sz w:val="20"/>
          <w:szCs w:val="20"/>
          <w:color w:val="auto"/>
        </w:rPr>
      </w:pPr>
      <w:r>
        <w:rPr>
          <w:rFonts w:ascii="Arial" w:cs="Arial" w:eastAsia="Arial" w:hAnsi="Arial"/>
          <w:sz w:val="20"/>
          <w:szCs w:val="20"/>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80"/>
        <w:spacing w:after="0"/>
        <w:rPr>
          <w:sz w:val="20"/>
          <w:szCs w:val="20"/>
          <w:color w:val="auto"/>
        </w:rPr>
      </w:pPr>
      <w:r>
        <w:rPr>
          <w:rFonts w:ascii="Arial" w:cs="Arial" w:eastAsia="Arial" w:hAnsi="Arial"/>
          <w:sz w:val="21"/>
          <w:szCs w:val="21"/>
          <w:b w:val="1"/>
          <w:bCs w:val="1"/>
          <w:color w:val="auto"/>
        </w:rPr>
        <w:t>Amboy Aggregates Joint Venture and Subsidiaries</w:t>
      </w:r>
    </w:p>
    <w:p>
      <w:pPr>
        <w:spacing w:after="0" w:line="212"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Consolidated Financial Statements</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and Independent Auditor's Reports</w:t>
      </w:r>
    </w:p>
    <w:p>
      <w:pPr>
        <w:spacing w:after="0" w:line="186" w:lineRule="exact"/>
        <w:rPr>
          <w:sz w:val="20"/>
          <w:szCs w:val="20"/>
          <w:color w:val="auto"/>
        </w:rPr>
      </w:pPr>
    </w:p>
    <w:p>
      <w:pPr>
        <w:jc w:val="center"/>
        <w:ind w:right="40"/>
        <w:spacing w:after="0" w:line="259" w:lineRule="auto"/>
        <w:rPr>
          <w:sz w:val="20"/>
          <w:szCs w:val="20"/>
          <w:color w:val="auto"/>
        </w:rPr>
      </w:pPr>
      <w:r>
        <w:rPr>
          <w:rFonts w:ascii="Arial" w:cs="Arial" w:eastAsia="Arial" w:hAnsi="Arial"/>
          <w:sz w:val="21"/>
          <w:szCs w:val="21"/>
          <w:b w:val="1"/>
          <w:bCs w:val="1"/>
          <w:color w:val="auto"/>
        </w:rPr>
        <w:t>As of December 31, 2016 (unaudited) and for the Period from January 1, 2017 to December 29, 2017 (unaudited), the Year Ended December 31, 2016 (unaudited) and for the Periods from January 1, 2015 to June 30, 2015 and July 1, 2015 to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578485</wp:posOffset>
            </wp:positionV>
            <wp:extent cx="729043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60"/>
          </w:cols>
          <w:pgMar w:left="300" w:top="330" w:right="2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83"/>
        </w:trPr>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80" w:type="dxa"/>
            <w:vAlign w:val="bottom"/>
            <w:gridSpan w:val="7"/>
          </w:tcPr>
          <w:p>
            <w:pPr>
              <w:jc w:val="center"/>
              <w:ind w:right="2873"/>
              <w:spacing w:after="0"/>
              <w:rPr>
                <w:sz w:val="20"/>
                <w:szCs w:val="20"/>
                <w:color w:val="auto"/>
              </w:rPr>
            </w:pPr>
            <w:r>
              <w:rPr>
                <w:rFonts w:ascii="Arial" w:cs="Arial" w:eastAsia="Arial" w:hAnsi="Arial"/>
                <w:sz w:val="21"/>
                <w:szCs w:val="21"/>
                <w:b w:val="1"/>
                <w:bCs w:val="1"/>
                <w:color w:val="auto"/>
              </w:rPr>
              <w:t>Amboy Aggregates Joint Venture and Subsidiaries</w:t>
            </w:r>
          </w:p>
        </w:tc>
      </w:tr>
      <w:tr>
        <w:trPr>
          <w:trHeight w:val="829"/>
        </w:trPr>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21"/>
                <w:szCs w:val="21"/>
                <w:color w:val="auto"/>
              </w:rPr>
              <w:t>Index</w:t>
            </w:r>
          </w:p>
        </w:tc>
        <w:tc>
          <w:tcPr>
            <w:tcW w:w="82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860"/>
        </w:trPr>
        <w:tc>
          <w:tcPr>
            <w:tcW w:w="1460" w:type="dxa"/>
            <w:vAlign w:val="bottom"/>
          </w:tcPr>
          <w:p>
            <w:pPr>
              <w:spacing w:after="0"/>
              <w:rPr>
                <w:sz w:val="24"/>
                <w:szCs w:val="2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21"/>
                <w:szCs w:val="21"/>
                <w:color w:val="auto"/>
                <w:w w:val="97"/>
              </w:rPr>
              <w:t>Page</w:t>
            </w:r>
          </w:p>
        </w:tc>
        <w:tc>
          <w:tcPr>
            <w:tcW w:w="10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484"/>
        </w:trPr>
        <w:tc>
          <w:tcPr>
            <w:tcW w:w="2960" w:type="dxa"/>
            <w:vAlign w:val="bottom"/>
            <w:gridSpan w:val="3"/>
          </w:tcPr>
          <w:p>
            <w:pPr>
              <w:spacing w:after="0"/>
              <w:rPr>
                <w:sz w:val="20"/>
                <w:szCs w:val="20"/>
                <w:color w:val="auto"/>
              </w:rPr>
            </w:pPr>
            <w:r>
              <w:rPr>
                <w:rFonts w:ascii="Arial" w:cs="Arial" w:eastAsia="Arial" w:hAnsi="Arial"/>
                <w:sz w:val="21"/>
                <w:szCs w:val="21"/>
                <w:color w:val="auto"/>
              </w:rPr>
              <w:t>Independent Auditor's Report</w:t>
            </w:r>
          </w:p>
        </w:tc>
        <w:tc>
          <w:tcPr>
            <w:tcW w:w="1380" w:type="dxa"/>
            <w:vAlign w:val="bottom"/>
          </w:tcPr>
          <w:p>
            <w:pPr>
              <w:jc w:val="right"/>
              <w:ind w:right="513"/>
              <w:spacing w:after="0"/>
              <w:rPr>
                <w:sz w:val="20"/>
                <w:szCs w:val="20"/>
                <w:color w:val="auto"/>
              </w:rPr>
            </w:pPr>
            <w:r>
              <w:rPr>
                <w:rFonts w:ascii="Arial" w:cs="Arial" w:eastAsia="Arial" w:hAnsi="Arial"/>
                <w:sz w:val="21"/>
                <w:szCs w:val="21"/>
                <w:color w:val="auto"/>
              </w:rPr>
              <w:t>2-3</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453"/>
        </w:trPr>
        <w:tc>
          <w:tcPr>
            <w:tcW w:w="7160" w:type="dxa"/>
            <w:vAlign w:val="bottom"/>
            <w:gridSpan w:val="9"/>
          </w:tcPr>
          <w:p>
            <w:pPr>
              <w:spacing w:after="0"/>
              <w:rPr>
                <w:sz w:val="20"/>
                <w:szCs w:val="20"/>
                <w:color w:val="auto"/>
              </w:rPr>
            </w:pPr>
            <w:r>
              <w:rPr>
                <w:rFonts w:ascii="Arial" w:cs="Arial" w:eastAsia="Arial" w:hAnsi="Arial"/>
                <w:sz w:val="21"/>
                <w:szCs w:val="21"/>
                <w:color w:val="auto"/>
              </w:rPr>
              <w:t>Consolidated Statements of Net Assets in Liquidation (Liquidation Basis)</w:t>
            </w:r>
          </w:p>
        </w:tc>
        <w:tc>
          <w:tcPr>
            <w:tcW w:w="4280" w:type="dxa"/>
            <w:vAlign w:val="bottom"/>
          </w:tcPr>
          <w:p>
            <w:pPr>
              <w:jc w:val="right"/>
              <w:ind w:right="3733"/>
              <w:spacing w:after="0"/>
              <w:rPr>
                <w:sz w:val="20"/>
                <w:szCs w:val="20"/>
                <w:color w:val="auto"/>
              </w:rPr>
            </w:pPr>
            <w:r>
              <w:rPr>
                <w:rFonts w:ascii="Arial" w:cs="Arial" w:eastAsia="Arial" w:hAnsi="Arial"/>
                <w:sz w:val="21"/>
                <w:szCs w:val="21"/>
                <w:color w:val="auto"/>
              </w:rPr>
              <w:t>4</w:t>
            </w:r>
          </w:p>
        </w:tc>
      </w:tr>
      <w:tr>
        <w:trPr>
          <w:trHeight w:val="436"/>
        </w:trPr>
        <w:tc>
          <w:tcPr>
            <w:tcW w:w="6340" w:type="dxa"/>
            <w:vAlign w:val="bottom"/>
            <w:gridSpan w:val="8"/>
          </w:tcPr>
          <w:p>
            <w:pPr>
              <w:spacing w:after="0"/>
              <w:rPr>
                <w:sz w:val="20"/>
                <w:szCs w:val="20"/>
                <w:color w:val="auto"/>
              </w:rPr>
            </w:pPr>
            <w:r>
              <w:rPr>
                <w:rFonts w:ascii="Arial" w:cs="Arial" w:eastAsia="Arial" w:hAnsi="Arial"/>
                <w:sz w:val="21"/>
                <w:szCs w:val="21"/>
                <w:color w:val="auto"/>
              </w:rPr>
              <w:t>Consolidated Statements of Changes in Net Assets</w:t>
            </w:r>
          </w:p>
        </w:tc>
        <w:tc>
          <w:tcPr>
            <w:tcW w:w="82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257"/>
        </w:trPr>
        <w:tc>
          <w:tcPr>
            <w:tcW w:w="4340" w:type="dxa"/>
            <w:vAlign w:val="bottom"/>
            <w:gridSpan w:val="4"/>
          </w:tcPr>
          <w:p>
            <w:pPr>
              <w:ind w:left="820"/>
              <w:spacing w:after="0"/>
              <w:rPr>
                <w:sz w:val="20"/>
                <w:szCs w:val="20"/>
                <w:color w:val="auto"/>
              </w:rPr>
            </w:pPr>
            <w:r>
              <w:rPr>
                <w:rFonts w:ascii="Arial" w:cs="Arial" w:eastAsia="Arial" w:hAnsi="Arial"/>
                <w:sz w:val="21"/>
                <w:szCs w:val="21"/>
                <w:color w:val="auto"/>
              </w:rPr>
              <w:t>in Liquidation (Liquidation Basis)</w:t>
            </w:r>
          </w:p>
        </w:tc>
        <w:tc>
          <w:tcPr>
            <w:tcW w:w="380" w:type="dxa"/>
            <w:vAlign w:val="bottom"/>
          </w:tcPr>
          <w:p>
            <w:pPr>
              <w:jc w:val="right"/>
              <w:spacing w:after="0"/>
              <w:rPr>
                <w:sz w:val="20"/>
                <w:szCs w:val="20"/>
                <w:color w:val="auto"/>
              </w:rPr>
            </w:pPr>
            <w:r>
              <w:rPr>
                <w:rFonts w:ascii="Arial" w:cs="Arial" w:eastAsia="Arial" w:hAnsi="Arial"/>
                <w:sz w:val="21"/>
                <w:szCs w:val="21"/>
                <w:color w:val="auto"/>
              </w:rPr>
              <w:t>5</w:t>
            </w: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280" w:type="dxa"/>
            <w:vAlign w:val="bottom"/>
          </w:tcPr>
          <w:p>
            <w:pPr>
              <w:spacing w:after="0"/>
              <w:rPr>
                <w:sz w:val="22"/>
                <w:szCs w:val="22"/>
                <w:color w:val="auto"/>
              </w:rPr>
            </w:pPr>
          </w:p>
        </w:tc>
      </w:tr>
      <w:tr>
        <w:trPr>
          <w:trHeight w:val="436"/>
        </w:trPr>
        <w:tc>
          <w:tcPr>
            <w:tcW w:w="4340" w:type="dxa"/>
            <w:vAlign w:val="bottom"/>
            <w:gridSpan w:val="4"/>
          </w:tcPr>
          <w:p>
            <w:pPr>
              <w:spacing w:after="0"/>
              <w:rPr>
                <w:sz w:val="20"/>
                <w:szCs w:val="20"/>
                <w:color w:val="auto"/>
              </w:rPr>
            </w:pPr>
            <w:r>
              <w:rPr>
                <w:rFonts w:ascii="Arial" w:cs="Arial" w:eastAsia="Arial" w:hAnsi="Arial"/>
                <w:sz w:val="21"/>
                <w:szCs w:val="21"/>
                <w:color w:val="auto"/>
              </w:rPr>
              <w:t>Consolidated Statements of Operations and</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257"/>
        </w:trPr>
        <w:tc>
          <w:tcPr>
            <w:tcW w:w="4720" w:type="dxa"/>
            <w:vAlign w:val="bottom"/>
            <w:gridSpan w:val="5"/>
          </w:tcPr>
          <w:p>
            <w:pPr>
              <w:ind w:left="820"/>
              <w:spacing w:after="0"/>
              <w:rPr>
                <w:sz w:val="20"/>
                <w:szCs w:val="20"/>
                <w:color w:val="auto"/>
              </w:rPr>
            </w:pPr>
            <w:r>
              <w:rPr>
                <w:rFonts w:ascii="Arial" w:cs="Arial" w:eastAsia="Arial" w:hAnsi="Arial"/>
                <w:sz w:val="21"/>
                <w:szCs w:val="21"/>
                <w:color w:val="auto"/>
              </w:rPr>
              <w:t>Partners' Capital (Going Concern Basis)</w:t>
            </w:r>
          </w:p>
        </w:tc>
        <w:tc>
          <w:tcPr>
            <w:tcW w:w="740" w:type="dxa"/>
            <w:vAlign w:val="bottom"/>
          </w:tcPr>
          <w:p>
            <w:pPr>
              <w:jc w:val="right"/>
              <w:spacing w:after="0"/>
              <w:rPr>
                <w:sz w:val="20"/>
                <w:szCs w:val="20"/>
                <w:color w:val="auto"/>
              </w:rPr>
            </w:pPr>
            <w:r>
              <w:rPr>
                <w:rFonts w:ascii="Arial" w:cs="Arial" w:eastAsia="Arial" w:hAnsi="Arial"/>
                <w:sz w:val="21"/>
                <w:szCs w:val="21"/>
                <w:color w:val="auto"/>
              </w:rPr>
              <w:t>6</w:t>
            </w:r>
          </w:p>
        </w:tc>
        <w:tc>
          <w:tcPr>
            <w:tcW w:w="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280" w:type="dxa"/>
            <w:vAlign w:val="bottom"/>
          </w:tcPr>
          <w:p>
            <w:pPr>
              <w:spacing w:after="0"/>
              <w:rPr>
                <w:sz w:val="22"/>
                <w:szCs w:val="22"/>
                <w:color w:val="auto"/>
              </w:rPr>
            </w:pPr>
          </w:p>
        </w:tc>
      </w:tr>
      <w:tr>
        <w:trPr>
          <w:trHeight w:val="453"/>
        </w:trPr>
        <w:tc>
          <w:tcPr>
            <w:tcW w:w="6340" w:type="dxa"/>
            <w:vAlign w:val="bottom"/>
            <w:gridSpan w:val="8"/>
          </w:tcPr>
          <w:p>
            <w:pPr>
              <w:spacing w:after="0"/>
              <w:rPr>
                <w:sz w:val="20"/>
                <w:szCs w:val="20"/>
                <w:color w:val="auto"/>
              </w:rPr>
            </w:pPr>
            <w:r>
              <w:rPr>
                <w:rFonts w:ascii="Arial" w:cs="Arial" w:eastAsia="Arial" w:hAnsi="Arial"/>
                <w:sz w:val="21"/>
                <w:szCs w:val="21"/>
                <w:color w:val="auto"/>
              </w:rPr>
              <w:t>Consolidated Statements of Cash Flows (Going Concern Basis)</w:t>
            </w:r>
          </w:p>
        </w:tc>
        <w:tc>
          <w:tcPr>
            <w:tcW w:w="820" w:type="dxa"/>
            <w:vAlign w:val="bottom"/>
          </w:tcPr>
          <w:p>
            <w:pPr>
              <w:jc w:val="right"/>
              <w:ind w:right="273"/>
              <w:spacing w:after="0"/>
              <w:rPr>
                <w:sz w:val="20"/>
                <w:szCs w:val="20"/>
                <w:color w:val="auto"/>
              </w:rPr>
            </w:pPr>
            <w:r>
              <w:rPr>
                <w:rFonts w:ascii="Arial" w:cs="Arial" w:eastAsia="Arial" w:hAnsi="Arial"/>
                <w:sz w:val="21"/>
                <w:szCs w:val="21"/>
                <w:color w:val="auto"/>
              </w:rPr>
              <w:t>7</w:t>
            </w:r>
          </w:p>
        </w:tc>
        <w:tc>
          <w:tcPr>
            <w:tcW w:w="4280" w:type="dxa"/>
            <w:vAlign w:val="bottom"/>
          </w:tcPr>
          <w:p>
            <w:pPr>
              <w:spacing w:after="0"/>
              <w:rPr>
                <w:sz w:val="24"/>
                <w:szCs w:val="24"/>
                <w:color w:val="auto"/>
              </w:rPr>
            </w:pPr>
          </w:p>
        </w:tc>
      </w:tr>
      <w:tr>
        <w:trPr>
          <w:trHeight w:val="453"/>
        </w:trPr>
        <w:tc>
          <w:tcPr>
            <w:tcW w:w="4340" w:type="dxa"/>
            <w:vAlign w:val="bottom"/>
            <w:gridSpan w:val="4"/>
          </w:tcPr>
          <w:p>
            <w:pPr>
              <w:spacing w:after="0"/>
              <w:rPr>
                <w:sz w:val="20"/>
                <w:szCs w:val="20"/>
                <w:color w:val="auto"/>
              </w:rPr>
            </w:pPr>
            <w:r>
              <w:rPr>
                <w:rFonts w:ascii="Arial" w:cs="Arial" w:eastAsia="Arial" w:hAnsi="Arial"/>
                <w:sz w:val="21"/>
                <w:szCs w:val="21"/>
                <w:color w:val="auto"/>
              </w:rPr>
              <w:t>Notes to Consolidated Financial Statements</w:t>
            </w:r>
          </w:p>
        </w:tc>
        <w:tc>
          <w:tcPr>
            <w:tcW w:w="380" w:type="dxa"/>
            <w:vAlign w:val="bottom"/>
          </w:tcPr>
          <w:p>
            <w:pPr>
              <w:spacing w:after="0"/>
              <w:rPr>
                <w:sz w:val="24"/>
                <w:szCs w:val="24"/>
                <w:color w:val="auto"/>
              </w:rPr>
            </w:pPr>
          </w:p>
        </w:tc>
        <w:tc>
          <w:tcPr>
            <w:tcW w:w="740" w:type="dxa"/>
            <w:vAlign w:val="bottom"/>
          </w:tcPr>
          <w:p>
            <w:pPr>
              <w:jc w:val="right"/>
              <w:ind w:right="133"/>
              <w:spacing w:after="0"/>
              <w:rPr>
                <w:sz w:val="20"/>
                <w:szCs w:val="20"/>
                <w:color w:val="auto"/>
              </w:rPr>
            </w:pPr>
            <w:r>
              <w:rPr>
                <w:rFonts w:ascii="Arial" w:cs="Arial" w:eastAsia="Arial" w:hAnsi="Arial"/>
                <w:sz w:val="21"/>
                <w:szCs w:val="21"/>
                <w:color w:val="auto"/>
              </w:rPr>
              <w:t>8-11</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907"/>
        </w:trPr>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gridSpan w:val="2"/>
          </w:tcPr>
          <w:p>
            <w:pPr>
              <w:jc w:val="center"/>
              <w:ind w:left="633"/>
              <w:spacing w:after="0"/>
              <w:rPr>
                <w:sz w:val="20"/>
                <w:szCs w:val="20"/>
                <w:color w:val="auto"/>
              </w:rPr>
            </w:pPr>
            <w:r>
              <w:rPr>
                <w:rFonts w:ascii="Arial" w:cs="Arial" w:eastAsia="Arial" w:hAnsi="Arial"/>
                <w:sz w:val="21"/>
                <w:szCs w:val="21"/>
                <w:color w:val="auto"/>
              </w:rPr>
              <w:t>1</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316"/>
        </w:trPr>
        <w:tc>
          <w:tcPr>
            <w:tcW w:w="14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21" w:right="219" w:bottom="1440" w:gutter="0" w:footer="0" w:header="0"/>
        </w:sectPr>
      </w:pPr>
    </w:p>
    <w:bookmarkStart w:id="154" w:name="page155"/>
    <w:bookmarkEnd w:id="154"/>
    <w:p>
      <w:pPr>
        <w:jc w:val="center"/>
        <w:ind w:right="-19"/>
        <w:spacing w:after="0"/>
        <w:rPr>
          <w:sz w:val="20"/>
          <w:szCs w:val="20"/>
          <w:color w:val="auto"/>
        </w:rPr>
      </w:pPr>
      <w:r>
        <w:rPr>
          <w:rFonts w:ascii="Arial" w:cs="Arial" w:eastAsia="Arial" w:hAnsi="Arial"/>
          <w:sz w:val="20"/>
          <w:szCs w:val="20"/>
          <w:u w:val="single" w:color="auto"/>
          <w:color w:val="auto"/>
        </w:rPr>
        <w:t>Independent Auditor's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color w:val="auto"/>
        </w:rPr>
        <w:t>To the Partners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Amboy Aggregates Joint Venture</w:t>
      </w:r>
    </w:p>
    <w:p>
      <w:pPr>
        <w:spacing w:after="0" w:line="207"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color w:val="auto"/>
        </w:rPr>
        <w:t>We have audited the accompanying consolidated financial statements of Amboy Aggregates Joint Venture and Subsidiaries, which comprise the consolidated statement of net assets in liquidation as of December 31, 2015, and the related consolidated statement of changes in net assets in liquidation for the period from July 1, 2015 to December 31, 2015, and the consolidated statements of operations and partners' capital and cash flows for the period from January 1, 2015 to June 30, 2015, and the related notes to the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Management's Responsibility for the Financial Statements</w:t>
      </w:r>
    </w:p>
    <w:p>
      <w:pPr>
        <w:spacing w:after="0" w:line="223" w:lineRule="exact"/>
        <w:rPr>
          <w:sz w:val="20"/>
          <w:szCs w:val="20"/>
          <w:color w:val="auto"/>
        </w:rPr>
      </w:pPr>
    </w:p>
    <w:p>
      <w:pPr>
        <w:ind w:right="380"/>
        <w:spacing w:after="0" w:line="242" w:lineRule="auto"/>
        <w:rPr>
          <w:sz w:val="20"/>
          <w:szCs w:val="20"/>
          <w:color w:val="auto"/>
        </w:rPr>
      </w:pPr>
      <w:r>
        <w:rPr>
          <w:rFonts w:ascii="Arial" w:cs="Arial" w:eastAsia="Arial" w:hAnsi="Arial"/>
          <w:sz w:val="20"/>
          <w:szCs w:val="20"/>
          <w:color w:val="auto"/>
        </w:rPr>
        <w:t>Management is responsible for the preparation and fair presentation of these consolidated financial statements in accordance with accounting principles generally accepted in the United States of America; this includes the design, implementation, and maintenance of internal control relevant to the preparation and fair presentation of consolidated financial statements that are free from material misstatement, whether due to fraud or error.</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Auditor's Responsibility</w:t>
      </w:r>
    </w:p>
    <w:p>
      <w:pPr>
        <w:spacing w:after="0" w:line="223" w:lineRule="exact"/>
        <w:rPr>
          <w:sz w:val="20"/>
          <w:szCs w:val="20"/>
          <w:color w:val="auto"/>
        </w:rPr>
      </w:pPr>
    </w:p>
    <w:p>
      <w:pPr>
        <w:jc w:val="both"/>
        <w:ind w:right="120"/>
        <w:spacing w:after="0" w:line="286" w:lineRule="auto"/>
        <w:rPr>
          <w:sz w:val="20"/>
          <w:szCs w:val="20"/>
          <w:color w:val="auto"/>
        </w:rPr>
      </w:pPr>
      <w:r>
        <w:rPr>
          <w:rFonts w:ascii="Arial" w:cs="Arial" w:eastAsia="Arial" w:hAnsi="Arial"/>
          <w:sz w:val="18"/>
          <w:szCs w:val="18"/>
          <w:color w:val="auto"/>
        </w:rPr>
        <w:t>Our responsibility is to express an opinion on these consolidated financial statements based on our audit. We conducted our audit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67"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consolidated financial statements. The procedures selected depend on the auditor's judgment, including the assessment of the risks of material misstatement of the consolidated financial statements, whether due to fraud or error. In making those risk assessments, the auditor considers internal control relevant to the entity's preparation and fair presentation of the consolidated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We believe that the audit evidence we have obtained is sufficient and appropriate to provide a basis for our audit opinion.</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Opinion</w:t>
      </w:r>
    </w:p>
    <w:p>
      <w:pPr>
        <w:spacing w:after="0" w:line="223"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net assets in liquidation of Amboy Aggregates Joint Venture and Subsidiaries as of December 31, 2015, and the changes in its net assets in liquidation for the period from July 1, 2015 to December 31, 2015 and the results of their operations and their cash flows for the period from January 1, 2015 to June 30, 2015 in accordance with accounting principles generally accepted in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193675</wp:posOffset>
            </wp:positionV>
            <wp:extent cx="729043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155" w:name="page156"/>
    <w:bookmarkEnd w:id="155"/>
    <w:p>
      <w:pPr>
        <w:spacing w:after="0"/>
        <w:rPr>
          <w:sz w:val="20"/>
          <w:szCs w:val="20"/>
          <w:color w:val="auto"/>
        </w:rPr>
      </w:pPr>
      <w:r>
        <w:rPr>
          <w:rFonts w:ascii="Arial" w:cs="Arial" w:eastAsia="Arial" w:hAnsi="Arial"/>
          <w:sz w:val="20"/>
          <w:szCs w:val="20"/>
          <w:i w:val="1"/>
          <w:iCs w:val="1"/>
          <w:color w:val="auto"/>
        </w:rPr>
        <w:t>Emphasis of Matter</w:t>
      </w:r>
    </w:p>
    <w:p>
      <w:pPr>
        <w:spacing w:after="0" w:line="223" w:lineRule="exact"/>
        <w:rPr>
          <w:sz w:val="20"/>
          <w:szCs w:val="20"/>
          <w:color w:val="auto"/>
        </w:rPr>
      </w:pPr>
    </w:p>
    <w:p>
      <w:pPr>
        <w:spacing w:after="0" w:line="286" w:lineRule="auto"/>
        <w:rPr>
          <w:sz w:val="20"/>
          <w:szCs w:val="20"/>
          <w:color w:val="auto"/>
        </w:rPr>
      </w:pPr>
      <w:r>
        <w:rPr>
          <w:rFonts w:ascii="Arial" w:cs="Arial" w:eastAsia="Arial" w:hAnsi="Arial"/>
          <w:sz w:val="18"/>
          <w:szCs w:val="18"/>
          <w:color w:val="auto"/>
        </w:rPr>
        <w:t>As discussed in Note 2 to the consolidated financial statements, the partners of Amboy Aggregates approved a plan of liquidation on July 1, 2015, and the Company determined liquidation is imminent. As a result, the Company changed its basis of accounting for periods subsequent to June 30, 2015 from the going concern basis to the liquidation basis. Our opinion is not modified with respect to this matter.</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/s/ CohnReznick LLP</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New York, New York</w:t>
      </w:r>
    </w:p>
    <w:p>
      <w:pPr>
        <w:spacing w:after="0"/>
        <w:rPr>
          <w:sz w:val="20"/>
          <w:szCs w:val="20"/>
          <w:color w:val="auto"/>
        </w:rPr>
      </w:pPr>
      <w:r>
        <w:rPr>
          <w:rFonts w:ascii="Arial" w:cs="Arial" w:eastAsia="Arial" w:hAnsi="Arial"/>
          <w:sz w:val="20"/>
          <w:szCs w:val="20"/>
          <w:color w:val="auto"/>
        </w:rPr>
        <w:t>February 29, 2016</w:t>
      </w:r>
    </w:p>
    <w:p>
      <w:pPr>
        <w:spacing w:after="0" w:line="200" w:lineRule="exact"/>
        <w:rPr>
          <w:sz w:val="20"/>
          <w:szCs w:val="20"/>
          <w:color w:val="auto"/>
        </w:rPr>
      </w:pPr>
    </w:p>
    <w:p>
      <w:pPr>
        <w:spacing w:after="0" w:line="231" w:lineRule="exact"/>
        <w:rPr>
          <w:sz w:val="20"/>
          <w:szCs w:val="20"/>
          <w:color w:val="auto"/>
        </w:rPr>
      </w:pPr>
    </w:p>
    <w:p>
      <w:pPr>
        <w:jc w:val="center"/>
        <w:ind w:right="-159"/>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193675</wp:posOffset>
            </wp:positionV>
            <wp:extent cx="729043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260"/>
          </w:cols>
          <w:pgMar w:left="240" w:top="336" w:right="39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color w:val="auto"/>
        </w:rPr>
        <w:t>AMBOY AGGREGATES JOINT VENTURE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NET ASSETS IN LIQUIDATION (LIQUIDATION BASIS)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2016 (UNAUDITED)</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9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jc w:val="right"/>
              <w:ind w:right="711"/>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2"/>
          </w:tcPr>
          <w:p>
            <w:pPr>
              <w:ind w:left="22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320" w:type="dxa"/>
            <w:vAlign w:val="bottom"/>
          </w:tcPr>
          <w:p>
            <w:pPr>
              <w:ind w:left="100"/>
              <w:spacing w:after="0"/>
              <w:rPr>
                <w:sz w:val="20"/>
                <w:szCs w:val="20"/>
                <w:color w:val="auto"/>
              </w:rPr>
            </w:pPr>
            <w:r>
              <w:rPr>
                <w:rFonts w:ascii="Arial" w:cs="Arial" w:eastAsia="Arial" w:hAnsi="Arial"/>
                <w:sz w:val="18"/>
                <w:szCs w:val="18"/>
                <w:color w:val="auto"/>
              </w:rPr>
              <w:t>Cash</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869,732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93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153,295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32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Restricted cash</w:t>
            </w: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823,898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1,846,925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9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9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3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320" w:type="dxa"/>
            <w:vAlign w:val="bottom"/>
          </w:tcPr>
          <w:p>
            <w:pPr>
              <w:ind w:left="100"/>
              <w:spacing w:after="0"/>
              <w:rPr>
                <w:sz w:val="20"/>
                <w:szCs w:val="20"/>
                <w:color w:val="auto"/>
              </w:rPr>
            </w:pPr>
            <w:r>
              <w:rPr>
                <w:rFonts w:ascii="Arial" w:cs="Arial" w:eastAsia="Arial" w:hAnsi="Arial"/>
                <w:sz w:val="18"/>
                <w:szCs w:val="18"/>
                <w:color w:val="auto"/>
              </w:rPr>
              <w:t>Contract obligation to restore piers (Note 4)</w:t>
            </w: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1,090,372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93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Accrued liquidation costs</w:t>
            </w:r>
          </w:p>
        </w:tc>
        <w:tc>
          <w:tcPr>
            <w:tcW w:w="3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3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1,119,194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9340" w:type="dxa"/>
            <w:vAlign w:val="bottom"/>
            <w:gridSpan w:val="2"/>
          </w:tcPr>
          <w:p>
            <w:pPr>
              <w:spacing w:after="0"/>
              <w:rPr>
                <w:sz w:val="20"/>
                <w:szCs w:val="20"/>
                <w:color w:val="auto"/>
              </w:rPr>
            </w:pPr>
            <w:r>
              <w:rPr>
                <w:rFonts w:ascii="Arial" w:cs="Arial" w:eastAsia="Arial" w:hAnsi="Arial"/>
                <w:sz w:val="18"/>
                <w:szCs w:val="18"/>
                <w:color w:val="auto"/>
              </w:rPr>
              <w:t>NET ASSETS IN LIQUIDATION</w:t>
            </w: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727,731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193675</wp:posOffset>
            </wp:positionV>
            <wp:extent cx="729043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028" w:right="2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t>AMBOY AGGREGATES JOINT VENTURE AND SUBSIDIARIES</w:t>
      </w:r>
    </w:p>
    <w:p>
      <w:pPr>
        <w:spacing w:after="0" w:line="23" w:lineRule="exact"/>
        <w:rPr>
          <w:sz w:val="20"/>
          <w:szCs w:val="20"/>
          <w:color w:val="auto"/>
        </w:rPr>
      </w:pPr>
    </w:p>
    <w:p>
      <w:pPr>
        <w:ind w:right="2720"/>
        <w:spacing w:after="0" w:line="266" w:lineRule="auto"/>
        <w:rPr>
          <w:sz w:val="20"/>
          <w:szCs w:val="20"/>
          <w:color w:val="auto"/>
        </w:rPr>
      </w:pPr>
      <w:r>
        <w:rPr>
          <w:rFonts w:ascii="Arial" w:cs="Arial" w:eastAsia="Arial" w:hAnsi="Arial"/>
          <w:sz w:val="18"/>
          <w:szCs w:val="18"/>
          <w:b w:val="1"/>
          <w:bCs w:val="1"/>
          <w:color w:val="auto"/>
        </w:rPr>
        <w:t>CONSOLIDATED STATEMENTS OF CHANGES IN NET ASSETS IN LIQUIDATION (LIQUIDATION BASIS) FOR THE PERIOD FROM JANUARY 1, 2017 TO DECEMBER 29, 2017 (UNAUDITED) AND THE YEAR ENDED DECEMBER 31, 2016 (UNAUDITED)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591"/>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r>
      <w:tr>
        <w:trPr>
          <w:trHeight w:val="230"/>
        </w:trPr>
        <w:tc>
          <w:tcPr>
            <w:tcW w:w="9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(unaudited)</w:t>
            </w:r>
          </w:p>
        </w:tc>
      </w:tr>
      <w:tr>
        <w:trPr>
          <w:trHeight w:val="221"/>
        </w:trPr>
        <w:tc>
          <w:tcPr>
            <w:tcW w:w="9620" w:type="dxa"/>
            <w:vAlign w:val="bottom"/>
          </w:tcPr>
          <w:p>
            <w:pPr>
              <w:spacing w:after="0"/>
              <w:rPr>
                <w:sz w:val="20"/>
                <w:szCs w:val="20"/>
                <w:color w:val="auto"/>
              </w:rPr>
            </w:pPr>
            <w:r>
              <w:rPr>
                <w:rFonts w:ascii="Arial" w:cs="Arial" w:eastAsia="Arial" w:hAnsi="Arial"/>
                <w:sz w:val="18"/>
                <w:szCs w:val="18"/>
                <w:color w:val="auto"/>
              </w:rPr>
              <w:t>Net assets in liquidation as of December 31, 2016</w:t>
            </w:r>
          </w:p>
        </w:tc>
        <w:tc>
          <w:tcPr>
            <w:tcW w:w="2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727,731</w:t>
            </w:r>
          </w:p>
        </w:tc>
        <w:tc>
          <w:tcPr>
            <w:tcW w:w="100" w:type="dxa"/>
            <w:vAlign w:val="bottom"/>
          </w:tcPr>
          <w:p>
            <w:pPr>
              <w:spacing w:after="0"/>
              <w:rPr>
                <w:sz w:val="19"/>
                <w:szCs w:val="19"/>
                <w:color w:val="auto"/>
              </w:rPr>
            </w:pPr>
          </w:p>
        </w:tc>
      </w:tr>
      <w:tr>
        <w:trPr>
          <w:trHeight w:val="227"/>
        </w:trPr>
        <w:tc>
          <w:tcPr>
            <w:tcW w:w="9620" w:type="dxa"/>
            <w:vAlign w:val="bottom"/>
            <w:shd w:val="clear" w:color="auto" w:fill="CFF0FC"/>
          </w:tcPr>
          <w:p>
            <w:pPr>
              <w:spacing w:after="0"/>
              <w:rPr>
                <w:sz w:val="20"/>
                <w:szCs w:val="20"/>
                <w:color w:val="auto"/>
              </w:rPr>
            </w:pPr>
            <w:r>
              <w:rPr>
                <w:rFonts w:ascii="Arial" w:cs="Arial" w:eastAsia="Arial" w:hAnsi="Arial"/>
                <w:sz w:val="18"/>
                <w:szCs w:val="18"/>
                <w:color w:val="auto"/>
              </w:rPr>
              <w:t>Changes in net assets in liquidation</w:t>
            </w: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9620" w:type="dxa"/>
            <w:vAlign w:val="bottom"/>
          </w:tcPr>
          <w:p>
            <w:pPr>
              <w:ind w:left="120"/>
              <w:spacing w:after="0"/>
              <w:rPr>
                <w:sz w:val="20"/>
                <w:szCs w:val="20"/>
                <w:color w:val="auto"/>
              </w:rPr>
            </w:pPr>
            <w:r>
              <w:rPr>
                <w:rFonts w:ascii="Arial" w:cs="Arial" w:eastAsia="Arial" w:hAnsi="Arial"/>
                <w:sz w:val="18"/>
                <w:szCs w:val="18"/>
                <w:color w:val="auto"/>
              </w:rPr>
              <w:t>Changes in accounts receivable</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15,502</w:t>
            </w:r>
          </w:p>
        </w:tc>
        <w:tc>
          <w:tcPr>
            <w:tcW w:w="100" w:type="dxa"/>
            <w:vAlign w:val="bottom"/>
          </w:tcPr>
          <w:p>
            <w:pPr>
              <w:spacing w:after="0"/>
              <w:rPr>
                <w:sz w:val="19"/>
                <w:szCs w:val="19"/>
                <w:color w:val="auto"/>
              </w:rPr>
            </w:pPr>
          </w:p>
        </w:tc>
      </w:tr>
      <w:tr>
        <w:trPr>
          <w:trHeight w:val="227"/>
        </w:trPr>
        <w:tc>
          <w:tcPr>
            <w:tcW w:w="9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Changes in contract obligation to restore piers</w:t>
            </w: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72,047</w:t>
            </w:r>
          </w:p>
        </w:tc>
        <w:tc>
          <w:tcPr>
            <w:tcW w:w="100" w:type="dxa"/>
            <w:vAlign w:val="bottom"/>
            <w:shd w:val="clear" w:color="auto" w:fill="CFF0FC"/>
          </w:tcPr>
          <w:p>
            <w:pPr>
              <w:spacing w:after="0"/>
              <w:rPr>
                <w:sz w:val="19"/>
                <w:szCs w:val="19"/>
                <w:color w:val="auto"/>
              </w:rPr>
            </w:pPr>
          </w:p>
        </w:tc>
      </w:tr>
      <w:tr>
        <w:trPr>
          <w:trHeight w:val="226"/>
        </w:trPr>
        <w:tc>
          <w:tcPr>
            <w:tcW w:w="9620" w:type="dxa"/>
            <w:vAlign w:val="bottom"/>
          </w:tcPr>
          <w:p>
            <w:pPr>
              <w:ind w:left="120"/>
              <w:spacing w:after="0"/>
              <w:rPr>
                <w:sz w:val="20"/>
                <w:szCs w:val="20"/>
                <w:color w:val="auto"/>
              </w:rPr>
            </w:pPr>
            <w:r>
              <w:rPr>
                <w:rFonts w:ascii="Arial" w:cs="Arial" w:eastAsia="Arial" w:hAnsi="Arial"/>
                <w:sz w:val="18"/>
                <w:szCs w:val="18"/>
                <w:color w:val="auto"/>
              </w:rPr>
              <w:t>Changes in accrued liquidation costs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9,220</w:t>
            </w:r>
          </w:p>
        </w:tc>
        <w:tc>
          <w:tcPr>
            <w:tcW w:w="100" w:type="dxa"/>
            <w:vAlign w:val="bottom"/>
          </w:tcPr>
          <w:p>
            <w:pPr>
              <w:spacing w:after="0"/>
              <w:rPr>
                <w:sz w:val="19"/>
                <w:szCs w:val="19"/>
                <w:color w:val="auto"/>
              </w:rPr>
            </w:pPr>
          </w:p>
        </w:tc>
      </w:tr>
      <w:tr>
        <w:trPr>
          <w:trHeight w:val="227"/>
        </w:trPr>
        <w:tc>
          <w:tcPr>
            <w:tcW w:w="9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Liquidating distribution to partners</w:t>
            </w:r>
          </w:p>
        </w:tc>
        <w:tc>
          <w:tcPr>
            <w:tcW w:w="2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(824,500)</w:t>
            </w:r>
          </w:p>
        </w:tc>
      </w:tr>
      <w:tr>
        <w:trPr>
          <w:trHeight w:val="227"/>
        </w:trPr>
        <w:tc>
          <w:tcPr>
            <w:tcW w:w="96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19"/>
        </w:trPr>
        <w:tc>
          <w:tcPr>
            <w:tcW w:w="9620" w:type="dxa"/>
            <w:vAlign w:val="bottom"/>
            <w:shd w:val="clear" w:color="auto" w:fill="CFF0FC"/>
          </w:tcPr>
          <w:p>
            <w:pPr>
              <w:spacing w:after="0"/>
              <w:rPr>
                <w:sz w:val="20"/>
                <w:szCs w:val="20"/>
                <w:color w:val="auto"/>
              </w:rPr>
            </w:pPr>
            <w:r>
              <w:rPr>
                <w:rFonts w:ascii="Arial" w:cs="Arial" w:eastAsia="Arial" w:hAnsi="Arial"/>
                <w:sz w:val="18"/>
                <w:szCs w:val="18"/>
                <w:color w:val="auto"/>
              </w:rPr>
              <w:t>Net assets in liquidation as of December 29, 2017</w:t>
            </w: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96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591"/>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r>
      <w:tr>
        <w:trPr>
          <w:trHeight w:val="231"/>
        </w:trPr>
        <w:tc>
          <w:tcPr>
            <w:tcW w:w="9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(unaudited)</w:t>
            </w:r>
          </w:p>
        </w:tc>
      </w:tr>
      <w:tr>
        <w:trPr>
          <w:trHeight w:val="221"/>
        </w:trPr>
        <w:tc>
          <w:tcPr>
            <w:tcW w:w="9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assets in liquidation as of December 31, 2015</w:t>
            </w:r>
          </w:p>
        </w:tc>
        <w:tc>
          <w:tcPr>
            <w:tcW w:w="24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247,002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9620" w:type="dxa"/>
            <w:vAlign w:val="bottom"/>
          </w:tcPr>
          <w:p>
            <w:pPr>
              <w:spacing w:after="0"/>
              <w:rPr>
                <w:sz w:val="20"/>
                <w:szCs w:val="20"/>
                <w:color w:val="auto"/>
              </w:rPr>
            </w:pPr>
            <w:r>
              <w:rPr>
                <w:rFonts w:ascii="Arial" w:cs="Arial" w:eastAsia="Arial" w:hAnsi="Arial"/>
                <w:sz w:val="18"/>
                <w:szCs w:val="18"/>
                <w:color w:val="auto"/>
              </w:rPr>
              <w:t>Changes in net assets in liquidation</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9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Changes in accounts receivable</w:t>
            </w:r>
          </w:p>
        </w:tc>
        <w:tc>
          <w:tcPr>
            <w:tcW w:w="2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(61,457)</w:t>
            </w:r>
          </w:p>
        </w:tc>
      </w:tr>
      <w:tr>
        <w:trPr>
          <w:trHeight w:val="226"/>
        </w:trPr>
        <w:tc>
          <w:tcPr>
            <w:tcW w:w="9620" w:type="dxa"/>
            <w:vAlign w:val="bottom"/>
          </w:tcPr>
          <w:p>
            <w:pPr>
              <w:ind w:left="120"/>
              <w:spacing w:after="0"/>
              <w:rPr>
                <w:sz w:val="20"/>
                <w:szCs w:val="20"/>
                <w:color w:val="auto"/>
              </w:rPr>
            </w:pPr>
            <w:r>
              <w:rPr>
                <w:rFonts w:ascii="Arial" w:cs="Arial" w:eastAsia="Arial" w:hAnsi="Arial"/>
                <w:sz w:val="18"/>
                <w:szCs w:val="18"/>
                <w:color w:val="auto"/>
              </w:rPr>
              <w:t>Changes in property, plant and equipment</w:t>
            </w:r>
          </w:p>
        </w:tc>
        <w:tc>
          <w:tcPr>
            <w:tcW w:w="24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(25,000)</w:t>
            </w:r>
          </w:p>
        </w:tc>
      </w:tr>
      <w:tr>
        <w:trPr>
          <w:trHeight w:val="227"/>
        </w:trPr>
        <w:tc>
          <w:tcPr>
            <w:tcW w:w="9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Changes in contract obligation to restore piers</w:t>
            </w: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550,000</w:t>
            </w:r>
          </w:p>
        </w:tc>
        <w:tc>
          <w:tcPr>
            <w:tcW w:w="100" w:type="dxa"/>
            <w:vAlign w:val="bottom"/>
            <w:shd w:val="clear" w:color="auto" w:fill="CFF0FC"/>
          </w:tcPr>
          <w:p>
            <w:pPr>
              <w:spacing w:after="0"/>
              <w:rPr>
                <w:sz w:val="19"/>
                <w:szCs w:val="19"/>
                <w:color w:val="auto"/>
              </w:rPr>
            </w:pPr>
          </w:p>
        </w:tc>
      </w:tr>
      <w:tr>
        <w:trPr>
          <w:trHeight w:val="226"/>
        </w:trPr>
        <w:tc>
          <w:tcPr>
            <w:tcW w:w="9620" w:type="dxa"/>
            <w:vAlign w:val="bottom"/>
          </w:tcPr>
          <w:p>
            <w:pPr>
              <w:ind w:left="120"/>
              <w:spacing w:after="0"/>
              <w:rPr>
                <w:sz w:val="20"/>
                <w:szCs w:val="20"/>
                <w:color w:val="auto"/>
              </w:rPr>
            </w:pPr>
            <w:r>
              <w:rPr>
                <w:rFonts w:ascii="Arial" w:cs="Arial" w:eastAsia="Arial" w:hAnsi="Arial"/>
                <w:sz w:val="18"/>
                <w:szCs w:val="18"/>
                <w:color w:val="auto"/>
              </w:rPr>
              <w:t>Changes in accrued liquidation costs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17,186</w:t>
            </w:r>
          </w:p>
        </w:tc>
        <w:tc>
          <w:tcPr>
            <w:tcW w:w="100" w:type="dxa"/>
            <w:vAlign w:val="bottom"/>
          </w:tcPr>
          <w:p>
            <w:pPr>
              <w:spacing w:after="0"/>
              <w:rPr>
                <w:sz w:val="19"/>
                <w:szCs w:val="19"/>
                <w:color w:val="auto"/>
              </w:rPr>
            </w:pPr>
          </w:p>
        </w:tc>
      </w:tr>
      <w:tr>
        <w:trPr>
          <w:trHeight w:val="227"/>
        </w:trPr>
        <w:tc>
          <w:tcPr>
            <w:tcW w:w="96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9"/>
        </w:trPr>
        <w:tc>
          <w:tcPr>
            <w:tcW w:w="9620" w:type="dxa"/>
            <w:vAlign w:val="bottom"/>
          </w:tcPr>
          <w:p>
            <w:pPr>
              <w:spacing w:after="0"/>
              <w:rPr>
                <w:sz w:val="20"/>
                <w:szCs w:val="20"/>
                <w:color w:val="auto"/>
              </w:rPr>
            </w:pPr>
            <w:r>
              <w:rPr>
                <w:rFonts w:ascii="Arial" w:cs="Arial" w:eastAsia="Arial" w:hAnsi="Arial"/>
                <w:sz w:val="18"/>
                <w:szCs w:val="18"/>
                <w:color w:val="auto"/>
              </w:rPr>
              <w:t>Net assets in liquidation as of December 31, 2016</w:t>
            </w: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727,731</w:t>
            </w:r>
          </w:p>
        </w:tc>
        <w:tc>
          <w:tcPr>
            <w:tcW w:w="100" w:type="dxa"/>
            <w:vAlign w:val="bottom"/>
          </w:tcPr>
          <w:p>
            <w:pPr>
              <w:spacing w:after="0"/>
              <w:rPr>
                <w:sz w:val="19"/>
                <w:szCs w:val="19"/>
                <w:color w:val="auto"/>
              </w:rPr>
            </w:pPr>
          </w:p>
        </w:tc>
      </w:tr>
      <w:tr>
        <w:trPr>
          <w:trHeight w:val="20"/>
        </w:trPr>
        <w:tc>
          <w:tcPr>
            <w:tcW w:w="9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193675</wp:posOffset>
            </wp:positionV>
            <wp:extent cx="729043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color w:val="auto"/>
        </w:rPr>
        <w:t>AMBOY AGGREGATES JOINT VENTURE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AND PARTNERS' CAPITAL (GOING CONCERN BASIS)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PERIOD FROM JANUARY 1, 2015 TO JUNE 30, 2015</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jc w:val="right"/>
              <w:ind w:right="75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936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936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460" w:type="dxa"/>
            <w:vAlign w:val="bottom"/>
            <w:shd w:val="clear" w:color="auto" w:fill="CFF0FC"/>
          </w:tcPr>
          <w:p>
            <w:pPr>
              <w:jc w:val="right"/>
              <w:ind w:right="308"/>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9360" w:type="dxa"/>
            <w:vAlign w:val="bottom"/>
          </w:tcPr>
          <w:p>
            <w:pPr>
              <w:spacing w:after="0"/>
              <w:rPr>
                <w:sz w:val="20"/>
                <w:szCs w:val="20"/>
                <w:color w:val="auto"/>
              </w:rPr>
            </w:pPr>
            <w:r>
              <w:rPr>
                <w:rFonts w:ascii="Arial" w:cs="Arial" w:eastAsia="Arial" w:hAnsi="Arial"/>
                <w:sz w:val="18"/>
                <w:szCs w:val="18"/>
                <w:color w:val="auto"/>
              </w:rPr>
              <w:t>Costs and expenses:</w:t>
            </w: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3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Cost of sales</w:t>
            </w:r>
          </w:p>
        </w:tc>
        <w:tc>
          <w:tcPr>
            <w:tcW w:w="4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624,789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936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General and administrative</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1,452,565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Totals</w:t>
            </w:r>
          </w:p>
        </w:tc>
        <w:tc>
          <w:tcPr>
            <w:tcW w:w="4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2,077,354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9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income—Gain on disposition of property and equipment</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849,905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3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4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(1,088,142)</w:t>
            </w:r>
          </w:p>
        </w:tc>
        <w:tc>
          <w:tcPr>
            <w:tcW w:w="0" w:type="dxa"/>
            <w:vAlign w:val="bottom"/>
          </w:tcPr>
          <w:p>
            <w:pPr>
              <w:spacing w:after="0"/>
              <w:rPr>
                <w:sz w:val="1"/>
                <w:szCs w:val="1"/>
                <w:color w:val="auto"/>
              </w:rPr>
            </w:pPr>
          </w:p>
        </w:tc>
      </w:tr>
      <w:tr>
        <w:trPr>
          <w:trHeight w:val="226"/>
        </w:trPr>
        <w:tc>
          <w:tcPr>
            <w:tcW w:w="9360" w:type="dxa"/>
            <w:vAlign w:val="bottom"/>
          </w:tcPr>
          <w:p>
            <w:pPr>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(480,416)</w:t>
            </w:r>
          </w:p>
        </w:tc>
        <w:tc>
          <w:tcPr>
            <w:tcW w:w="0" w:type="dxa"/>
            <w:vAlign w:val="bottom"/>
          </w:tcPr>
          <w:p>
            <w:pPr>
              <w:spacing w:after="0"/>
              <w:rPr>
                <w:sz w:val="1"/>
                <w:szCs w:val="1"/>
                <w:color w:val="auto"/>
              </w:rPr>
            </w:pPr>
          </w:p>
        </w:tc>
      </w:tr>
      <w:tr>
        <w:trPr>
          <w:trHeight w:val="227"/>
        </w:trPr>
        <w:tc>
          <w:tcPr>
            <w:tcW w:w="936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4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(1,109,043)</w:t>
            </w:r>
          </w:p>
        </w:tc>
        <w:tc>
          <w:tcPr>
            <w:tcW w:w="0" w:type="dxa"/>
            <w:vAlign w:val="bottom"/>
          </w:tcPr>
          <w:p>
            <w:pPr>
              <w:spacing w:after="0"/>
              <w:rPr>
                <w:sz w:val="1"/>
                <w:szCs w:val="1"/>
                <w:color w:val="auto"/>
              </w:rPr>
            </w:pPr>
          </w:p>
        </w:tc>
      </w:tr>
      <w:tr>
        <w:trPr>
          <w:trHeight w:val="20"/>
        </w:trPr>
        <w:tc>
          <w:tcPr>
            <w:tcW w:w="936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4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936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(2,677,601)</w:t>
            </w:r>
          </w:p>
        </w:tc>
        <w:tc>
          <w:tcPr>
            <w:tcW w:w="0" w:type="dxa"/>
            <w:vAlign w:val="bottom"/>
          </w:tcPr>
          <w:p>
            <w:pPr>
              <w:spacing w:after="0"/>
              <w:rPr>
                <w:sz w:val="1"/>
                <w:szCs w:val="1"/>
                <w:color w:val="auto"/>
              </w:rPr>
            </w:pPr>
          </w:p>
        </w:tc>
      </w:tr>
      <w:tr>
        <w:trPr>
          <w:trHeight w:val="227"/>
        </w:trPr>
        <w:tc>
          <w:tcPr>
            <w:tcW w:w="9360" w:type="dxa"/>
            <w:vAlign w:val="bottom"/>
            <w:shd w:val="clear" w:color="auto" w:fill="CFF0FC"/>
          </w:tcPr>
          <w:p>
            <w:pPr>
              <w:spacing w:after="0"/>
              <w:rPr>
                <w:sz w:val="20"/>
                <w:szCs w:val="20"/>
                <w:color w:val="auto"/>
              </w:rPr>
            </w:pPr>
            <w:r>
              <w:rPr>
                <w:rFonts w:ascii="Arial" w:cs="Arial" w:eastAsia="Arial" w:hAnsi="Arial"/>
                <w:sz w:val="18"/>
                <w:szCs w:val="18"/>
                <w:color w:val="auto"/>
              </w:rPr>
              <w:t>Partners' capital, beginning of the period</w:t>
            </w:r>
          </w:p>
        </w:tc>
        <w:tc>
          <w:tcPr>
            <w:tcW w:w="4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3,156,079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360" w:type="dxa"/>
            <w:vAlign w:val="bottom"/>
          </w:tcPr>
          <w:p>
            <w:pPr>
              <w:spacing w:after="0"/>
              <w:rPr>
                <w:sz w:val="20"/>
                <w:szCs w:val="20"/>
                <w:color w:val="auto"/>
              </w:rPr>
            </w:pPr>
            <w:r>
              <w:rPr>
                <w:rFonts w:ascii="Arial" w:cs="Arial" w:eastAsia="Arial" w:hAnsi="Arial"/>
                <w:sz w:val="18"/>
                <w:szCs w:val="18"/>
                <w:color w:val="auto"/>
              </w:rPr>
              <w:t>Partners' capital, end of the period</w:t>
            </w:r>
          </w:p>
        </w:tc>
        <w:tc>
          <w:tcPr>
            <w:tcW w:w="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478,478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193675</wp:posOffset>
            </wp:positionV>
            <wp:extent cx="729043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159" w:name="page160"/>
    <w:bookmarkEnd w:id="159"/>
    <w:p>
      <w:pPr>
        <w:ind w:right="4960"/>
        <w:spacing w:after="0" w:line="276" w:lineRule="auto"/>
        <w:rPr>
          <w:sz w:val="20"/>
          <w:szCs w:val="20"/>
          <w:color w:val="auto"/>
        </w:rPr>
      </w:pPr>
      <w:r>
        <w:rPr>
          <w:rFonts w:ascii="Arial" w:cs="Arial" w:eastAsia="Arial" w:hAnsi="Arial"/>
          <w:sz w:val="18"/>
          <w:szCs w:val="18"/>
          <w:b w:val="1"/>
          <w:bCs w:val="1"/>
          <w:color w:val="auto"/>
        </w:rPr>
        <w:t>AMBOY AGGREGATES JOINT VENTURE AND SUBSIDIARIES CONSOLIDATED STATEMENTS OF CASH FLOWS (GOING CONCERN BASIS) FOR THE PERIOD FROM JANUARY 1, 2015 TO JUNE 30, 2015</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2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78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9280" w:type="dxa"/>
            <w:vAlign w:val="bottom"/>
          </w:tcPr>
          <w:p>
            <w:pPr>
              <w:spacing w:after="0"/>
              <w:rPr>
                <w:sz w:val="20"/>
                <w:szCs w:val="20"/>
                <w:color w:val="auto"/>
              </w:rPr>
            </w:pPr>
            <w:r>
              <w:rPr>
                <w:rFonts w:ascii="Arial" w:cs="Arial" w:eastAsia="Arial" w:hAnsi="Arial"/>
                <w:sz w:val="16"/>
                <w:szCs w:val="16"/>
                <w:color w:val="auto"/>
              </w:rPr>
              <w:t>OPERATING ACTIVITIES:</w:t>
            </w:r>
          </w:p>
        </w:tc>
        <w:tc>
          <w:tcPr>
            <w:tcW w:w="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480" w:type="dxa"/>
            <w:vAlign w:val="bottom"/>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(2,677,601)</w:t>
            </w:r>
          </w:p>
        </w:tc>
        <w:tc>
          <w:tcPr>
            <w:tcW w:w="0" w:type="dxa"/>
            <w:vAlign w:val="bottom"/>
          </w:tcPr>
          <w:p>
            <w:pPr>
              <w:spacing w:after="0"/>
              <w:rPr>
                <w:sz w:val="1"/>
                <w:szCs w:val="1"/>
                <w:color w:val="auto"/>
              </w:rPr>
            </w:pPr>
          </w:p>
        </w:tc>
      </w:tr>
      <w:tr>
        <w:trPr>
          <w:trHeight w:val="211"/>
        </w:trPr>
        <w:tc>
          <w:tcPr>
            <w:tcW w:w="9280" w:type="dxa"/>
            <w:vAlign w:val="bottom"/>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4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37,532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280" w:type="dxa"/>
            <w:vAlign w:val="bottom"/>
          </w:tcPr>
          <w:p>
            <w:pPr>
              <w:ind w:left="260"/>
              <w:spacing w:after="0"/>
              <w:rPr>
                <w:sz w:val="20"/>
                <w:szCs w:val="20"/>
                <w:color w:val="auto"/>
              </w:rPr>
            </w:pPr>
            <w:r>
              <w:rPr>
                <w:rFonts w:ascii="Arial" w:cs="Arial" w:eastAsia="Arial" w:hAnsi="Arial"/>
                <w:sz w:val="16"/>
                <w:szCs w:val="16"/>
                <w:color w:val="auto"/>
              </w:rPr>
              <w:t>Bad debt</w:t>
            </w:r>
          </w:p>
        </w:tc>
        <w:tc>
          <w:tcPr>
            <w:tcW w:w="4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28,035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 of permits</w:t>
            </w:r>
          </w:p>
        </w:tc>
        <w:tc>
          <w:tcPr>
            <w:tcW w:w="4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59,965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280" w:type="dxa"/>
            <w:vAlign w:val="bottom"/>
          </w:tcPr>
          <w:p>
            <w:pPr>
              <w:ind w:left="260"/>
              <w:spacing w:after="0"/>
              <w:rPr>
                <w:sz w:val="20"/>
                <w:szCs w:val="20"/>
                <w:color w:val="auto"/>
              </w:rPr>
            </w:pPr>
            <w:r>
              <w:rPr>
                <w:rFonts w:ascii="Arial" w:cs="Arial" w:eastAsia="Arial" w:hAnsi="Arial"/>
                <w:sz w:val="16"/>
                <w:szCs w:val="16"/>
                <w:color w:val="auto"/>
              </w:rPr>
              <w:t>Gain on disposition of property and equipment</w:t>
            </w:r>
          </w:p>
        </w:tc>
        <w:tc>
          <w:tcPr>
            <w:tcW w:w="480" w:type="dxa"/>
            <w:vAlign w:val="bottom"/>
          </w:tcPr>
          <w:p>
            <w:pPr>
              <w:spacing w:after="0"/>
              <w:rPr>
                <w:sz w:val="18"/>
                <w:szCs w:val="18"/>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6"/>
                <w:szCs w:val="16"/>
                <w:color w:val="auto"/>
              </w:rPr>
              <w:t>(849,905)</w:t>
            </w:r>
          </w:p>
        </w:tc>
        <w:tc>
          <w:tcPr>
            <w:tcW w:w="0" w:type="dxa"/>
            <w:vAlign w:val="bottom"/>
          </w:tcPr>
          <w:p>
            <w:pPr>
              <w:spacing w:after="0"/>
              <w:rPr>
                <w:sz w:val="1"/>
                <w:szCs w:val="1"/>
                <w:color w:val="auto"/>
              </w:rPr>
            </w:pPr>
          </w:p>
        </w:tc>
      </w:tr>
      <w:tr>
        <w:trPr>
          <w:trHeight w:val="216"/>
        </w:trPr>
        <w:tc>
          <w:tcPr>
            <w:tcW w:w="9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4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280" w:type="dxa"/>
            <w:vAlign w:val="bottom"/>
          </w:tcPr>
          <w:p>
            <w:pPr>
              <w:ind w:left="500"/>
              <w:spacing w:after="0"/>
              <w:rPr>
                <w:sz w:val="20"/>
                <w:szCs w:val="20"/>
                <w:color w:val="auto"/>
              </w:rPr>
            </w:pPr>
            <w:r>
              <w:rPr>
                <w:rFonts w:ascii="Arial" w:cs="Arial" w:eastAsia="Arial" w:hAnsi="Arial"/>
                <w:sz w:val="16"/>
                <w:szCs w:val="16"/>
                <w:color w:val="auto"/>
              </w:rPr>
              <w:t>Accounts and notes receivable</w:t>
            </w:r>
          </w:p>
        </w:tc>
        <w:tc>
          <w:tcPr>
            <w:tcW w:w="4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975,920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Inventory</w:t>
            </w:r>
          </w:p>
        </w:tc>
        <w:tc>
          <w:tcPr>
            <w:tcW w:w="4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58,145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280" w:type="dxa"/>
            <w:vAlign w:val="bottom"/>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4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217,834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Due from general partners, affiliates and member</w:t>
            </w:r>
          </w:p>
        </w:tc>
        <w:tc>
          <w:tcPr>
            <w:tcW w:w="4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158,861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280" w:type="dxa"/>
            <w:vAlign w:val="bottom"/>
          </w:tcPr>
          <w:p>
            <w:pPr>
              <w:ind w:left="500"/>
              <w:spacing w:after="0"/>
              <w:rPr>
                <w:sz w:val="20"/>
                <w:szCs w:val="20"/>
                <w:color w:val="auto"/>
              </w:rPr>
            </w:pPr>
            <w:r>
              <w:rPr>
                <w:rFonts w:ascii="Arial" w:cs="Arial" w:eastAsia="Arial" w:hAnsi="Arial"/>
                <w:sz w:val="16"/>
                <w:szCs w:val="16"/>
                <w:color w:val="auto"/>
              </w:rPr>
              <w:t>Accounts payable</w:t>
            </w:r>
          </w:p>
        </w:tc>
        <w:tc>
          <w:tcPr>
            <w:tcW w:w="4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19,860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Accrued expenses</w:t>
            </w:r>
          </w:p>
        </w:tc>
        <w:tc>
          <w:tcPr>
            <w:tcW w:w="4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(427,407)</w:t>
            </w:r>
          </w:p>
        </w:tc>
        <w:tc>
          <w:tcPr>
            <w:tcW w:w="0" w:type="dxa"/>
            <w:vAlign w:val="bottom"/>
          </w:tcPr>
          <w:p>
            <w:pPr>
              <w:spacing w:after="0"/>
              <w:rPr>
                <w:sz w:val="1"/>
                <w:szCs w:val="1"/>
                <w:color w:val="auto"/>
              </w:rPr>
            </w:pPr>
          </w:p>
        </w:tc>
      </w:tr>
      <w:tr>
        <w:trPr>
          <w:trHeight w:val="211"/>
        </w:trPr>
        <w:tc>
          <w:tcPr>
            <w:tcW w:w="9280" w:type="dxa"/>
            <w:vAlign w:val="bottom"/>
          </w:tcPr>
          <w:p>
            <w:pPr>
              <w:ind w:left="500"/>
              <w:spacing w:after="0"/>
              <w:rPr>
                <w:sz w:val="20"/>
                <w:szCs w:val="20"/>
                <w:color w:val="auto"/>
              </w:rPr>
            </w:pPr>
            <w:r>
              <w:rPr>
                <w:rFonts w:ascii="Arial" w:cs="Arial" w:eastAsia="Arial" w:hAnsi="Arial"/>
                <w:sz w:val="16"/>
                <w:szCs w:val="16"/>
                <w:color w:val="auto"/>
              </w:rPr>
              <w:t>Other liabilities</w:t>
            </w:r>
          </w:p>
        </w:tc>
        <w:tc>
          <w:tcPr>
            <w:tcW w:w="480" w:type="dxa"/>
            <w:vAlign w:val="bottom"/>
          </w:tcPr>
          <w:p>
            <w:pPr>
              <w:spacing w:after="0"/>
              <w:rPr>
                <w:sz w:val="18"/>
                <w:szCs w:val="18"/>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6"/>
                <w:szCs w:val="16"/>
                <w:color w:val="auto"/>
              </w:rPr>
              <w:t>(12,079)</w:t>
            </w:r>
          </w:p>
        </w:tc>
        <w:tc>
          <w:tcPr>
            <w:tcW w:w="0" w:type="dxa"/>
            <w:vAlign w:val="bottom"/>
          </w:tcPr>
          <w:p>
            <w:pPr>
              <w:spacing w:after="0"/>
              <w:rPr>
                <w:sz w:val="1"/>
                <w:szCs w:val="1"/>
                <w:color w:val="auto"/>
              </w:rPr>
            </w:pPr>
          </w:p>
        </w:tc>
      </w:tr>
      <w:tr>
        <w:trPr>
          <w:trHeight w:val="20"/>
        </w:trPr>
        <w:tc>
          <w:tcPr>
            <w:tcW w:w="9280" w:type="dxa"/>
            <w:vAlign w:val="bottom"/>
            <w:vMerge w:val="restart"/>
            <w:shd w:val="clear" w:color="auto" w:fill="CFF0FC"/>
          </w:tcPr>
          <w:p>
            <w:pPr>
              <w:ind w:left="620"/>
              <w:spacing w:after="0"/>
              <w:rPr>
                <w:sz w:val="20"/>
                <w:szCs w:val="20"/>
                <w:color w:val="auto"/>
              </w:rPr>
            </w:pPr>
            <w:r>
              <w:rPr>
                <w:rFonts w:ascii="Arial" w:cs="Arial" w:eastAsia="Arial" w:hAnsi="Arial"/>
                <w:sz w:val="16"/>
                <w:szCs w:val="16"/>
                <w:color w:val="auto"/>
              </w:rPr>
              <w:t>Net cash used in operating activities</w:t>
            </w:r>
          </w:p>
        </w:tc>
        <w:tc>
          <w:tcPr>
            <w:tcW w:w="4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80" w:type="dxa"/>
            <w:vAlign w:val="bottom"/>
            <w:vMerge w:val="continue"/>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(2,410,840)</w:t>
            </w:r>
          </w:p>
        </w:tc>
        <w:tc>
          <w:tcPr>
            <w:tcW w:w="0" w:type="dxa"/>
            <w:vAlign w:val="bottom"/>
          </w:tcPr>
          <w:p>
            <w:pPr>
              <w:spacing w:after="0"/>
              <w:rPr>
                <w:sz w:val="1"/>
                <w:szCs w:val="1"/>
                <w:color w:val="auto"/>
              </w:rPr>
            </w:pPr>
          </w:p>
        </w:tc>
      </w:tr>
      <w:tr>
        <w:trPr>
          <w:trHeight w:val="213"/>
        </w:trPr>
        <w:tc>
          <w:tcPr>
            <w:tcW w:w="9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280" w:type="dxa"/>
            <w:vAlign w:val="bottom"/>
            <w:shd w:val="clear" w:color="auto" w:fill="CFF0FC"/>
          </w:tcPr>
          <w:p>
            <w:pPr>
              <w:spacing w:after="0"/>
              <w:rPr>
                <w:sz w:val="20"/>
                <w:szCs w:val="20"/>
                <w:color w:val="auto"/>
              </w:rPr>
            </w:pPr>
            <w:r>
              <w:rPr>
                <w:rFonts w:ascii="Arial" w:cs="Arial" w:eastAsia="Arial" w:hAnsi="Arial"/>
                <w:sz w:val="16"/>
                <w:szCs w:val="16"/>
                <w:color w:val="auto"/>
              </w:rPr>
              <w:t>INVESTING ACTIVITIES:</w:t>
            </w:r>
          </w:p>
        </w:tc>
        <w:tc>
          <w:tcPr>
            <w:tcW w:w="4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2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Proceeds from disposition of property and equipment</w:t>
            </w: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2,014,049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80" w:type="dxa"/>
            <w:vAlign w:val="bottom"/>
            <w:shd w:val="clear" w:color="auto" w:fill="CFF0FC"/>
          </w:tcPr>
          <w:p>
            <w:pPr>
              <w:ind w:left="620"/>
              <w:spacing w:after="0"/>
              <w:rPr>
                <w:sz w:val="20"/>
                <w:szCs w:val="20"/>
                <w:color w:val="auto"/>
              </w:rPr>
            </w:pPr>
            <w:r>
              <w:rPr>
                <w:rFonts w:ascii="Arial" w:cs="Arial" w:eastAsia="Arial" w:hAnsi="Arial"/>
                <w:sz w:val="16"/>
                <w:szCs w:val="16"/>
                <w:color w:val="auto"/>
              </w:rPr>
              <w:t>Net cash provided by investing activities</w:t>
            </w:r>
          </w:p>
        </w:tc>
        <w:tc>
          <w:tcPr>
            <w:tcW w:w="4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2,014,049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280" w:type="dxa"/>
            <w:vAlign w:val="bottom"/>
            <w:shd w:val="clear" w:color="auto" w:fill="CFF0FC"/>
          </w:tcPr>
          <w:p>
            <w:pPr>
              <w:spacing w:after="0"/>
              <w:rPr>
                <w:sz w:val="20"/>
                <w:szCs w:val="20"/>
                <w:color w:val="auto"/>
              </w:rPr>
            </w:pPr>
            <w:r>
              <w:rPr>
                <w:rFonts w:ascii="Arial" w:cs="Arial" w:eastAsia="Arial" w:hAnsi="Arial"/>
                <w:sz w:val="16"/>
                <w:szCs w:val="16"/>
                <w:color w:val="auto"/>
              </w:rPr>
              <w:t>FINANCING ACTIVITIES:</w:t>
            </w:r>
          </w:p>
        </w:tc>
        <w:tc>
          <w:tcPr>
            <w:tcW w:w="4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280" w:type="dxa"/>
            <w:vAlign w:val="bottom"/>
          </w:tcPr>
          <w:p>
            <w:pPr>
              <w:spacing w:after="0"/>
              <w:rPr>
                <w:sz w:val="20"/>
                <w:szCs w:val="20"/>
                <w:color w:val="auto"/>
              </w:rPr>
            </w:pPr>
            <w:r>
              <w:rPr>
                <w:rFonts w:ascii="Arial" w:cs="Arial" w:eastAsia="Arial" w:hAnsi="Arial"/>
                <w:sz w:val="16"/>
                <w:szCs w:val="16"/>
                <w:color w:val="auto"/>
              </w:rPr>
              <w:t>Repayments of long-term debt</w:t>
            </w:r>
          </w:p>
        </w:tc>
        <w:tc>
          <w:tcPr>
            <w:tcW w:w="480" w:type="dxa"/>
            <w:vAlign w:val="bottom"/>
          </w:tcPr>
          <w:p>
            <w:pPr>
              <w:spacing w:after="0"/>
              <w:rPr>
                <w:sz w:val="18"/>
                <w:szCs w:val="18"/>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6"/>
                <w:szCs w:val="16"/>
                <w:color w:val="auto"/>
              </w:rPr>
              <w:t>(5,505,986)</w:t>
            </w:r>
          </w:p>
        </w:tc>
        <w:tc>
          <w:tcPr>
            <w:tcW w:w="0" w:type="dxa"/>
            <w:vAlign w:val="bottom"/>
          </w:tcPr>
          <w:p>
            <w:pPr>
              <w:spacing w:after="0"/>
              <w:rPr>
                <w:sz w:val="1"/>
                <w:szCs w:val="1"/>
                <w:color w:val="auto"/>
              </w:rPr>
            </w:pPr>
          </w:p>
        </w:tc>
      </w:tr>
      <w:tr>
        <w:trPr>
          <w:trHeight w:val="20"/>
        </w:trPr>
        <w:tc>
          <w:tcPr>
            <w:tcW w:w="9280" w:type="dxa"/>
            <w:vAlign w:val="bottom"/>
            <w:vMerge w:val="restart"/>
            <w:shd w:val="clear" w:color="auto" w:fill="CFF0FC"/>
          </w:tcPr>
          <w:p>
            <w:pPr>
              <w:ind w:left="620"/>
              <w:spacing w:after="0"/>
              <w:rPr>
                <w:sz w:val="20"/>
                <w:szCs w:val="20"/>
                <w:color w:val="auto"/>
              </w:rPr>
            </w:pPr>
            <w:r>
              <w:rPr>
                <w:rFonts w:ascii="Arial" w:cs="Arial" w:eastAsia="Arial" w:hAnsi="Arial"/>
                <w:sz w:val="16"/>
                <w:szCs w:val="16"/>
                <w:color w:val="auto"/>
              </w:rPr>
              <w:t>Net cash used in financing activities</w:t>
            </w:r>
          </w:p>
        </w:tc>
        <w:tc>
          <w:tcPr>
            <w:tcW w:w="4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80" w:type="dxa"/>
            <w:vAlign w:val="bottom"/>
            <w:vMerge w:val="continue"/>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(5,505,986)</w:t>
            </w:r>
          </w:p>
        </w:tc>
        <w:tc>
          <w:tcPr>
            <w:tcW w:w="0" w:type="dxa"/>
            <w:vAlign w:val="bottom"/>
          </w:tcPr>
          <w:p>
            <w:pPr>
              <w:spacing w:after="0"/>
              <w:rPr>
                <w:sz w:val="1"/>
                <w:szCs w:val="1"/>
                <w:color w:val="auto"/>
              </w:rPr>
            </w:pPr>
          </w:p>
        </w:tc>
      </w:tr>
      <w:tr>
        <w:trPr>
          <w:trHeight w:val="213"/>
        </w:trPr>
        <w:tc>
          <w:tcPr>
            <w:tcW w:w="928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280" w:type="dxa"/>
            <w:vAlign w:val="bottom"/>
            <w:shd w:val="clear" w:color="auto" w:fill="CFF0FC"/>
          </w:tcPr>
          <w:p>
            <w:pPr>
              <w:spacing w:after="0"/>
              <w:rPr>
                <w:sz w:val="20"/>
                <w:szCs w:val="20"/>
                <w:color w:val="auto"/>
              </w:rPr>
            </w:pPr>
            <w:r>
              <w:rPr>
                <w:rFonts w:ascii="Arial" w:cs="Arial" w:eastAsia="Arial" w:hAnsi="Arial"/>
                <w:sz w:val="16"/>
                <w:szCs w:val="16"/>
                <w:color w:val="auto"/>
              </w:rPr>
              <w:t>Net decrease in cash</w:t>
            </w:r>
          </w:p>
        </w:tc>
        <w:tc>
          <w:tcPr>
            <w:tcW w:w="4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(5,902,777)</w:t>
            </w:r>
          </w:p>
        </w:tc>
        <w:tc>
          <w:tcPr>
            <w:tcW w:w="0" w:type="dxa"/>
            <w:vAlign w:val="bottom"/>
          </w:tcPr>
          <w:p>
            <w:pPr>
              <w:spacing w:after="0"/>
              <w:rPr>
                <w:sz w:val="1"/>
                <w:szCs w:val="1"/>
                <w:color w:val="auto"/>
              </w:rPr>
            </w:pPr>
          </w:p>
        </w:tc>
      </w:tr>
      <w:tr>
        <w:trPr>
          <w:trHeight w:val="211"/>
        </w:trPr>
        <w:tc>
          <w:tcPr>
            <w:tcW w:w="92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beginning of period</w:t>
            </w: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9,889,342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end of period</w:t>
            </w:r>
          </w:p>
        </w:tc>
        <w:tc>
          <w:tcPr>
            <w:tcW w:w="480" w:type="dxa"/>
            <w:vAlign w:val="bottom"/>
            <w:tcBorders>
              <w:bottom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3,986,565</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9280" w:type="dxa"/>
            <w:vAlign w:val="bottom"/>
            <w:shd w:val="clear" w:color="auto" w:fill="CFF0FC"/>
          </w:tcPr>
          <w:p>
            <w:pPr>
              <w:spacing w:after="0"/>
              <w:rPr>
                <w:sz w:val="20"/>
                <w:szCs w:val="20"/>
                <w:color w:val="auto"/>
              </w:rPr>
            </w:pPr>
            <w:r>
              <w:rPr>
                <w:rFonts w:ascii="Arial" w:cs="Arial" w:eastAsia="Arial" w:hAnsi="Arial"/>
                <w:sz w:val="16"/>
                <w:szCs w:val="16"/>
                <w:color w:val="auto"/>
              </w:rPr>
              <w:t>Supplemental disclosure of cash flow data:</w:t>
            </w:r>
          </w:p>
        </w:tc>
        <w:tc>
          <w:tcPr>
            <w:tcW w:w="4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280" w:type="dxa"/>
            <w:vAlign w:val="bottom"/>
          </w:tcPr>
          <w:p>
            <w:pPr>
              <w:ind w:left="260"/>
              <w:spacing w:after="0"/>
              <w:rPr>
                <w:sz w:val="20"/>
                <w:szCs w:val="20"/>
                <w:color w:val="auto"/>
              </w:rPr>
            </w:pPr>
            <w:r>
              <w:rPr>
                <w:rFonts w:ascii="Arial" w:cs="Arial" w:eastAsia="Arial" w:hAnsi="Arial"/>
                <w:sz w:val="16"/>
                <w:szCs w:val="16"/>
                <w:color w:val="auto"/>
              </w:rPr>
              <w:t>Interest paid</w:t>
            </w: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480,416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193675</wp:posOffset>
            </wp:positionV>
            <wp:extent cx="729043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160" w:name="page161"/>
    <w:bookmarkEnd w:id="160"/>
    <w:p>
      <w:pPr>
        <w:jc w:val="center"/>
        <w:ind w:right="20"/>
        <w:spacing w:after="0"/>
        <w:rPr>
          <w:sz w:val="20"/>
          <w:szCs w:val="20"/>
          <w:color w:val="auto"/>
        </w:rPr>
      </w:pPr>
      <w:r>
        <w:rPr>
          <w:rFonts w:ascii="Arial" w:cs="Arial" w:eastAsia="Arial" w:hAnsi="Arial"/>
          <w:sz w:val="21"/>
          <w:szCs w:val="21"/>
          <w:b w:val="1"/>
          <w:bCs w:val="1"/>
          <w:color w:val="auto"/>
        </w:rPr>
        <w:t>Amboy Aggregates Joint Venture and Subsidiaries</w:t>
      </w:r>
    </w:p>
    <w:p>
      <w:pPr>
        <w:spacing w:after="0" w:line="248"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As of December 31, 2016 (unaudited) and for the Period from January 1, 2017 to December 29, 2017 (unaudited), the Year ended December</w:t>
      </w:r>
    </w:p>
    <w:p>
      <w:pPr>
        <w:spacing w:after="0" w:line="18"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31, 2016 (unaudited) and for the Periods from January 1, 2015 to June 30, 2015 and July 1, 2015 to December 31, 2015</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 Organization and business</w:t>
      </w:r>
    </w:p>
    <w:p>
      <w:pPr>
        <w:spacing w:after="0" w:line="136" w:lineRule="exact"/>
        <w:rPr>
          <w:sz w:val="20"/>
          <w:szCs w:val="20"/>
          <w:color w:val="auto"/>
        </w:rPr>
      </w:pPr>
    </w:p>
    <w:p>
      <w:pPr>
        <w:jc w:val="both"/>
        <w:ind w:left="400"/>
        <w:spacing w:after="0" w:line="255" w:lineRule="auto"/>
        <w:rPr>
          <w:sz w:val="20"/>
          <w:szCs w:val="20"/>
          <w:color w:val="auto"/>
        </w:rPr>
      </w:pPr>
      <w:r>
        <w:rPr>
          <w:rFonts w:ascii="Arial" w:cs="Arial" w:eastAsia="Arial" w:hAnsi="Arial"/>
          <w:sz w:val="20"/>
          <w:szCs w:val="20"/>
          <w:color w:val="auto"/>
        </w:rPr>
        <w:t>Amboy Aggregates (“Amboy” or the “Company”) was established on January 1, 1989 as an equal Joint Venture between Great Lakes Dredge &amp; Dock Company, LLC (“Great Lakes”) and Ralph Clayton and Sons Materials, L.P.</w:t>
      </w:r>
    </w:p>
    <w:p>
      <w:pPr>
        <w:spacing w:after="0" w:line="191" w:lineRule="exact"/>
        <w:rPr>
          <w:sz w:val="20"/>
          <w:szCs w:val="20"/>
          <w:color w:val="auto"/>
        </w:rPr>
      </w:pPr>
    </w:p>
    <w:p>
      <w:pPr>
        <w:jc w:val="both"/>
        <w:ind w:left="400"/>
        <w:spacing w:after="0" w:line="255" w:lineRule="auto"/>
        <w:rPr>
          <w:sz w:val="20"/>
          <w:szCs w:val="20"/>
          <w:color w:val="auto"/>
        </w:rPr>
      </w:pPr>
      <w:r>
        <w:rPr>
          <w:rFonts w:ascii="Arial" w:cs="Arial" w:eastAsia="Arial" w:hAnsi="Arial"/>
          <w:sz w:val="20"/>
          <w:szCs w:val="20"/>
          <w:color w:val="auto"/>
        </w:rPr>
        <w:t>Amboy operated principally in one business segment which is to dredge, process, transport and sell fine aggregate in the New York Metropolitan area. Additionally, the liability of the members is limited to the members’ total equity.</w:t>
      </w:r>
    </w:p>
    <w:p>
      <w:pPr>
        <w:spacing w:after="0" w:line="191" w:lineRule="exact"/>
        <w:rPr>
          <w:sz w:val="20"/>
          <w:szCs w:val="20"/>
          <w:color w:val="auto"/>
        </w:rPr>
      </w:pPr>
    </w:p>
    <w:p>
      <w:pPr>
        <w:ind w:left="400"/>
        <w:spacing w:after="0"/>
        <w:rPr>
          <w:sz w:val="20"/>
          <w:szCs w:val="20"/>
          <w:color w:val="auto"/>
        </w:rPr>
      </w:pPr>
      <w:r>
        <w:rPr>
          <w:rFonts w:ascii="Arial" w:cs="Arial" w:eastAsia="Arial" w:hAnsi="Arial"/>
          <w:sz w:val="20"/>
          <w:szCs w:val="20"/>
          <w:color w:val="auto"/>
        </w:rPr>
        <w:t>Amboy was terminated by the Joint Venture partners on December 29, 2017.</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Note 2 - Summary of significant accounting policies</w:t>
      </w:r>
    </w:p>
    <w:p>
      <w:pPr>
        <w:spacing w:after="0" w:line="130"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Principles of consolidation</w:t>
      </w:r>
    </w:p>
    <w:p>
      <w:pPr>
        <w:spacing w:after="0" w:line="136" w:lineRule="exact"/>
        <w:rPr>
          <w:sz w:val="20"/>
          <w:szCs w:val="20"/>
          <w:color w:val="auto"/>
        </w:rPr>
      </w:pPr>
    </w:p>
    <w:p>
      <w:pPr>
        <w:jc w:val="both"/>
        <w:ind w:left="400"/>
        <w:spacing w:after="0" w:line="255" w:lineRule="auto"/>
        <w:rPr>
          <w:sz w:val="20"/>
          <w:szCs w:val="20"/>
          <w:color w:val="auto"/>
        </w:rPr>
      </w:pPr>
      <w:r>
        <w:rPr>
          <w:rFonts w:ascii="Arial" w:cs="Arial" w:eastAsia="Arial" w:hAnsi="Arial"/>
          <w:sz w:val="20"/>
          <w:szCs w:val="20"/>
          <w:color w:val="auto"/>
        </w:rPr>
        <w:t>The consolidated financial statements include the accounts of Amboy and its majority-owned subsidiaries. All significant intercompany accounts and transactions have been eliminated in consolidation.</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Use of estimates</w:t>
      </w:r>
    </w:p>
    <w:p>
      <w:pPr>
        <w:spacing w:after="0" w:line="136"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The preparation of financial statements in conformity with accounting principles generally accepted in the United States of America (“GAAP”) requires management to make estimates and assumptions that affect certain reported amounts and disclosures. Accordingly, actual results could differ from those estimates.</w:t>
      </w:r>
    </w:p>
    <w:p>
      <w:pPr>
        <w:spacing w:after="0" w:line="194"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Concentration risks</w:t>
      </w:r>
    </w:p>
    <w:p>
      <w:pPr>
        <w:spacing w:after="0" w:line="136" w:lineRule="exact"/>
        <w:rPr>
          <w:sz w:val="20"/>
          <w:szCs w:val="20"/>
          <w:color w:val="auto"/>
        </w:rPr>
      </w:pPr>
    </w:p>
    <w:p>
      <w:pPr>
        <w:jc w:val="both"/>
        <w:ind w:left="400"/>
        <w:spacing w:after="0" w:line="242" w:lineRule="auto"/>
        <w:rPr>
          <w:sz w:val="20"/>
          <w:szCs w:val="20"/>
          <w:color w:val="auto"/>
        </w:rPr>
      </w:pPr>
      <w:r>
        <w:rPr>
          <w:rFonts w:ascii="Arial" w:cs="Arial" w:eastAsia="Arial" w:hAnsi="Arial"/>
          <w:sz w:val="20"/>
          <w:szCs w:val="20"/>
          <w:color w:val="auto"/>
        </w:rPr>
        <w:t>Financial instruments which potentially subject the Company to concentrations of credit risk consist principally of cash and accounts receivable. The Company maintained its cash with high credit quality financial institutions. Accounts at these institutions were insured by the Federal Deposit Insurance Company ("FDIC") up to $250,000. As of December 29, 2017, the Company had distributed all remaining cash to the Joint Venture partners.</w:t>
      </w:r>
    </w:p>
    <w:p>
      <w:pPr>
        <w:spacing w:after="0" w:line="200"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Inventory</w:t>
      </w:r>
    </w:p>
    <w:p>
      <w:pPr>
        <w:spacing w:after="0" w:line="13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Inventory is stated at the lower of cost, determined using the first-in, first-out (FIFO) method, or market.</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Property, plant and equipment</w:t>
      </w:r>
    </w:p>
    <w:p>
      <w:pPr>
        <w:spacing w:after="0" w:line="136" w:lineRule="exact"/>
        <w:rPr>
          <w:sz w:val="20"/>
          <w:szCs w:val="20"/>
          <w:color w:val="auto"/>
        </w:rPr>
      </w:pPr>
    </w:p>
    <w:p>
      <w:pPr>
        <w:jc w:val="both"/>
        <w:ind w:left="400"/>
        <w:spacing w:after="0" w:line="255" w:lineRule="auto"/>
        <w:rPr>
          <w:sz w:val="20"/>
          <w:szCs w:val="20"/>
          <w:color w:val="auto"/>
        </w:rPr>
      </w:pPr>
      <w:r>
        <w:rPr>
          <w:rFonts w:ascii="Arial" w:cs="Arial" w:eastAsia="Arial" w:hAnsi="Arial"/>
          <w:sz w:val="20"/>
          <w:szCs w:val="20"/>
          <w:color w:val="auto"/>
        </w:rPr>
        <w:t>Property, plant and equipment are stated at cost less accumulated depreciation. Depreciation is computed using the straight-line method over the estimated useful lives of the respective assets.</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Impairment of long-lived assets</w:t>
      </w:r>
    </w:p>
    <w:p>
      <w:pPr>
        <w:spacing w:after="0" w:line="136" w:lineRule="exact"/>
        <w:rPr>
          <w:sz w:val="20"/>
          <w:szCs w:val="20"/>
          <w:color w:val="auto"/>
        </w:rPr>
      </w:pPr>
    </w:p>
    <w:p>
      <w:pPr>
        <w:jc w:val="both"/>
        <w:ind w:left="400"/>
        <w:spacing w:after="0" w:line="241" w:lineRule="auto"/>
        <w:rPr>
          <w:sz w:val="20"/>
          <w:szCs w:val="20"/>
          <w:color w:val="auto"/>
        </w:rPr>
      </w:pPr>
      <w:r>
        <w:rPr>
          <w:rFonts w:ascii="Arial" w:cs="Arial" w:eastAsia="Arial" w:hAnsi="Arial"/>
          <w:sz w:val="20"/>
          <w:szCs w:val="20"/>
          <w:color w:val="auto"/>
        </w:rPr>
        <w:t>The Company reviews long-lived assets for impairment whenever events or changes in business circumstances indicate that the carrying amount of the asset may not be fully recoverable. If facts and circumstances indicate that the Company's long-lived assets might be impaired, the estimated future undiscounted cash flows associated with the long-lived asset would be compared to its carrying amounts to determine if a write-down to fair value is necessary. If a write-down is required, the amount is determined by estimation of the present value of net discounted cash flows.</w:t>
      </w:r>
    </w:p>
    <w:p>
      <w:pPr>
        <w:spacing w:after="0" w:line="199"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Permits</w:t>
      </w:r>
    </w:p>
    <w:p>
      <w:pPr>
        <w:spacing w:after="0" w:line="136" w:lineRule="exact"/>
        <w:rPr>
          <w:sz w:val="20"/>
          <w:szCs w:val="20"/>
          <w:color w:val="auto"/>
        </w:rPr>
      </w:pPr>
    </w:p>
    <w:p>
      <w:pPr>
        <w:jc w:val="both"/>
        <w:ind w:left="400"/>
        <w:spacing w:after="0" w:line="255" w:lineRule="auto"/>
        <w:rPr>
          <w:sz w:val="20"/>
          <w:szCs w:val="20"/>
          <w:color w:val="auto"/>
        </w:rPr>
      </w:pPr>
      <w:r>
        <w:rPr>
          <w:rFonts w:ascii="Arial" w:cs="Arial" w:eastAsia="Arial" w:hAnsi="Arial"/>
          <w:sz w:val="20"/>
          <w:szCs w:val="20"/>
          <w:color w:val="auto"/>
        </w:rPr>
        <w:t>Costs incurred in connection with obtaining permits to dredge the Company's products are amortized on the straight-line basis over the term of the related permits.</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193675</wp:posOffset>
            </wp:positionV>
            <wp:extent cx="729043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60" w:top="111" w:right="239" w:bottom="1440" w:gutter="0" w:footer="0" w:header="0"/>
        </w:sectPr>
      </w:pPr>
    </w:p>
    <w:bookmarkStart w:id="161" w:name="page162"/>
    <w:bookmarkEnd w:id="161"/>
    <w:p>
      <w:pPr>
        <w:jc w:val="center"/>
        <w:spacing w:after="0"/>
        <w:rPr>
          <w:sz w:val="20"/>
          <w:szCs w:val="20"/>
          <w:color w:val="auto"/>
        </w:rPr>
      </w:pPr>
      <w:r>
        <w:rPr>
          <w:rFonts w:ascii="Arial" w:cs="Arial" w:eastAsia="Arial" w:hAnsi="Arial"/>
          <w:sz w:val="21"/>
          <w:szCs w:val="21"/>
          <w:b w:val="1"/>
          <w:bCs w:val="1"/>
          <w:color w:val="auto"/>
        </w:rPr>
        <w:t>Amboy Aggregates Joint Venture and Subsidiaries</w:t>
      </w:r>
    </w:p>
    <w:p>
      <w:pPr>
        <w:spacing w:after="0" w:line="248"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As of December 31, 2016 (unaudited) and for the Period from January 1, 2017 to December 29, 2017 (unaudited), the Year ended December</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31, 2016 (unaudited) and for the Periods from January 1, 2015 to June 30, 2015 and July 1, 2015 to December 31, 2015</w:t>
      </w:r>
    </w:p>
    <w:p>
      <w:pPr>
        <w:spacing w:after="0" w:line="200" w:lineRule="exact"/>
        <w:rPr>
          <w:sz w:val="20"/>
          <w:szCs w:val="20"/>
          <w:color w:val="auto"/>
        </w:rPr>
      </w:pPr>
    </w:p>
    <w:p>
      <w:pPr>
        <w:spacing w:after="0" w:line="252" w:lineRule="exact"/>
        <w:rPr>
          <w:sz w:val="20"/>
          <w:szCs w:val="20"/>
          <w:color w:val="auto"/>
        </w:rPr>
      </w:pPr>
    </w:p>
    <w:p>
      <w:pPr>
        <w:ind w:left="420"/>
        <w:spacing w:after="0"/>
        <w:rPr>
          <w:sz w:val="20"/>
          <w:szCs w:val="20"/>
          <w:color w:val="auto"/>
        </w:rPr>
      </w:pPr>
      <w:r>
        <w:rPr>
          <w:rFonts w:ascii="Arial" w:cs="Arial" w:eastAsia="Arial" w:hAnsi="Arial"/>
          <w:sz w:val="20"/>
          <w:szCs w:val="20"/>
          <w:b w:val="1"/>
          <w:bCs w:val="1"/>
          <w:color w:val="auto"/>
        </w:rPr>
        <w:t>Revenue recognition</w:t>
      </w:r>
    </w:p>
    <w:p>
      <w:pPr>
        <w:spacing w:after="0" w:line="136" w:lineRule="exact"/>
        <w:rPr>
          <w:sz w:val="20"/>
          <w:szCs w:val="20"/>
          <w:color w:val="auto"/>
        </w:rPr>
      </w:pPr>
    </w:p>
    <w:p>
      <w:pPr>
        <w:jc w:val="both"/>
        <w:ind w:left="420"/>
        <w:spacing w:after="0" w:line="246" w:lineRule="auto"/>
        <w:rPr>
          <w:sz w:val="20"/>
          <w:szCs w:val="20"/>
          <w:color w:val="auto"/>
        </w:rPr>
      </w:pPr>
      <w:r>
        <w:rPr>
          <w:rFonts w:ascii="Arial" w:cs="Arial" w:eastAsia="Arial" w:hAnsi="Arial"/>
          <w:sz w:val="20"/>
          <w:szCs w:val="20"/>
          <w:color w:val="auto"/>
        </w:rPr>
        <w:t>Sales are recognized when revenue is realized or becomes realizable and has been earned. In general, revenue is recognized when the earnings process is complete and collectability is reasonably assured which is usually upon shipment of the product. Amounts billed related to shipping and handling are included in revenue.</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20"/>
          <w:szCs w:val="20"/>
          <w:b w:val="1"/>
          <w:bCs w:val="1"/>
          <w:color w:val="auto"/>
        </w:rPr>
        <w:t>Shipping and handling costs</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20"/>
          <w:szCs w:val="20"/>
          <w:color w:val="auto"/>
        </w:rPr>
        <w:t>Shipping and handling costs are included in cost of sales.</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20"/>
          <w:szCs w:val="20"/>
          <w:b w:val="1"/>
          <w:bCs w:val="1"/>
          <w:color w:val="auto"/>
        </w:rPr>
        <w:t>Income taxes</w:t>
      </w:r>
    </w:p>
    <w:p>
      <w:pPr>
        <w:spacing w:after="0" w:line="136" w:lineRule="exact"/>
        <w:rPr>
          <w:sz w:val="20"/>
          <w:szCs w:val="20"/>
          <w:color w:val="auto"/>
        </w:rPr>
      </w:pPr>
    </w:p>
    <w:p>
      <w:pPr>
        <w:jc w:val="both"/>
        <w:ind w:left="420"/>
        <w:spacing w:after="0" w:line="255" w:lineRule="auto"/>
        <w:rPr>
          <w:sz w:val="20"/>
          <w:szCs w:val="20"/>
          <w:color w:val="auto"/>
        </w:rPr>
      </w:pPr>
      <w:r>
        <w:rPr>
          <w:rFonts w:ascii="Arial" w:cs="Arial" w:eastAsia="Arial" w:hAnsi="Arial"/>
          <w:sz w:val="20"/>
          <w:szCs w:val="20"/>
          <w:color w:val="auto"/>
        </w:rPr>
        <w:t>Income or loss of the Company is includible in the income tax returns of the partners in proportion to their respective interests. Accordingly, there is no provision for income taxes in the accompanying consolidated financial statements.</w:t>
      </w:r>
    </w:p>
    <w:p>
      <w:pPr>
        <w:spacing w:after="0" w:line="191" w:lineRule="exact"/>
        <w:rPr>
          <w:sz w:val="20"/>
          <w:szCs w:val="20"/>
          <w:color w:val="auto"/>
        </w:rPr>
      </w:pPr>
    </w:p>
    <w:p>
      <w:pPr>
        <w:jc w:val="both"/>
        <w:ind w:left="420"/>
        <w:spacing w:after="0" w:line="255" w:lineRule="auto"/>
        <w:rPr>
          <w:sz w:val="20"/>
          <w:szCs w:val="20"/>
          <w:color w:val="auto"/>
        </w:rPr>
      </w:pPr>
      <w:r>
        <w:rPr>
          <w:rFonts w:ascii="Arial" w:cs="Arial" w:eastAsia="Arial" w:hAnsi="Arial"/>
          <w:sz w:val="20"/>
          <w:szCs w:val="20"/>
          <w:color w:val="auto"/>
        </w:rPr>
        <w:t>The Company has no unrecognized tax benefits at December 29, 2017 or December 31, 2016. The Company's Federal and state income tax returns are closed.</w:t>
      </w:r>
    </w:p>
    <w:p>
      <w:pPr>
        <w:spacing w:after="0" w:line="191" w:lineRule="exact"/>
        <w:rPr>
          <w:sz w:val="20"/>
          <w:szCs w:val="20"/>
          <w:color w:val="auto"/>
        </w:rPr>
      </w:pPr>
    </w:p>
    <w:p>
      <w:pPr>
        <w:jc w:val="both"/>
        <w:ind w:left="420"/>
        <w:spacing w:after="0" w:line="310" w:lineRule="auto"/>
        <w:rPr>
          <w:sz w:val="20"/>
          <w:szCs w:val="20"/>
          <w:color w:val="auto"/>
        </w:rPr>
      </w:pPr>
      <w:r>
        <w:rPr>
          <w:rFonts w:ascii="Arial" w:cs="Arial" w:eastAsia="Arial" w:hAnsi="Arial"/>
          <w:sz w:val="18"/>
          <w:szCs w:val="18"/>
          <w:color w:val="auto"/>
        </w:rPr>
        <w:t>The Company recognizes interest and penalties associated with income tax matters as part of the income tax provision, if applicable, and includes accrued interest and penalties with the related tax liability in the accompanying consolidated balance sheets.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20"/>
          <w:szCs w:val="20"/>
          <w:b w:val="1"/>
          <w:bCs w:val="1"/>
          <w:color w:val="auto"/>
        </w:rPr>
        <w:t>Liquidation</w:t>
      </w:r>
    </w:p>
    <w:p>
      <w:pPr>
        <w:spacing w:after="0" w:line="229" w:lineRule="exact"/>
        <w:rPr>
          <w:sz w:val="20"/>
          <w:szCs w:val="20"/>
          <w:color w:val="auto"/>
        </w:rPr>
      </w:pPr>
    </w:p>
    <w:p>
      <w:pPr>
        <w:jc w:val="both"/>
        <w:ind w:left="420"/>
        <w:spacing w:after="0" w:line="269" w:lineRule="auto"/>
        <w:rPr>
          <w:sz w:val="20"/>
          <w:szCs w:val="20"/>
          <w:color w:val="auto"/>
        </w:rPr>
      </w:pPr>
      <w:r>
        <w:rPr>
          <w:rFonts w:ascii="Arial" w:cs="Arial" w:eastAsia="Arial" w:hAnsi="Arial"/>
          <w:sz w:val="18"/>
          <w:szCs w:val="18"/>
          <w:color w:val="auto"/>
        </w:rPr>
        <w:t>Based on discussions with the Company’s partners, it was determined that liquidation of Amboy was imminent as of July 1, 2015. The Company’s partners were in discussions to abandon and write-off inventory in addition to relinquishing the license agreement with the State of New Jersey which enables the Company to conduct operations. Therefore, effective July 1, 2015, the Company applied the liquidation basis of accounting on a prospective basis. The liquidation basis of accounting requires the Company to estimate amounts of cash or other consideration it expects to collect and to accrue all costs associated with implementing and completing the plan of liquidation and requires management to make estimates that affect the amounts reported in the consolidated financial statements and related notes. To the extent there are any changes in the Company’s July 1, 2015 initial estimates, there will be changes reflected in the Statement of Changes in Net Assets in Liquidation.</w:t>
      </w:r>
    </w:p>
    <w:p>
      <w:pPr>
        <w:spacing w:after="0" w:line="184" w:lineRule="exact"/>
        <w:rPr>
          <w:sz w:val="20"/>
          <w:szCs w:val="20"/>
          <w:color w:val="auto"/>
        </w:rPr>
      </w:pPr>
    </w:p>
    <w:p>
      <w:pPr>
        <w:jc w:val="both"/>
        <w:ind w:left="420" w:right="20"/>
        <w:spacing w:after="0" w:line="255" w:lineRule="auto"/>
        <w:rPr>
          <w:sz w:val="20"/>
          <w:szCs w:val="20"/>
          <w:color w:val="auto"/>
        </w:rPr>
      </w:pPr>
      <w:r>
        <w:rPr>
          <w:rFonts w:ascii="Arial" w:cs="Arial" w:eastAsia="Arial" w:hAnsi="Arial"/>
          <w:sz w:val="20"/>
          <w:szCs w:val="20"/>
          <w:color w:val="auto"/>
        </w:rPr>
        <w:t>The Company fully liquidated its Net Assets in Liquidation during 2017. Amboy completed the restoration of two piers which were damaged as a result of operations in 2017. The Company was fully dissolved on December 29, 2017.</w:t>
      </w:r>
    </w:p>
    <w:p>
      <w:pPr>
        <w:spacing w:after="0" w:line="191" w:lineRule="exact"/>
        <w:rPr>
          <w:sz w:val="20"/>
          <w:szCs w:val="20"/>
          <w:color w:val="auto"/>
        </w:rPr>
      </w:pPr>
    </w:p>
    <w:p>
      <w:pPr>
        <w:jc w:val="both"/>
        <w:ind w:left="420" w:right="20"/>
        <w:spacing w:after="0" w:line="310" w:lineRule="auto"/>
        <w:rPr>
          <w:sz w:val="20"/>
          <w:szCs w:val="20"/>
          <w:color w:val="auto"/>
        </w:rPr>
      </w:pPr>
      <w:r>
        <w:rPr>
          <w:rFonts w:ascii="Arial" w:cs="Arial" w:eastAsia="Arial" w:hAnsi="Arial"/>
          <w:sz w:val="18"/>
          <w:szCs w:val="18"/>
          <w:color w:val="auto"/>
        </w:rPr>
        <w:t>The consolidated financial statements for the period from January 1, 2015 to June 30, 2015, were prepared on the going concern basis of accounting, which contemplates the realization of assets and satisfaction of liabilities in the normal course of business.</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 Cumulative effect of accounting change/net assets in liquidation</w:t>
      </w:r>
    </w:p>
    <w:p>
      <w:pPr>
        <w:spacing w:after="0" w:line="229" w:lineRule="exact"/>
        <w:rPr>
          <w:sz w:val="20"/>
          <w:szCs w:val="20"/>
          <w:color w:val="auto"/>
        </w:rPr>
      </w:pPr>
    </w:p>
    <w:p>
      <w:pPr>
        <w:jc w:val="both"/>
        <w:ind w:left="420" w:right="20"/>
        <w:spacing w:after="0" w:line="255" w:lineRule="auto"/>
        <w:rPr>
          <w:sz w:val="20"/>
          <w:szCs w:val="20"/>
          <w:color w:val="auto"/>
        </w:rPr>
      </w:pPr>
      <w:r>
        <w:rPr>
          <w:rFonts w:ascii="Arial" w:cs="Arial" w:eastAsia="Arial" w:hAnsi="Arial"/>
          <w:sz w:val="20"/>
          <w:szCs w:val="20"/>
          <w:color w:val="auto"/>
        </w:rPr>
        <w:t>The following is a reconciliation of partners’ capital under the going concern basis of accounting to net assets in liquidation under the liquidation basis of accounting as of July 1, 2015.</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193675</wp:posOffset>
            </wp:positionV>
            <wp:extent cx="729043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62" w:name="page163"/>
    <w:bookmarkEnd w:id="162"/>
    <w:p>
      <w:pPr>
        <w:jc w:val="center"/>
        <w:ind w:right="40"/>
        <w:spacing w:after="0"/>
        <w:rPr>
          <w:sz w:val="20"/>
          <w:szCs w:val="20"/>
          <w:color w:val="auto"/>
        </w:rPr>
      </w:pPr>
      <w:r>
        <w:rPr>
          <w:rFonts w:ascii="Arial" w:cs="Arial" w:eastAsia="Arial" w:hAnsi="Arial"/>
          <w:sz w:val="21"/>
          <w:szCs w:val="21"/>
          <w:b w:val="1"/>
          <w:bCs w:val="1"/>
          <w:color w:val="auto"/>
        </w:rPr>
        <w:t>Amboy Aggregates Joint Venture and Subsidiaries</w:t>
      </w:r>
    </w:p>
    <w:p>
      <w:pPr>
        <w:spacing w:after="0" w:line="248"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 of December 31, 2016 (unaudited) and for the Period from January 1, 2017 to December 29, 2017 (unaudited), the Year ended December</w:t>
      </w:r>
    </w:p>
    <w:p>
      <w:pPr>
        <w:spacing w:after="0" w:line="29"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31, 2016 (unaudited) and for the Periods from January 1, 2015 to June 30, 2015 and July 1, 2015 to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164465</wp:posOffset>
            </wp:positionV>
            <wp:extent cx="5791835" cy="144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1">
                      <a:extLst>
                        <a:ext uri="{28A0092B-C50C-407E-A947-70E740481C1C}"/>
                      </a:extLst>
                    </a:blip>
                    <a:srcRect/>
                    <a:stretch>
                      <a:fillRect/>
                    </a:stretch>
                  </pic:blipFill>
                  <pic:spPr bwMode="auto">
                    <a:xfrm>
                      <a:off x="0" y="0"/>
                      <a:ext cx="5791835" cy="144145"/>
                    </a:xfrm>
                    <a:prstGeom prst="rect">
                      <a:avLst/>
                    </a:prstGeom>
                    <a:noFill/>
                  </pic:spPr>
                </pic:pic>
              </a:graphicData>
            </a:graphic>
          </wp:anchor>
        </w:drawing>
      </w:r>
    </w:p>
    <w:p>
      <w:pPr>
        <w:sectPr>
          <w:pgSz w:w="11900" w:h="16838" w:orient="portrait"/>
          <w:cols w:equalWidth="0" w:num="1">
            <w:col w:w="11380"/>
          </w:cols>
          <w:pgMar w:left="280" w:top="112" w:right="239" w:bottom="1440" w:gutter="0" w:footer="0" w:header="0"/>
        </w:sectPr>
      </w:pPr>
    </w:p>
    <w:p>
      <w:pPr>
        <w:spacing w:after="0" w:line="26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Partners' capital as of June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155575</wp:posOffset>
            </wp:positionV>
            <wp:extent cx="5791835" cy="144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2">
                      <a:extLst>
                        <a:ext uri="{28A0092B-C50C-407E-A947-70E740481C1C}"/>
                      </a:extLst>
                    </a:blip>
                    <a:srcRect/>
                    <a:stretch>
                      <a:fillRect/>
                    </a:stretch>
                  </pic:blipFill>
                  <pic:spPr bwMode="auto">
                    <a:xfrm>
                      <a:off x="0" y="0"/>
                      <a:ext cx="5791835" cy="144145"/>
                    </a:xfrm>
                    <a:prstGeom prst="rect">
                      <a:avLst/>
                    </a:prstGeom>
                    <a:noFill/>
                  </pic:spPr>
                </pic:pic>
              </a:graphicData>
            </a:graphic>
          </wp:anchor>
        </w:drawing>
      </w:r>
    </w:p>
    <w:p>
      <w:pPr>
        <w:spacing w:after="0" w:line="226"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Increase due to estimated accounts receivable settlement</w:t>
      </w:r>
    </w:p>
    <w:p>
      <w:pPr>
        <w:spacing w:after="0" w:line="2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Increase due to estimated net realizable value of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12065</wp:posOffset>
            </wp:positionV>
            <wp:extent cx="5791835" cy="144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3">
                      <a:extLst>
                        <a:ext uri="{28A0092B-C50C-407E-A947-70E740481C1C}"/>
                      </a:extLst>
                    </a:blip>
                    <a:srcRect/>
                    <a:stretch>
                      <a:fillRect/>
                    </a:stretch>
                  </pic:blipFill>
                  <pic:spPr bwMode="auto">
                    <a:xfrm>
                      <a:off x="0" y="0"/>
                      <a:ext cx="5791835" cy="144145"/>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Decrease due to estimated net realizable value of inventory</w:t>
      </w:r>
    </w:p>
    <w:p>
      <w:pPr>
        <w:spacing w:after="0" w:line="2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Increase due to contract obligation to restore pier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12065</wp:posOffset>
            </wp:positionV>
            <wp:extent cx="5791835" cy="144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4">
                      <a:extLst>
                        <a:ext uri="{28A0092B-C50C-407E-A947-70E740481C1C}"/>
                      </a:extLst>
                    </a:blip>
                    <a:srcRect/>
                    <a:stretch>
                      <a:fillRect/>
                    </a:stretch>
                  </pic:blipFill>
                  <pic:spPr bwMode="auto">
                    <a:xfrm>
                      <a:off x="0" y="0"/>
                      <a:ext cx="5791835" cy="144145"/>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8"/>
          <w:szCs w:val="18"/>
          <w:color w:val="auto"/>
        </w:rPr>
        <w:t>Liability for accrued estimated disposal costs of liquidation</w:t>
      </w:r>
    </w:p>
    <w:p>
      <w:pPr>
        <w:spacing w:after="0" w:line="33"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Adjustments to reflect the change to the liquidation basis of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26670</wp:posOffset>
            </wp:positionV>
            <wp:extent cx="5791835" cy="1606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5">
                      <a:extLst>
                        <a:ext uri="{28A0092B-C50C-407E-A947-70E740481C1C}"/>
                      </a:extLst>
                    </a:blip>
                    <a:srcRect/>
                    <a:stretch>
                      <a:fillRect/>
                    </a:stretch>
                  </pic:blipFill>
                  <pic:spPr bwMode="auto">
                    <a:xfrm>
                      <a:off x="0" y="0"/>
                      <a:ext cx="5791835" cy="160655"/>
                    </a:xfrm>
                    <a:prstGeom prst="rect">
                      <a:avLst/>
                    </a:prstGeom>
                    <a:noFill/>
                  </pic:spPr>
                </pic:pic>
              </a:graphicData>
            </a:graphic>
          </wp:anchor>
        </w:drawing>
      </w:r>
    </w:p>
    <w:p>
      <w:pPr>
        <w:spacing w:after="0" w:line="36"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Estimated value of net assets in liquidation as of July 1, 2015</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ind w:left="726" w:hanging="726"/>
        <w:spacing w:after="0"/>
        <w:tabs>
          <w:tab w:leader="none" w:pos="726" w:val="left"/>
        </w:tabs>
        <w:numPr>
          <w:ilvl w:val="0"/>
          <w:numId w:val="57"/>
        </w:numPr>
        <w:rPr>
          <w:rFonts w:ascii="Arial" w:cs="Arial" w:eastAsia="Arial" w:hAnsi="Arial"/>
          <w:sz w:val="18"/>
          <w:szCs w:val="18"/>
          <w:color w:val="auto"/>
        </w:rPr>
      </w:pPr>
      <w:r>
        <w:rPr>
          <w:rFonts w:ascii="Arial" w:cs="Arial" w:eastAsia="Arial" w:hAnsi="Arial"/>
          <w:sz w:val="18"/>
          <w:szCs w:val="18"/>
          <w:color w:val="auto"/>
        </w:rPr>
        <w:t>478,478</w:t>
      </w:r>
    </w:p>
    <w:p>
      <w:pPr>
        <w:spacing w:after="0" w:line="246" w:lineRule="exact"/>
        <w:rPr>
          <w:rFonts w:ascii="Arial" w:cs="Arial" w:eastAsia="Arial" w:hAnsi="Arial"/>
          <w:sz w:val="18"/>
          <w:szCs w:val="18"/>
          <w:color w:val="auto"/>
        </w:rPr>
      </w:pPr>
    </w:p>
    <w:p>
      <w:pPr>
        <w:ind w:left="726"/>
        <w:spacing w:after="0"/>
        <w:rPr>
          <w:rFonts w:ascii="Arial" w:cs="Arial" w:eastAsia="Arial" w:hAnsi="Arial"/>
          <w:sz w:val="18"/>
          <w:szCs w:val="18"/>
          <w:color w:val="auto"/>
        </w:rPr>
      </w:pPr>
      <w:r>
        <w:rPr>
          <w:rFonts w:ascii="Arial" w:cs="Arial" w:eastAsia="Arial" w:hAnsi="Arial"/>
          <w:sz w:val="18"/>
          <w:szCs w:val="18"/>
          <w:color w:val="auto"/>
        </w:rPr>
        <w:t>275,000</w:t>
      </w:r>
    </w:p>
    <w:p>
      <w:pPr>
        <w:spacing w:after="0" w:line="20" w:lineRule="exact"/>
        <w:rPr>
          <w:sz w:val="20"/>
          <w:szCs w:val="20"/>
          <w:color w:val="auto"/>
        </w:rPr>
      </w:pPr>
    </w:p>
    <w:p>
      <w:pPr>
        <w:ind w:left="726"/>
        <w:spacing w:after="0"/>
        <w:rPr>
          <w:sz w:val="20"/>
          <w:szCs w:val="20"/>
          <w:color w:val="auto"/>
        </w:rPr>
      </w:pPr>
      <w:r>
        <w:rPr>
          <w:rFonts w:ascii="Arial" w:cs="Arial" w:eastAsia="Arial" w:hAnsi="Arial"/>
          <w:sz w:val="18"/>
          <w:szCs w:val="18"/>
          <w:color w:val="auto"/>
        </w:rPr>
        <w:t>200,000</w:t>
      </w:r>
    </w:p>
    <w:p>
      <w:pPr>
        <w:spacing w:after="0" w:line="20" w:lineRule="exact"/>
        <w:rPr>
          <w:sz w:val="20"/>
          <w:szCs w:val="20"/>
          <w:color w:val="auto"/>
        </w:rPr>
      </w:pPr>
    </w:p>
    <w:p>
      <w:pPr>
        <w:jc w:val="right"/>
        <w:ind w:right="1160"/>
        <w:spacing w:after="0"/>
        <w:rPr>
          <w:sz w:val="20"/>
          <w:szCs w:val="20"/>
          <w:color w:val="auto"/>
        </w:rPr>
      </w:pPr>
      <w:r>
        <w:rPr>
          <w:rFonts w:ascii="Arial" w:cs="Arial" w:eastAsia="Arial" w:hAnsi="Arial"/>
          <w:sz w:val="18"/>
          <w:szCs w:val="18"/>
          <w:color w:val="auto"/>
        </w:rPr>
        <w:t>(1,007,573)</w:t>
      </w:r>
    </w:p>
    <w:p>
      <w:pPr>
        <w:spacing w:after="0" w:line="20" w:lineRule="exact"/>
        <w:rPr>
          <w:sz w:val="20"/>
          <w:szCs w:val="20"/>
          <w:color w:val="auto"/>
        </w:rPr>
      </w:pPr>
    </w:p>
    <w:p>
      <w:pPr>
        <w:ind w:left="726"/>
        <w:spacing w:after="0"/>
        <w:rPr>
          <w:sz w:val="20"/>
          <w:szCs w:val="20"/>
          <w:color w:val="auto"/>
        </w:rPr>
      </w:pPr>
      <w:r>
        <w:rPr>
          <w:rFonts w:ascii="Arial" w:cs="Arial" w:eastAsia="Arial" w:hAnsi="Arial"/>
          <w:sz w:val="18"/>
          <w:szCs w:val="18"/>
          <w:color w:val="auto"/>
        </w:rPr>
        <w:t>785,178</w:t>
      </w:r>
    </w:p>
    <w:p>
      <w:pPr>
        <w:spacing w:after="0" w:line="20" w:lineRule="exact"/>
        <w:rPr>
          <w:sz w:val="20"/>
          <w:szCs w:val="20"/>
          <w:color w:val="auto"/>
        </w:rPr>
      </w:pPr>
    </w:p>
    <w:p>
      <w:pPr>
        <w:jc w:val="right"/>
        <w:ind w:right="1160"/>
        <w:spacing w:after="0"/>
        <w:rPr>
          <w:sz w:val="20"/>
          <w:szCs w:val="20"/>
          <w:color w:val="auto"/>
        </w:rPr>
      </w:pPr>
      <w:r>
        <w:rPr>
          <w:rFonts w:ascii="Arial" w:cs="Arial" w:eastAsia="Arial" w:hAnsi="Arial"/>
          <w:sz w:val="18"/>
          <w:szCs w:val="18"/>
          <w:color w:val="auto"/>
        </w:rPr>
        <w:t>(447,081)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8382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6">
                      <a:extLst>
                        <a:ext uri="{28A0092B-C50C-407E-A947-70E740481C1C}"/>
                      </a:extLst>
                    </a:blip>
                    <a:srcRect/>
                    <a:stretch>
                      <a:fillRect/>
                    </a:stretch>
                  </pic:blipFill>
                  <pic:spPr bwMode="auto">
                    <a:xfrm>
                      <a:off x="0" y="0"/>
                      <a:ext cx="838200" cy="8255"/>
                    </a:xfrm>
                    <a:prstGeom prst="rect">
                      <a:avLst/>
                    </a:prstGeom>
                    <a:noFill/>
                  </pic:spPr>
                </pic:pic>
              </a:graphicData>
            </a:graphic>
          </wp:anchor>
        </w:drawing>
      </w:r>
    </w:p>
    <w:p>
      <w:pPr>
        <w:spacing w:after="0" w:line="13" w:lineRule="exact"/>
        <w:rPr>
          <w:sz w:val="20"/>
          <w:szCs w:val="20"/>
          <w:color w:val="auto"/>
        </w:rPr>
      </w:pPr>
    </w:p>
    <w:p>
      <w:pPr>
        <w:jc w:val="right"/>
        <w:ind w:right="1160"/>
        <w:spacing w:after="0"/>
        <w:rPr>
          <w:sz w:val="20"/>
          <w:szCs w:val="20"/>
          <w:color w:val="auto"/>
        </w:rPr>
      </w:pPr>
      <w:r>
        <w:rPr>
          <w:rFonts w:ascii="Arial" w:cs="Arial" w:eastAsia="Arial" w:hAnsi="Arial"/>
          <w:sz w:val="18"/>
          <w:szCs w:val="18"/>
          <w:color w:val="auto"/>
        </w:rPr>
        <w:t>(194,476)</w:t>
      </w:r>
    </w:p>
    <w:p>
      <w:pPr>
        <w:spacing w:after="0" w:line="33" w:lineRule="exact"/>
        <w:rPr>
          <w:sz w:val="20"/>
          <w:szCs w:val="20"/>
          <w:color w:val="auto"/>
        </w:rPr>
      </w:pPr>
    </w:p>
    <w:p>
      <w:pPr>
        <w:ind w:left="726" w:hanging="726"/>
        <w:spacing w:after="0"/>
        <w:tabs>
          <w:tab w:leader="none" w:pos="726" w:val="left"/>
        </w:tabs>
        <w:numPr>
          <w:ilvl w:val="0"/>
          <w:numId w:val="58"/>
        </w:numPr>
        <w:rPr>
          <w:rFonts w:ascii="Arial" w:cs="Arial" w:eastAsia="Arial" w:hAnsi="Arial"/>
          <w:sz w:val="18"/>
          <w:szCs w:val="18"/>
          <w:color w:val="auto"/>
        </w:rPr>
      </w:pPr>
      <w:r>
        <w:rPr>
          <w:rFonts w:ascii="Arial" w:cs="Arial" w:eastAsia="Arial" w:hAnsi="Arial"/>
          <w:sz w:val="18"/>
          <w:szCs w:val="18"/>
          <w:color w:val="auto"/>
        </w:rPr>
        <w:t>284,002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8382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7">
                      <a:extLst>
                        <a:ext uri="{28A0092B-C50C-407E-A947-70E740481C1C}"/>
                      </a:extLst>
                    </a:blip>
                    <a:srcRect/>
                    <a:stretch>
                      <a:fillRect/>
                    </a:stretch>
                  </pic:blipFill>
                  <pic:spPr bwMode="auto">
                    <a:xfrm>
                      <a:off x="0" y="0"/>
                      <a:ext cx="8382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14" w:space="720"/>
            <w:col w:w="2546"/>
          </w:cols>
          <w:pgMar w:left="280" w:top="112" w:right="239" w:bottom="1440" w:gutter="0" w:footer="0" w:header="0"/>
          <w:type w:val="continuous"/>
        </w:sectPr>
      </w:pPr>
    </w:p>
    <w:p>
      <w:pPr>
        <w:spacing w:after="0" w:line="69" w:lineRule="exact"/>
        <w:rPr>
          <w:sz w:val="20"/>
          <w:szCs w:val="20"/>
          <w:color w:val="auto"/>
        </w:rPr>
      </w:pPr>
    </w:p>
    <w:p>
      <w:pPr>
        <w:jc w:val="both"/>
        <w:ind w:left="340"/>
        <w:spacing w:after="0" w:line="242" w:lineRule="auto"/>
        <w:rPr>
          <w:sz w:val="20"/>
          <w:szCs w:val="20"/>
          <w:color w:val="auto"/>
        </w:rPr>
      </w:pPr>
      <w:r>
        <w:rPr>
          <w:rFonts w:ascii="Arial" w:cs="Arial" w:eastAsia="Arial" w:hAnsi="Arial"/>
          <w:sz w:val="20"/>
          <w:szCs w:val="20"/>
          <w:color w:val="auto"/>
        </w:rPr>
        <w:t>In applying the liquidation basis of accounting, the Company recognized a net decrease of $194,476 in its estimated value of net assets in liquidation. This estimated value of net assets in liquidation includes projections of costs and expenses to be incurred during the time it takes to complete the plan of liquidation. There is an inherent uncertainty with these projections, and they could change materially based on the timing of the completion of all of the steps necessary for the liquidation.</w:t>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Note 4 - Property, plant and equipment</w:t>
      </w:r>
    </w:p>
    <w:p>
      <w:pPr>
        <w:spacing w:after="0" w:line="136" w:lineRule="exact"/>
        <w:rPr>
          <w:sz w:val="20"/>
          <w:szCs w:val="20"/>
          <w:color w:val="auto"/>
        </w:rPr>
      </w:pPr>
    </w:p>
    <w:p>
      <w:pPr>
        <w:jc w:val="both"/>
        <w:ind w:left="340"/>
        <w:spacing w:after="0" w:line="246" w:lineRule="auto"/>
        <w:rPr>
          <w:sz w:val="20"/>
          <w:szCs w:val="20"/>
          <w:color w:val="auto"/>
        </w:rPr>
      </w:pPr>
      <w:r>
        <w:rPr>
          <w:rFonts w:ascii="Arial" w:cs="Arial" w:eastAsia="Arial" w:hAnsi="Arial"/>
          <w:sz w:val="20"/>
          <w:szCs w:val="20"/>
          <w:color w:val="auto"/>
        </w:rPr>
        <w:t>Amboy and Lower Main Street Development, LLC (“Lower Main”) an entity whose related members are partners of the Company, entered into an amended and restated agreement on December 13, 2013 to sell substantially all of the real estate on which Amboy conducts its operations.</w:t>
      </w:r>
    </w:p>
    <w:p>
      <w:pPr>
        <w:spacing w:after="0" w:line="200" w:lineRule="exact"/>
        <w:rPr>
          <w:sz w:val="20"/>
          <w:szCs w:val="20"/>
          <w:color w:val="auto"/>
        </w:rPr>
      </w:pPr>
    </w:p>
    <w:p>
      <w:pPr>
        <w:jc w:val="both"/>
        <w:ind w:left="340"/>
        <w:spacing w:after="0" w:line="246" w:lineRule="auto"/>
        <w:rPr>
          <w:sz w:val="20"/>
          <w:szCs w:val="20"/>
          <w:color w:val="auto"/>
        </w:rPr>
      </w:pPr>
      <w:r>
        <w:rPr>
          <w:rFonts w:ascii="Arial" w:cs="Arial" w:eastAsia="Arial" w:hAnsi="Arial"/>
          <w:sz w:val="20"/>
          <w:szCs w:val="20"/>
          <w:color w:val="auto"/>
        </w:rPr>
        <w:t>With the exception of a single vessel, all equipment was sold for proceeds of $2,014,049 for the period ended June 30, 2015. On the application of liquidation basis, the remaining vessel was adjusted to its net realizable value, less cost to sell in 2015. This vessel was sold during 2016 and changes are reflected in the Statement of Changes in Net Assets in Liquidation.</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Depreciation and amortization expense was $37,532 for the period from January 1, 2015 to June 30, 2015.</w:t>
      </w:r>
    </w:p>
    <w:p>
      <w:pPr>
        <w:spacing w:after="0" w:line="20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Note 5 - Retirement plans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Pension and annuity plans</w:t>
      </w:r>
    </w:p>
    <w:p>
      <w:pPr>
        <w:spacing w:after="0" w:line="136" w:lineRule="exact"/>
        <w:rPr>
          <w:sz w:val="20"/>
          <w:szCs w:val="20"/>
          <w:color w:val="auto"/>
        </w:rPr>
      </w:pPr>
    </w:p>
    <w:p>
      <w:pPr>
        <w:jc w:val="both"/>
        <w:ind w:left="340"/>
        <w:spacing w:after="0" w:line="241" w:lineRule="auto"/>
        <w:rPr>
          <w:sz w:val="20"/>
          <w:szCs w:val="20"/>
          <w:color w:val="auto"/>
        </w:rPr>
      </w:pPr>
      <w:r>
        <w:rPr>
          <w:rFonts w:ascii="Arial" w:cs="Arial" w:eastAsia="Arial" w:hAnsi="Arial"/>
          <w:sz w:val="20"/>
          <w:szCs w:val="20"/>
          <w:color w:val="auto"/>
        </w:rPr>
        <w:t>Employees covered by a union agreement were included in multi-employer pension and annuity plans to which the Company made contributions in accordance with the contractual union agreement. The Company ceased contributions to the Operating Engineers Local No. 825 Pension Plan effective February 19, 2011 and any future contributions were paid to the annuity fund. As a result of withdrawing from the pension fund, the Company was obligated to pay $328,628, plus interest of $47,445. The Company paid $65,236, including interest of $3,419, during 2015.</w:t>
      </w:r>
    </w:p>
    <w:p>
      <w:pPr>
        <w:spacing w:after="0" w:line="205" w:lineRule="exact"/>
        <w:rPr>
          <w:sz w:val="20"/>
          <w:szCs w:val="20"/>
          <w:color w:val="auto"/>
        </w:rPr>
      </w:pPr>
    </w:p>
    <w:p>
      <w:pPr>
        <w:jc w:val="both"/>
        <w:ind w:left="340"/>
        <w:spacing w:after="0" w:line="278" w:lineRule="auto"/>
        <w:rPr>
          <w:sz w:val="20"/>
          <w:szCs w:val="20"/>
          <w:color w:val="auto"/>
        </w:rPr>
      </w:pPr>
      <w:r>
        <w:rPr>
          <w:rFonts w:ascii="Arial" w:cs="Arial" w:eastAsia="Arial" w:hAnsi="Arial"/>
          <w:sz w:val="18"/>
          <w:szCs w:val="18"/>
          <w:color w:val="auto"/>
        </w:rPr>
        <w:t>The Company maintained a retirement plan qualifying under Section 401(k) of the Internal Revenue Code which allowed eligible employees to defer a portion of their income through contributions to the plan. Under the provisions of the plan, the Company made contributions for the benefit of the employees, subject to certain limitations. The Company's contributions for the period from January 1, 2015 to June 30, 2015 were $21,857. The Company terminated this retirement plan effective April 30, 2015.</w:t>
      </w:r>
    </w:p>
    <w:p>
      <w:pPr>
        <w:spacing w:after="0" w:line="168"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Note 6 - Commitments and contingencies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License agreement</w:t>
      </w:r>
    </w:p>
    <w:p>
      <w:pPr>
        <w:spacing w:after="0" w:line="136" w:lineRule="exact"/>
        <w:rPr>
          <w:sz w:val="20"/>
          <w:szCs w:val="20"/>
          <w:color w:val="auto"/>
        </w:rPr>
      </w:pPr>
    </w:p>
    <w:p>
      <w:pPr>
        <w:jc w:val="both"/>
        <w:ind w:left="340"/>
        <w:spacing w:after="0" w:line="255" w:lineRule="auto"/>
        <w:rPr>
          <w:sz w:val="20"/>
          <w:szCs w:val="20"/>
          <w:color w:val="auto"/>
        </w:rPr>
      </w:pPr>
      <w:r>
        <w:rPr>
          <w:rFonts w:ascii="Arial" w:cs="Arial" w:eastAsia="Arial" w:hAnsi="Arial"/>
          <w:sz w:val="20"/>
          <w:szCs w:val="20"/>
          <w:color w:val="auto"/>
        </w:rPr>
        <w:t>The Company had a license agreement through August 5, 2016 with the State of New Jersey which enabled the Company to dredge in the Ambrose Channel for commercial sand. Under this agreement, the State of New Jersey</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193675</wp:posOffset>
            </wp:positionV>
            <wp:extent cx="729043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80" w:top="112" w:right="239" w:bottom="1440" w:gutter="0" w:footer="0" w:header="0"/>
          <w:type w:val="continuous"/>
        </w:sectPr>
      </w:pPr>
    </w:p>
    <w:bookmarkStart w:id="163" w:name="page164"/>
    <w:bookmarkEnd w:id="163"/>
    <w:p>
      <w:pPr>
        <w:jc w:val="center"/>
        <w:ind w:right="60"/>
        <w:spacing w:after="0"/>
        <w:rPr>
          <w:sz w:val="20"/>
          <w:szCs w:val="20"/>
          <w:color w:val="auto"/>
        </w:rPr>
      </w:pPr>
      <w:r>
        <w:rPr>
          <w:rFonts w:ascii="Arial" w:cs="Arial" w:eastAsia="Arial" w:hAnsi="Arial"/>
          <w:sz w:val="21"/>
          <w:szCs w:val="21"/>
          <w:b w:val="1"/>
          <w:bCs w:val="1"/>
          <w:color w:val="auto"/>
        </w:rPr>
        <w:t>Amboy Aggregates Joint Venture and Subsidiaries</w:t>
      </w:r>
    </w:p>
    <w:p>
      <w:pPr>
        <w:spacing w:after="0" w:line="248"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 of December 31, 2016 (unaudited) and for the Period from January 1, 2017 to December 29, 2017 (unaudited), the Year ended December</w:t>
      </w:r>
    </w:p>
    <w:p>
      <w:pPr>
        <w:spacing w:after="0" w:line="1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31, 2016 (unaudited) and for the Periods from January 1, 2015 to June 30, 2015 and July 1, 2015 to December 31, 2015</w:t>
      </w:r>
    </w:p>
    <w:p>
      <w:pPr>
        <w:spacing w:after="0" w:line="23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received a royalty fee based on the amount of material dredged that, effective August 1, 2009, ranged between $.35 and $.70 per cubic yard.</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20"/>
          <w:szCs w:val="20"/>
          <w:color w:val="auto"/>
        </w:rPr>
        <w:t>Effective August 14, 2015, the Company relinquished the license agreement to Great Lakes.</w:t>
      </w:r>
    </w:p>
    <w:p>
      <w:pPr>
        <w:spacing w:after="0" w:line="204" w:lineRule="exact"/>
        <w:rPr>
          <w:sz w:val="20"/>
          <w:szCs w:val="20"/>
          <w:color w:val="auto"/>
        </w:rPr>
      </w:pPr>
    </w:p>
    <w:p>
      <w:pPr>
        <w:jc w:val="center"/>
        <w:ind w:right="60"/>
        <w:spacing w:after="0"/>
        <w:rPr>
          <w:sz w:val="20"/>
          <w:szCs w:val="20"/>
          <w:color w:val="auto"/>
        </w:rPr>
      </w:pPr>
      <w:r>
        <w:rPr>
          <w:rFonts w:ascii="Arial" w:cs="Arial" w:eastAsia="Arial" w:hAnsi="Arial"/>
          <w:sz w:val="21"/>
          <w:szCs w:val="21"/>
          <w:color w:val="auto"/>
        </w:rPr>
        <w:t>11</w:t>
      </w:r>
    </w:p>
    <w:sectPr>
      <w:pgSz w:w="11900" w:h="16838" w:orient="portrait"/>
      <w:cols w:equalWidth="0" w:num="1">
        <w:col w:w="11360"/>
      </w:cols>
      <w:pgMar w:left="30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lvl w:ilvl="1">
      <w:lvlJc w:val="left"/>
      <w:lvlText w:val="•"/>
      <w:numFmt w:val="bullet"/>
      <w:start w:val="1"/>
    </w:lvl>
  </w:abstractNum>
  <w:abstractNum w:abstractNumId="3">
    <w:nsid w:val="7C3DBD3D"/>
    <w:multiLevelType w:val="hybridMultilevel"/>
    <w:lvl w:ilvl="0">
      <w:lvlJc w:val="left"/>
      <w:lvlText w:val="•"/>
      <w:numFmt w:val="bullet"/>
      <w:start w:val="1"/>
    </w:lvl>
    <w:lvl w:ilvl="1">
      <w:lvlJc w:val="left"/>
      <w:lvlText w:val="•"/>
      <w:numFmt w:val="bullet"/>
      <w:start w:val="1"/>
    </w:lvl>
  </w:abstractNum>
  <w:abstractNum w:abstractNumId="4">
    <w:nsid w:val="737B8DDC"/>
    <w:multiLevelType w:val="hybridMultilevel"/>
    <w:lvl w:ilvl="0">
      <w:lvlJc w:val="left"/>
      <w:lvlText w:val="•"/>
      <w:numFmt w:val="bullet"/>
      <w:start w:val="1"/>
    </w:lvl>
    <w:lvl w:ilvl="1">
      <w:lvlJc w:val="left"/>
      <w:lvlText w:val="•"/>
      <w:numFmt w:val="bullet"/>
      <w:start w:val="1"/>
    </w:lvl>
  </w:abstractNum>
  <w:abstractNum w:abstractNumId="5">
    <w:nsid w:val="6CEAF087"/>
    <w:multiLevelType w:val="hybridMultilevel"/>
    <w:lvl w:ilvl="0">
      <w:lvlJc w:val="left"/>
      <w:lvlText w:val="&amp;"/>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1)"/>
      <w:numFmt w:val="decimal"/>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amp;"/>
      <w:numFmt w:val="bullet"/>
      <w:start w:val="1"/>
    </w:lvl>
  </w:abstractNum>
  <w:abstractNum w:abstractNumId="18">
    <w:nsid w:val="2463B9EA"/>
    <w:multiLevelType w:val="hybridMultilevel"/>
    <w:lvl w:ilvl="0">
      <w:lvlJc w:val="left"/>
      <w:lvlText w:val="(%1)"/>
      <w:numFmt w:val="decimal"/>
      <w:start w:val="1"/>
    </w:lvl>
  </w:abstractNum>
  <w:abstractNum w:abstractNumId="19">
    <w:nsid w:val="5E884ADC"/>
    <w:multiLevelType w:val="hybridMultilevel"/>
    <w:lvl w:ilvl="0">
      <w:lvlJc w:val="left"/>
      <w:lvlText w:val="%1)"/>
      <w:numFmt w:val="lowerLetter"/>
      <w:start w:val="1"/>
    </w:lvl>
  </w:abstractNum>
  <w:abstractNum w:abstractNumId="20">
    <w:nsid w:val="51EAD36B"/>
    <w:multiLevelType w:val="hybridMultilevel"/>
    <w:lvl w:ilvl="0">
      <w:lvlJc w:val="left"/>
      <w:lvlText w:val="%1)"/>
      <w:numFmt w:val="lowerLetter"/>
      <w:start w:val="2"/>
    </w:lvl>
  </w:abstractNum>
  <w:abstractNum w:abstractNumId="21">
    <w:nsid w:val="2D517796"/>
    <w:multiLevelType w:val="hybridMultilevel"/>
    <w:lvl w:ilvl="0">
      <w:lvlJc w:val="left"/>
      <w:lvlText w:val="%1)"/>
      <w:numFmt w:val="lowerLetter"/>
      <w:start w:val="3"/>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1)"/>
      <w:numFmt w:val="lowerLetter"/>
      <w:start w:val="1"/>
    </w:lvl>
  </w:abstractNum>
  <w:abstractNum w:abstractNumId="24">
    <w:nsid w:val="3855585C"/>
    <w:multiLevelType w:val="hybridMultilevel"/>
    <w:lvl w:ilvl="0">
      <w:lvlJc w:val="left"/>
      <w:lvlText w:val="(%1)"/>
      <w:numFmt w:val="decimal"/>
      <w:start w:val="1"/>
    </w:lvl>
  </w:abstractNum>
  <w:abstractNum w:abstractNumId="25">
    <w:nsid w:val="70A64E2A"/>
    <w:multiLevelType w:val="hybridMultilevel"/>
    <w:lvl w:ilvl="0">
      <w:lvlJc w:val="left"/>
      <w:lvlText w:val="%1."/>
      <w:numFmt w:val="decimal"/>
      <w:start w:val="4"/>
    </w:lvl>
  </w:abstractNum>
  <w:abstractNum w:abstractNumId="26">
    <w:nsid w:val="6A2342EC"/>
    <w:multiLevelType w:val="hybridMultilevel"/>
    <w:lvl w:ilvl="0">
      <w:lvlJc w:val="left"/>
      <w:lvlText w:val="%1."/>
      <w:numFmt w:val="decimal"/>
      <w:start w:val="14"/>
    </w:lvl>
  </w:abstractNum>
  <w:abstractNum w:abstractNumId="27">
    <w:nsid w:val="2A487CB0"/>
    <w:multiLevelType w:val="hybridMultilevel"/>
    <w:lvl w:ilvl="0">
      <w:lvlJc w:val="left"/>
      <w:lvlText w:val="%1."/>
      <w:numFmt w:val="decimal"/>
      <w:start w:val="15"/>
    </w:lvl>
  </w:abstractNum>
  <w:abstractNum w:abstractNumId="28">
    <w:nsid w:val="1D4ED43B"/>
    <w:multiLevelType w:val="hybridMultilevel"/>
    <w:lvl w:ilvl="0">
      <w:lvlJc w:val="left"/>
      <w:lvlText w:val="%1."/>
      <w:numFmt w:val="decimal"/>
      <w:start w:val="17"/>
    </w:lvl>
  </w:abstractNum>
  <w:abstractNum w:abstractNumId="29">
    <w:nsid w:val="725A06FB"/>
    <w:multiLevelType w:val="hybridMultilevel"/>
    <w:lvl w:ilvl="0">
      <w:lvlJc w:val="left"/>
      <w:lvlText w:val="(%1)"/>
      <w:numFmt w:val="lowerRoman"/>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1)"/>
      <w:numFmt w:val="lowerLetter"/>
      <w:start w:val="3"/>
    </w:lvl>
  </w:abstractNum>
  <w:abstractNum w:abstractNumId="35">
    <w:nsid w:val="6DE91B18"/>
    <w:multiLevelType w:val="hybridMultilevel"/>
    <w:lvl w:ilvl="0">
      <w:lvlJc w:val="left"/>
      <w:lvlText w:val="&amp;"/>
      <w:numFmt w:val="bullet"/>
      <w:start w:val="1"/>
    </w:lvl>
  </w:abstractNum>
  <w:abstractNum w:abstractNumId="36">
    <w:nsid w:val="38437FDB"/>
    <w:multiLevelType w:val="hybridMultilevel"/>
    <w:lvl w:ilvl="0">
      <w:lvlJc w:val="left"/>
      <w:lvlText w:val="%1."/>
      <w:numFmt w:val="decimal"/>
      <w:start w:val="1"/>
    </w:lvl>
  </w:abstractNum>
  <w:abstractNum w:abstractNumId="37">
    <w:nsid w:val="7644A45C"/>
    <w:multiLevelType w:val="hybridMultilevel"/>
    <w:lvl w:ilvl="0">
      <w:lvlJc w:val="left"/>
      <w:lvlText w:val="(%1)"/>
      <w:numFmt w:val="lowerLetter"/>
      <w:start w:val="1"/>
    </w:lvl>
  </w:abstractNum>
  <w:abstractNum w:abstractNumId="38">
    <w:nsid w:val="32FFF902"/>
    <w:multiLevelType w:val="hybridMultilevel"/>
    <w:lvl w:ilvl="0">
      <w:lvlJc w:val="left"/>
      <w:lvlText w:val="(%1)"/>
      <w:numFmt w:val="lowerLetter"/>
      <w:start w:val="2"/>
    </w:lvl>
  </w:abstractNum>
  <w:abstractNum w:abstractNumId="39">
    <w:nsid w:val="684A481A"/>
    <w:multiLevelType w:val="hybridMultilevel"/>
    <w:lvl w:ilvl="0">
      <w:lvlJc w:val="left"/>
      <w:lvlText w:val="%1."/>
      <w:numFmt w:val="decimal"/>
      <w:start w:val="3"/>
    </w:lvl>
  </w:abstractNum>
  <w:abstractNum w:abstractNumId="40">
    <w:nsid w:val="579478FE"/>
    <w:multiLevelType w:val="hybridMultilevel"/>
    <w:lvl w:ilvl="0">
      <w:lvlJc w:val="left"/>
      <w:lvlText w:val="(%1)"/>
      <w:numFmt w:val="lowerLetter"/>
      <w:start w:val="1"/>
    </w:lvl>
  </w:abstractNum>
  <w:abstractNum w:abstractNumId="41">
    <w:nsid w:val="749ABB43"/>
    <w:multiLevelType w:val="hybridMultilevel"/>
    <w:lvl w:ilvl="0">
      <w:lvlJc w:val="left"/>
      <w:lvlText w:val="(%1)"/>
      <w:numFmt w:val="lowerLetter"/>
      <w:start w:val="3"/>
    </w:lvl>
  </w:abstractNum>
  <w:abstractNum w:abstractNumId="42">
    <w:nsid w:val="3DC240FB"/>
    <w:multiLevelType w:val="hybridMultilevel"/>
    <w:lvl w:ilvl="0">
      <w:lvlJc w:val="left"/>
      <w:lvlText w:val="%1."/>
      <w:numFmt w:val="decimal"/>
      <w:start w:val="5"/>
    </w:lvl>
  </w:abstractNum>
  <w:abstractNum w:abstractNumId="43">
    <w:nsid w:val="1BA026FA"/>
    <w:multiLevelType w:val="hybridMultilevel"/>
    <w:lvl w:ilvl="0">
      <w:lvlJc w:val="left"/>
      <w:lvlText w:val="(%1)"/>
      <w:numFmt w:val="lowerLetter"/>
      <w:start w:val="1"/>
    </w:lvl>
  </w:abstractNum>
  <w:abstractNum w:abstractNumId="44">
    <w:nsid w:val="79A1DEAA"/>
    <w:multiLevelType w:val="hybridMultilevel"/>
    <w:lvl w:ilvl="0">
      <w:lvlJc w:val="left"/>
      <w:lvlText w:val="(%1)"/>
      <w:numFmt w:val="lowerLetter"/>
      <w:start w:val="2"/>
    </w:lvl>
  </w:abstractNum>
  <w:abstractNum w:abstractNumId="45">
    <w:nsid w:val="75C6C33A"/>
    <w:multiLevelType w:val="hybridMultilevel"/>
    <w:lvl w:ilvl="0">
      <w:lvlJc w:val="left"/>
      <w:lvlText w:val="%1."/>
      <w:numFmt w:val="decimal"/>
      <w:start w:val="6"/>
    </w:lvl>
  </w:abstractNum>
  <w:abstractNum w:abstractNumId="46">
    <w:nsid w:val="12E685FB"/>
    <w:multiLevelType w:val="hybridMultilevel"/>
    <w:lvl w:ilvl="0">
      <w:lvlJc w:val="left"/>
      <w:lvlText w:val="%1."/>
      <w:numFmt w:val="decimal"/>
      <w:start w:val="8"/>
    </w:lvl>
  </w:abstractNum>
  <w:abstractNum w:abstractNumId="47">
    <w:nsid w:val="70C6A529"/>
    <w:multiLevelType w:val="hybridMultilevel"/>
    <w:lvl w:ilvl="0">
      <w:lvlJc w:val="left"/>
      <w:lvlText w:val="(%1)"/>
      <w:numFmt w:val="decimal"/>
      <w:start w:val="1"/>
    </w:lvl>
  </w:abstractNum>
  <w:abstractNum w:abstractNumId="48">
    <w:nsid w:val="520EEDD1"/>
    <w:multiLevelType w:val="hybridMultilevel"/>
    <w:lvl w:ilvl="0">
      <w:lvlJc w:val="left"/>
      <w:lvlText w:val="%1."/>
      <w:numFmt w:val="decimal"/>
      <w:start w:val="1"/>
    </w:lvl>
    <w:lvl w:ilvl="1">
      <w:lvlJc w:val="left"/>
      <w:lvlText w:val="(%2)"/>
      <w:numFmt w:val="lowerLetter"/>
      <w:start w:val="1"/>
    </w:lvl>
  </w:abstractNum>
  <w:abstractNum w:abstractNumId="49">
    <w:nsid w:val="374A3FE6"/>
    <w:multiLevelType w:val="hybridMultilevel"/>
    <w:lvl w:ilvl="0">
      <w:lvlJc w:val="left"/>
      <w:lvlText w:val="%1."/>
      <w:numFmt w:val="decimal"/>
      <w:start w:val="1"/>
    </w:lvl>
    <w:lvl w:ilvl="1">
      <w:lvlJc w:val="left"/>
      <w:lvlText w:val="(%2)"/>
      <w:numFmt w:val="lowerLetter"/>
      <w:start w:val="1"/>
    </w:lvl>
  </w:abstractNum>
  <w:abstractNum w:abstractNumId="50">
    <w:nsid w:val="4F4EF005"/>
    <w:multiLevelType w:val="hybridMultilevel"/>
    <w:lvl w:ilvl="0">
      <w:lvlJc w:val="left"/>
      <w:lvlText w:val="(%1)"/>
      <w:numFmt w:val="decimal"/>
      <w:start w:val="1"/>
    </w:lvl>
  </w:abstractNum>
  <w:abstractNum w:abstractNumId="51">
    <w:nsid w:val="23F9C13C"/>
    <w:multiLevelType w:val="hybridMultilevel"/>
    <w:lvl w:ilvl="0">
      <w:lvlJc w:val="left"/>
      <w:lvlText w:val="(%1)"/>
      <w:numFmt w:val="decimal"/>
      <w:start w:val="1"/>
    </w:lvl>
  </w:abstractNum>
  <w:abstractNum w:abstractNumId="52">
    <w:nsid w:val="649BB77C"/>
    <w:multiLevelType w:val="hybridMultilevel"/>
    <w:lvl w:ilvl="0">
      <w:lvlJc w:val="left"/>
      <w:lvlText w:val="%1."/>
      <w:numFmt w:val="decimal"/>
      <w:start w:val="1"/>
    </w:lvl>
  </w:abstractNum>
  <w:abstractNum w:abstractNumId="53">
    <w:nsid w:val="275AC794"/>
    <w:multiLevelType w:val="hybridMultilevel"/>
    <w:lvl w:ilvl="0">
      <w:lvlJc w:val="left"/>
      <w:lvlText w:val="%1."/>
      <w:numFmt w:val="decimal"/>
      <w:start w:val="2"/>
    </w:lvl>
  </w:abstractNum>
  <w:abstractNum w:abstractNumId="54">
    <w:nsid w:val="39386575"/>
    <w:multiLevelType w:val="hybridMultilevel"/>
    <w:lvl w:ilvl="0">
      <w:lvlJc w:val="left"/>
      <w:lvlText w:val="$"/>
      <w:numFmt w:val="bullet"/>
      <w:start w:val="1"/>
    </w:lvl>
  </w:abstractNum>
  <w:abstractNum w:abstractNumId="55">
    <w:nsid w:val="1CF10FD8"/>
    <w:multiLevelType w:val="hybridMultilevel"/>
    <w:lvl w:ilvl="0">
      <w:lvlJc w:val="left"/>
      <w:lvlText w:val="$"/>
      <w:numFmt w:val="bullet"/>
      <w:start w:val="1"/>
    </w:lvl>
  </w:abstractNum>
  <w:abstractNum w:abstractNumId="56">
    <w:nsid w:val="180115BE"/>
    <w:multiLevelType w:val="hybridMultilevel"/>
    <w:lvl w:ilvl="0">
      <w:lvlJc w:val="left"/>
      <w:lvlText w:val="$"/>
      <w:numFmt w:val="bullet"/>
      <w:start w:val="1"/>
    </w:lvl>
  </w:abstractNum>
  <w:abstractNum w:abstractNumId="57">
    <w:nsid w:val="235BA86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56" Type="http://schemas.openxmlformats.org/officeDocument/2006/relationships/image" Target="media/image139.png"/><Relationship Id="rId157" Type="http://schemas.openxmlformats.org/officeDocument/2006/relationships/image" Target="media/image140.png"/><Relationship Id="rId171" Type="http://schemas.openxmlformats.org/officeDocument/2006/relationships/image" Target="media/image141.png"/><Relationship Id="rId172" Type="http://schemas.openxmlformats.org/officeDocument/2006/relationships/image" Target="media/image142.png"/><Relationship Id="rId184" Type="http://schemas.openxmlformats.org/officeDocument/2006/relationships/image" Target="media/image143.png"/><Relationship Id="rId185" Type="http://schemas.openxmlformats.org/officeDocument/2006/relationships/image" Target="media/image144.png"/><Relationship Id="rId194" Type="http://schemas.openxmlformats.org/officeDocument/2006/relationships/image" Target="media/image145.png"/><Relationship Id="rId200" Type="http://schemas.openxmlformats.org/officeDocument/2006/relationships/image" Target="media/image146.png"/><Relationship Id="rId201" Type="http://schemas.openxmlformats.org/officeDocument/2006/relationships/image" Target="media/image147.png"/><Relationship Id="rId202" Type="http://schemas.openxmlformats.org/officeDocument/2006/relationships/image" Target="media/image148.png"/><Relationship Id="rId203" Type="http://schemas.openxmlformats.org/officeDocument/2006/relationships/image" Target="media/image149.png"/><Relationship Id="rId204" Type="http://schemas.openxmlformats.org/officeDocument/2006/relationships/image" Target="media/image150.png"/><Relationship Id="rId205" Type="http://schemas.openxmlformats.org/officeDocument/2006/relationships/image" Target="media/image151.png"/><Relationship Id="rId206" Type="http://schemas.openxmlformats.org/officeDocument/2006/relationships/image" Target="media/image152.png"/><Relationship Id="rId207" Type="http://schemas.openxmlformats.org/officeDocument/2006/relationships/image" Target="media/image153.png"/><Relationship Id="rId208" Type="http://schemas.openxmlformats.org/officeDocument/2006/relationships/image" Target="media/image154.png"/><Relationship Id="rId209" Type="http://schemas.openxmlformats.org/officeDocument/2006/relationships/image" Target="media/image155.png"/><Relationship Id="rId210" Type="http://schemas.openxmlformats.org/officeDocument/2006/relationships/image" Target="media/image156.png"/><Relationship Id="rId211" Type="http://schemas.openxmlformats.org/officeDocument/2006/relationships/image" Target="media/image157.png"/><Relationship Id="rId212" Type="http://schemas.openxmlformats.org/officeDocument/2006/relationships/image" Target="media/image158.png"/><Relationship Id="rId213" Type="http://schemas.openxmlformats.org/officeDocument/2006/relationships/image" Target="media/image159.png"/><Relationship Id="rId214" Type="http://schemas.openxmlformats.org/officeDocument/2006/relationships/image" Target="media/image160.png"/><Relationship Id="rId215" Type="http://schemas.openxmlformats.org/officeDocument/2006/relationships/image" Target="media/image161.png"/><Relationship Id="rId216" Type="http://schemas.openxmlformats.org/officeDocument/2006/relationships/image" Target="media/image162.png"/><Relationship Id="rId217" Type="http://schemas.openxmlformats.org/officeDocument/2006/relationships/image" Target="media/image163.png"/><Relationship Id="rId218" Type="http://schemas.openxmlformats.org/officeDocument/2006/relationships/image" Target="media/image164.png"/><Relationship Id="rId219" Type="http://schemas.openxmlformats.org/officeDocument/2006/relationships/image" Target="media/image165.png"/><Relationship Id="rId220" Type="http://schemas.openxmlformats.org/officeDocument/2006/relationships/image" Target="media/image166.png"/><Relationship Id="rId221" Type="http://schemas.openxmlformats.org/officeDocument/2006/relationships/image" Target="media/image167.png"/><Relationship Id="rId222" Type="http://schemas.openxmlformats.org/officeDocument/2006/relationships/image" Target="media/image168.png"/><Relationship Id="rId223" Type="http://schemas.openxmlformats.org/officeDocument/2006/relationships/image" Target="media/image169.png"/><Relationship Id="rId224" Type="http://schemas.openxmlformats.org/officeDocument/2006/relationships/image" Target="media/image170.png"/><Relationship Id="rId225" Type="http://schemas.openxmlformats.org/officeDocument/2006/relationships/image" Target="media/image171.png"/><Relationship Id="rId226" Type="http://schemas.openxmlformats.org/officeDocument/2006/relationships/image" Target="media/image172.png"/><Relationship Id="rId227" Type="http://schemas.openxmlformats.org/officeDocument/2006/relationships/image" Target="media/image173.png"/><Relationship Id="rId228" Type="http://schemas.openxmlformats.org/officeDocument/2006/relationships/image" Target="media/image174.png"/><Relationship Id="rId229" Type="http://schemas.openxmlformats.org/officeDocument/2006/relationships/image" Target="media/image175.png"/><Relationship Id="rId230" Type="http://schemas.openxmlformats.org/officeDocument/2006/relationships/image" Target="media/image176.png"/><Relationship Id="rId231" Type="http://schemas.openxmlformats.org/officeDocument/2006/relationships/image" Target="media/image177.png"/><Relationship Id="rId232" Type="http://schemas.openxmlformats.org/officeDocument/2006/relationships/image" Target="media/image178.png"/><Relationship Id="rId233" Type="http://schemas.openxmlformats.org/officeDocument/2006/relationships/image" Target="media/image179.png"/><Relationship Id="rId234" Type="http://schemas.openxmlformats.org/officeDocument/2006/relationships/image" Target="media/image180.png"/><Relationship Id="rId235" Type="http://schemas.openxmlformats.org/officeDocument/2006/relationships/image" Target="media/image181.png"/><Relationship Id="rId236" Type="http://schemas.openxmlformats.org/officeDocument/2006/relationships/image" Target="media/image182.png"/><Relationship Id="rId237" Type="http://schemas.openxmlformats.org/officeDocument/2006/relationships/image" Target="media/image183.png"/><Relationship Id="rId238" Type="http://schemas.openxmlformats.org/officeDocument/2006/relationships/image" Target="media/image184.png"/><Relationship Id="rId239" Type="http://schemas.openxmlformats.org/officeDocument/2006/relationships/image" Target="media/image185.png"/><Relationship Id="rId240" Type="http://schemas.openxmlformats.org/officeDocument/2006/relationships/image" Target="media/image186.png"/><Relationship Id="rId241" Type="http://schemas.openxmlformats.org/officeDocument/2006/relationships/image" Target="media/image187.png"/><Relationship Id="rId242" Type="http://schemas.openxmlformats.org/officeDocument/2006/relationships/image" Target="media/image188.png"/><Relationship Id="rId243" Type="http://schemas.openxmlformats.org/officeDocument/2006/relationships/image" Target="media/image189.png"/><Relationship Id="rId244" Type="http://schemas.openxmlformats.org/officeDocument/2006/relationships/image" Target="media/image190.png"/><Relationship Id="rId245" Type="http://schemas.openxmlformats.org/officeDocument/2006/relationships/image" Target="media/image191.png"/><Relationship Id="rId246" Type="http://schemas.openxmlformats.org/officeDocument/2006/relationships/image" Target="media/image192.png"/><Relationship Id="rId247" Type="http://schemas.openxmlformats.org/officeDocument/2006/relationships/image" Target="media/image193.png"/><Relationship Id="rId248" Type="http://schemas.openxmlformats.org/officeDocument/2006/relationships/image" Target="media/image194.png"/><Relationship Id="rId249" Type="http://schemas.openxmlformats.org/officeDocument/2006/relationships/image" Target="media/image195.png"/><Relationship Id="rId250" Type="http://schemas.openxmlformats.org/officeDocument/2006/relationships/image" Target="media/image196.png"/><Relationship Id="rId251" Type="http://schemas.openxmlformats.org/officeDocument/2006/relationships/image" Target="media/image197.png"/><Relationship Id="rId252" Type="http://schemas.openxmlformats.org/officeDocument/2006/relationships/image" Target="media/image198.png"/><Relationship Id="rId253" Type="http://schemas.openxmlformats.org/officeDocument/2006/relationships/image" Target="media/image199.png"/><Relationship Id="rId254" Type="http://schemas.openxmlformats.org/officeDocument/2006/relationships/image" Target="media/image200.png"/><Relationship Id="rId255" Type="http://schemas.openxmlformats.org/officeDocument/2006/relationships/image" Target="media/image201.png"/><Relationship Id="rId256" Type="http://schemas.openxmlformats.org/officeDocument/2006/relationships/image" Target="media/image202.png"/><Relationship Id="rId257" Type="http://schemas.openxmlformats.org/officeDocument/2006/relationships/image" Target="media/image203.png"/><Relationship Id="rId258" Type="http://schemas.openxmlformats.org/officeDocument/2006/relationships/image" Target="media/image204.png"/><Relationship Id="rId259" Type="http://schemas.openxmlformats.org/officeDocument/2006/relationships/image" Target="media/image205.png"/><Relationship Id="rId260" Type="http://schemas.openxmlformats.org/officeDocument/2006/relationships/image" Target="media/image206.png"/><Relationship Id="rId261" Type="http://schemas.openxmlformats.org/officeDocument/2006/relationships/image" Target="media/image207.png"/><Relationship Id="rId262" Type="http://schemas.openxmlformats.org/officeDocument/2006/relationships/image" Target="media/image208.png"/><Relationship Id="rId263" Type="http://schemas.openxmlformats.org/officeDocument/2006/relationships/image" Target="media/image209.png"/><Relationship Id="rId264" Type="http://schemas.openxmlformats.org/officeDocument/2006/relationships/image" Target="media/image210.png"/><Relationship Id="rId265" Type="http://schemas.openxmlformats.org/officeDocument/2006/relationships/image" Target="media/image211.png"/><Relationship Id="rId266" Type="http://schemas.openxmlformats.org/officeDocument/2006/relationships/image" Target="media/image212.png"/><Relationship Id="rId267" Type="http://schemas.openxmlformats.org/officeDocument/2006/relationships/image" Target="media/image213.png"/><Relationship Id="rId268" Type="http://schemas.openxmlformats.org/officeDocument/2006/relationships/image" Target="media/image214.png"/><Relationship Id="rId146" Type="http://schemas.openxmlformats.org/officeDocument/2006/relationships/hyperlink" Target="http://www.sec.gov/Archives/edgar/data/0000885538/000110465904000242/a03-6613_1ex2d1.htm" TargetMode="External"/><Relationship Id="rId147" Type="http://schemas.openxmlformats.org/officeDocument/2006/relationships/hyperlink" Target="http://www.sec.gov/Archives/edgar/data/0000885538/000110465906043195/a06-14169_1ex2d1.htm" TargetMode="External"/><Relationship Id="rId148" Type="http://schemas.openxmlformats.org/officeDocument/2006/relationships/hyperlink" Target="http://www.sec.gov/Archives/edgar/data/0001372020/000110465906083887/a06-25986_1ex3d1.htm" TargetMode="External"/><Relationship Id="rId149" Type="http://schemas.openxmlformats.org/officeDocument/2006/relationships/hyperlink" Target="http://www.sec.gov/Archives/edgar/data/0001372020/000119312515195254/d929885dex32.htm" TargetMode="External"/><Relationship Id="rId150" Type="http://schemas.openxmlformats.org/officeDocument/2006/relationships/hyperlink" Target="http://www.sec.gov/Archives/edgar/data/0001372020/000110465906084429/a06-26373_1ex3d1.htm" TargetMode="External"/><Relationship Id="rId151" Type="http://schemas.openxmlformats.org/officeDocument/2006/relationships/hyperlink" Target="http://www.sec.gov/Archives/edgar/data/0001372020/000156459017011629/gldd-ex41_335.htm" TargetMode="External"/><Relationship Id="rId152" Type="http://schemas.openxmlformats.org/officeDocument/2006/relationships/hyperlink" Target="http://www.sec.gov/Archives/edgar/data/0001372020/000110465907021696/a07-5615_1ex4d10.htm" TargetMode="External"/><Relationship Id="rId153" Type="http://schemas.openxmlformats.org/officeDocument/2006/relationships/hyperlink" Target="http://www.sec.gov/Archives/edgar/data/0001372020/000119312515174607/d919836dex101.htm" TargetMode="External"/><Relationship Id="rId154" Type="http://schemas.openxmlformats.org/officeDocument/2006/relationships/hyperlink" Target="http://www.sec.gov/Archives/edgar/data/0001372020/000119312515174607/d919836dex102.htm" TargetMode="External"/><Relationship Id="rId155" Type="http://schemas.openxmlformats.org/officeDocument/2006/relationships/hyperlink" Target="http://www.sec.gov/Archives/edgar/data/0001372020/000119312515174607/d919836dex103.htm" TargetMode="External"/><Relationship Id="rId158" Type="http://schemas.openxmlformats.org/officeDocument/2006/relationships/hyperlink" Target="http://www.sec.gov/Archives/edgar/data/0001372020/000119312515174607/d919836dex104.htm" TargetMode="External"/><Relationship Id="rId159" Type="http://schemas.openxmlformats.org/officeDocument/2006/relationships/hyperlink" Target="http://www.sec.gov/Archives/edgar/data/0001372020/000110465906084429/a06-26373_1ex10d4.htm" TargetMode="External"/><Relationship Id="rId160" Type="http://schemas.openxmlformats.org/officeDocument/2006/relationships/hyperlink" Target="http://www.sec.gov/Archives/edgar/data/0001372020/000119312515276701/d58409dex101.htm" TargetMode="External"/><Relationship Id="rId161" Type="http://schemas.openxmlformats.org/officeDocument/2006/relationships/hyperlink" Target="http://www.sec.gov/Archives/edgar/data/0001372020/000119312514196990/d727704dex101.htm" TargetMode="External"/><Relationship Id="rId162" Type="http://schemas.openxmlformats.org/officeDocument/2006/relationships/hyperlink" Target="http://www.sec.gov/Archives/edgar/data/0001372020/000156459017002889/gldd-ex1015_373.htm" TargetMode="External"/><Relationship Id="rId163" Type="http://schemas.openxmlformats.org/officeDocument/2006/relationships/hyperlink" Target="http://www.sec.gov/Archives/edgar/data/0001372020/000156459017002889/gldd-ex1016_374.htm" TargetMode="External"/><Relationship Id="rId164" Type="http://schemas.openxmlformats.org/officeDocument/2006/relationships/hyperlink" Target="http://www.sec.gov/Archives/edgar/data/0001372020/000156459017007964/gldd-ex101_6.htm" TargetMode="External"/><Relationship Id="rId165" Type="http://schemas.openxmlformats.org/officeDocument/2006/relationships/hyperlink" Target="http://www.sec.gov/Archives/edgar/data/0001372020/000119312512013901/d284301dex101.htm" TargetMode="External"/><Relationship Id="rId166" Type="http://schemas.openxmlformats.org/officeDocument/2006/relationships/hyperlink" Target="http://www.sec.gov/Archives/edgar/data/0000885538/000110465905013624/a05-5703_1ex10d14.htm" TargetMode="External"/><Relationship Id="rId167" Type="http://schemas.openxmlformats.org/officeDocument/2006/relationships/hyperlink" Target="http://www.sec.gov/Archives/edgar/data/0001372020/000119312514094004/d689260dex1024.htm" TargetMode="External"/><Relationship Id="rId168" Type="http://schemas.openxmlformats.org/officeDocument/2006/relationships/hyperlink" Target="http://www.sec.gov/Archives/edgar/data/0001372020/000104746906011212/a2172300zex-10_17.htm" TargetMode="External"/><Relationship Id="rId169" Type="http://schemas.openxmlformats.org/officeDocument/2006/relationships/hyperlink" Target="http://www.sec.gov/Archives/edgar/data/0001372020/000119312512149971/d289765ddef14a.htm" TargetMode="External"/><Relationship Id="rId170" Type="http://schemas.openxmlformats.org/officeDocument/2006/relationships/hyperlink" Target="http://www.sec.gov/Archives/edgar/data/0001372020/000156459017011213/gldd-ex101_6.htm" TargetMode="External"/><Relationship Id="rId173" Type="http://schemas.openxmlformats.org/officeDocument/2006/relationships/hyperlink" Target="http://www.sec.gov/Archives/edgar/data/0001372020/000119312511180731/dex102.htm" TargetMode="External"/><Relationship Id="rId174" Type="http://schemas.openxmlformats.org/officeDocument/2006/relationships/hyperlink" Target="http://www.sec.gov/Archives/edgar/data/0001372020/000119312511180731/dex101.htm" TargetMode="External"/><Relationship Id="rId175" Type="http://schemas.openxmlformats.org/officeDocument/2006/relationships/hyperlink" Target="http://www.sec.gov/Archives/edgar/data/0001372020/000156459016017437/gldd-ex101_156.htm" TargetMode="External"/><Relationship Id="rId176" Type="http://schemas.openxmlformats.org/officeDocument/2006/relationships/hyperlink" Target="http://www.sec.gov/Archives/edgar/data/0001372020/000156459016017437/gldd-ex102_155.htm" TargetMode="External"/><Relationship Id="rId177" Type="http://schemas.openxmlformats.org/officeDocument/2006/relationships/hyperlink" Target="http://www.sec.gov/Archives/edgar/data/0001372020/000156459016017437/gldd-ex103_172.htm" TargetMode="External"/><Relationship Id="rId178" Type="http://schemas.openxmlformats.org/officeDocument/2006/relationships/hyperlink" Target="http://www.sec.gov/Archives/edgar/data/0001372020/000156459016017437/gldd-ex104_171.htm" TargetMode="External"/><Relationship Id="rId179" Type="http://schemas.openxmlformats.org/officeDocument/2006/relationships/hyperlink" Target="http://www.sec.gov/Archives/edgar/data/0001372020/000156459016017437/gldd-ex105_170.htm" TargetMode="External"/><Relationship Id="rId180" Type="http://schemas.openxmlformats.org/officeDocument/2006/relationships/hyperlink" Target="http://www.sec.gov/Archives/edgar/data/0001372020/000156459016017437/gldd-ex106_169.htm" TargetMode="External"/><Relationship Id="rId181" Type="http://schemas.openxmlformats.org/officeDocument/2006/relationships/hyperlink" Target="http://www.sec.gov/Archives/edgar/data/0001372020/000119312515327447/d37543dex1030.htm" TargetMode="External"/><Relationship Id="rId182" Type="http://schemas.openxmlformats.org/officeDocument/2006/relationships/hyperlink" Target="http://www.sec.gov/Archives/edgar/data/0001372020/000156459016026970/gldd-ex101_276.htm" TargetMode="External"/><Relationship Id="rId183" Type="http://schemas.openxmlformats.org/officeDocument/2006/relationships/hyperlink" Target="http://www.sec.gov/Archives/edgar/data/0001372020/000119312514423582/d826569dex101.htm" TargetMode="External"/><Relationship Id="rId186" Type="http://schemas.openxmlformats.org/officeDocument/2006/relationships/hyperlink" Target="http://www.sec.gov/Archives/edgar/data/0001372020/000156459017011629/gldd-ex101_9.htm" TargetMode="External"/><Relationship Id="rId187" Type="http://schemas.openxmlformats.org/officeDocument/2006/relationships/hyperlink" Target="http://www.sec.gov/Archives/edgar/data/0001372020/000119312511017378/dex42.htm" TargetMode="External"/><Relationship Id="rId188" Type="http://schemas.openxmlformats.org/officeDocument/2006/relationships/hyperlink" Target="http://www.sec.gov/Archives/edgar/data/0001372020/000119312514423582/d826569dex43.htm" TargetMode="External"/><Relationship Id="rId189" Type="http://schemas.openxmlformats.org/officeDocument/2006/relationships/hyperlink" Target="http://www.sec.gov/Archives/edgar/data/0001372020/000156459017011629/gldd-ex42_517.htm" TargetMode="External"/><Relationship Id="rId190" Type="http://schemas.openxmlformats.org/officeDocument/2006/relationships/hyperlink" Target="http://www.sec.gov/Archives/edgar/data/0001372020/000156459017002889/gldd-ex1038_261.htm" TargetMode="External"/><Relationship Id="rId191" Type="http://schemas.openxmlformats.org/officeDocument/2006/relationships/hyperlink" Target="http://www.sec.gov/Archives/edgar/data/0001372020/000156459017002889/gldd-ex1039_741.htm" TargetMode="External"/><Relationship Id="rId192" Type="http://schemas.openxmlformats.org/officeDocument/2006/relationships/hyperlink" Target="http://www.sec.gov/Archives/edgar/data/0001372020/000156459017011629/gldd-ex102_8.htm" TargetMode="External"/><Relationship Id="rId193" Type="http://schemas.openxmlformats.org/officeDocument/2006/relationships/hyperlink" Target="http://www.sec.gov/Archives/edgar/data/0001372020/000119312513134675/d474550dex1042.htm" TargetMode="External"/><Relationship Id="rId195" Type="http://schemas.openxmlformats.org/officeDocument/2006/relationships/hyperlink" Target="http://www.sec.gov/Archives/edgar/data/0001372020/000119312515327447/d37543dex1045.htm" TargetMode="External"/><Relationship Id="rId196" Type="http://schemas.openxmlformats.org/officeDocument/2006/relationships/hyperlink" Target="http://www.sec.gov/Archives/edgar/data/0001372020/000119312514094004/d689260dex1040.htm" TargetMode="External"/><Relationship Id="rId197" Type="http://schemas.openxmlformats.org/officeDocument/2006/relationships/hyperlink" Target="http://www.sec.gov/Archives/edgar/data/0001372020/000156459017002889/gldd-ex1045_265.htm" TargetMode="External"/><Relationship Id="rId198" Type="http://schemas.openxmlformats.org/officeDocument/2006/relationships/hyperlink" Target="http://www.sec.gov/Archives/edgar/data/0001372020/000156459016030570/gldd-ex101_8.htm" TargetMode="External"/><Relationship Id="rId199" Type="http://schemas.openxmlformats.org/officeDocument/2006/relationships/hyperlink" Target="http://www.sec.gov/Archives/edgar/data/0001372020/000156459016019663/gldd-ex141_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2019-12-29T01:36:46Z</dcterms:created>
  <dcterms:modified xsi:type="dcterms:W3CDTF">2019-12-29T01:36:46Z</dcterms:modified>
</cp:coreProperties>
</file>