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ldd-20250930.htm"/>
      <w:bookmarkStart w:id="1" w:name="ksgldd202509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001-33225</w:t>
      </w:r>
    </w:p>
    <w:p>
      <w:pPr>
        <w:pStyle w:val="TextBody"/>
        <w:bidi w:val="0"/>
        <w:spacing w:before="120" w:after="283"/>
        <w:jc w:val="center"/>
        <w:rPr/>
      </w:pPr>
      <w:r>
        <w:rPr/>
        <w:drawing>
          <wp:inline distT="0" distB="0" distL="0" distR="0">
            <wp:extent cx="9144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914400"/>
                    </a:xfrm>
                    <a:prstGeom prst="rect">
                      <a:avLst/>
                    </a:prstGeom>
                  </pic:spPr>
                </pic:pic>
              </a:graphicData>
            </a:graphic>
          </wp:inline>
        </w:drawing>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Great Lakes Dredge &amp; Dock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3916"/>
        <w:gridCol w:w="146"/>
        <w:gridCol w:w="148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20-5336063</w:t>
            </w:r>
          </w:p>
        </w:tc>
      </w:tr>
      <w:tr>
        <w:trPr/>
        <w:tc>
          <w:tcPr>
            <w:tcW w:w="39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9811 Katy Freeway, Suite 1200, Houston, 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77024</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(346) 359-1010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3046"/>
        <w:gridCol w:w="146"/>
        <w:gridCol w:w="1621"/>
        <w:gridCol w:w="146"/>
        <w:gridCol w:w="370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0"/>
              <w:jc w:val="center"/>
              <w:rPr/>
            </w:pPr>
            <w:r>
              <w:rPr/>
              <w:t> </w:t>
            </w:r>
          </w:p>
        </w:tc>
        <w:tc>
          <w:tcPr>
            <w:tcW w:w="3706" w:type="dxa"/>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04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162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GLDD</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370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October 31, 2025, 67,999,305 shares of the Registrant’s Common Stock, par value $.0001 per share, were outstanding.</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Quarterly Report 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
        <w:gridCol w:w="391"/>
        <w:gridCol w:w="8469"/>
        <w:gridCol w:w="146"/>
        <w:gridCol w:w="512"/>
      </w:tblGrid>
      <w:tr>
        <w:trPr/>
        <w:tc>
          <w:tcPr>
            <w:tcW w:w="6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at September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operations">
              <w:r>
                <w:rPr>
                  <w:rStyle w:val="InternetLink"/>
                  <w:rFonts w:ascii="Times New Roman" w:hAnsi="Times New Roman"/>
                  <w:color w:val="0000FF"/>
                  <w:sz w:val="20"/>
                  <w:u w:val="single"/>
                </w:rPr>
                <w:t>Condensed Consolidated Statements of Operations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income">
              <w:r>
                <w:rPr>
                  <w:rStyle w:val="InternetLink"/>
                  <w:rFonts w:ascii="Times New Roman" w:hAnsi="Times New Roman"/>
                  <w:color w:val="0000FF"/>
                  <w:sz w:val="20"/>
                  <w:u w:val="single"/>
                </w:rPr>
                <w:t>Condensed Consolidated Statements of Comprehensive Income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equity">
              <w:r>
                <w:rPr>
                  <w:rStyle w:val="InternetLink"/>
                  <w:rFonts w:ascii="Times New Roman" w:hAnsi="Times New Roman"/>
                  <w:color w:val="0000FF"/>
                  <w:sz w:val="20"/>
                  <w:u w:val="single"/>
                </w:rPr>
                <w:t>Condensed Consolidated Statements of Equity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cash_flows">
              <w:r>
                <w:rPr>
                  <w:rStyle w:val="InternetLink"/>
                  <w:rFonts w:ascii="Times New Roman" w:hAnsi="Times New Roman"/>
                  <w:color w:val="0000FF"/>
                  <w:sz w:val="20"/>
                  <w:u w:val="single"/>
                </w:rPr>
                <w:t>Condensed Consolidated Statements of Cash Flows for the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sz w:val="20"/>
        </w:rPr>
      </w:pPr>
      <w:bookmarkStart w:id="3" w:name="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4" w:name="balance_sheets"/>
      <w:bookmarkEnd w:id="4"/>
      <w:r>
        <w:rPr>
          <w:rFonts w:ascii="Times New Roman" w:hAnsi="Times New Roman"/>
          <w:b/>
          <w:color w:val="000000"/>
          <w:sz w:val="20"/>
        </w:rPr>
        <w:t xml:space="preserve">Condensed Consolidated Balance Sheets </w:t>
        <w:b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931"/>
        <w:gridCol w:w="166"/>
        <w:gridCol w:w="146"/>
        <w:gridCol w:w="211"/>
        <w:gridCol w:w="931"/>
        <w:gridCol w:w="81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revenues in excess of billings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703,252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1,255,103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in excess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806,193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stock—$.0001 par value; 170,000 shares authorized, 67,999 and 67,280 shares issued at September 30, 2025 and December 31, 2024, respectively, and 66,687 and 67,280 shares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1,312 and zero shares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448,910</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1,255,103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 xml:space="preserve">Condensed Consolidated Statements of Operations </w:t>
        <w:b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8552" w:type="dxa"/>
        <w:jc w:val="left"/>
        <w:tblInd w:w="0" w:type="dxa"/>
        <w:tblLayout w:type="fixed"/>
        <w:tblCellMar>
          <w:top w:w="28" w:type="dxa"/>
          <w:left w:w="28" w:type="dxa"/>
          <w:bottom w:w="28" w:type="dxa"/>
          <w:right w:w="28" w:type="dxa"/>
        </w:tblCellMar>
      </w:tblPr>
      <w:tblGrid>
        <w:gridCol w:w="3091"/>
        <w:gridCol w:w="146"/>
        <w:gridCol w:w="211"/>
        <w:gridCol w:w="781"/>
        <w:gridCol w:w="166"/>
        <w:gridCol w:w="146"/>
        <w:gridCol w:w="211"/>
        <w:gridCol w:w="781"/>
        <w:gridCol w:w="166"/>
        <w:gridCol w:w="146"/>
        <w:gridCol w:w="211"/>
        <w:gridCol w:w="781"/>
        <w:gridCol w:w="166"/>
        <w:gridCol w:w="146"/>
        <w:gridCol w:w="211"/>
        <w:gridCol w:w="781"/>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6" w:name="comprehensive_income"/>
      <w:bookmarkEnd w:id="6"/>
      <w:r>
        <w:rPr>
          <w:rFonts w:ascii="Times New Roman" w:hAnsi="Times New Roman"/>
          <w:b/>
          <w:color w:val="000000"/>
          <w:sz w:val="20"/>
        </w:rPr>
        <w:t xml:space="preserve">Condensed Consolidated Statements of Comprehensive Income </w:t>
        <w:b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527" w:type="dxa"/>
        <w:jc w:val="left"/>
        <w:tblInd w:w="0" w:type="dxa"/>
        <w:tblLayout w:type="fixed"/>
        <w:tblCellMar>
          <w:top w:w="28" w:type="dxa"/>
          <w:left w:w="28" w:type="dxa"/>
          <w:bottom w:w="28" w:type="dxa"/>
          <w:right w:w="28" w:type="dxa"/>
        </w:tblCellMar>
      </w:tblPr>
      <w:tblGrid>
        <w:gridCol w:w="4771"/>
        <w:gridCol w:w="146"/>
        <w:gridCol w:w="211"/>
        <w:gridCol w:w="676"/>
        <w:gridCol w:w="146"/>
        <w:gridCol w:w="146"/>
        <w:gridCol w:w="211"/>
        <w:gridCol w:w="631"/>
        <w:gridCol w:w="166"/>
        <w:gridCol w:w="146"/>
        <w:gridCol w:w="211"/>
        <w:gridCol w:w="676"/>
        <w:gridCol w:w="146"/>
        <w:gridCol w:w="146"/>
        <w:gridCol w:w="211"/>
        <w:gridCol w:w="676"/>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hedges—net of tax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Net of income tax (provision) benefit of $(214)</w:t>
      </w:r>
      <w:r>
        <w:rPr>
          <w:color w:val="000000"/>
        </w:rPr>
        <w:t xml:space="preserve"> </w:t>
      </w:r>
      <w:r>
        <w:rPr>
          <w:rFonts w:ascii="Times New Roman" w:hAnsi="Times New Roman"/>
          <w:color w:val="000000"/>
          <w:sz w:val="20"/>
        </w:rPr>
        <w:t>and $900</w:t>
      </w:r>
      <w:r>
        <w:rPr>
          <w:color w:val="000000"/>
        </w:rPr>
        <w:t xml:space="preserve"> </w:t>
      </w:r>
      <w:r>
        <w:rPr>
          <w:rFonts w:ascii="Times New Roman" w:hAnsi="Times New Roman"/>
          <w:color w:val="000000"/>
          <w:sz w:val="20"/>
        </w:rPr>
        <w:t>for the three months ended September 30, 2025 and 2024, respectively. Net of income tax (provision) benefit of $(285)</w:t>
      </w:r>
      <w:r>
        <w:rPr>
          <w:color w:val="000000"/>
        </w:rPr>
        <w:t xml:space="preserve"> </w:t>
      </w:r>
      <w:r>
        <w:rPr>
          <w:rFonts w:ascii="Times New Roman" w:hAnsi="Times New Roman"/>
          <w:color w:val="000000"/>
          <w:sz w:val="20"/>
        </w:rPr>
        <w:t>and $447</w:t>
      </w:r>
      <w:r>
        <w:rPr>
          <w:color w:val="000000"/>
        </w:rPr>
        <w:t xml:space="preserve"> </w:t>
      </w:r>
      <w:r>
        <w:rPr>
          <w:rFonts w:ascii="Times New Roman" w:hAnsi="Times New Roman"/>
          <w:color w:val="000000"/>
          <w:sz w:val="20"/>
        </w:rPr>
        <w:t>for the nine months ended September 30,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7" w:name="statements_of_equity"/>
      <w:bookmarkEnd w:id="7"/>
      <w:r>
        <w:rPr>
          <w:rFonts w:ascii="Times New Roman" w:hAnsi="Times New Roman"/>
          <w:b/>
          <w:color w:val="000000"/>
          <w:sz w:val="20"/>
        </w:rPr>
        <w:t xml:space="preserve">Condensed Consolidated Statements of Equity </w:t>
        <w:b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667" w:type="dxa"/>
        <w:jc w:val="left"/>
        <w:tblInd w:w="0" w:type="dxa"/>
        <w:tblLayout w:type="fixed"/>
        <w:tblCellMar>
          <w:top w:w="28" w:type="dxa"/>
          <w:left w:w="28" w:type="dxa"/>
          <w:bottom w:w="28" w:type="dxa"/>
          <w:right w:w="28" w:type="dxa"/>
        </w:tblCellMar>
      </w:tblPr>
      <w:tblGrid>
        <w:gridCol w:w="1451"/>
        <w:gridCol w:w="246"/>
        <w:gridCol w:w="146"/>
        <w:gridCol w:w="676"/>
        <w:gridCol w:w="166"/>
        <w:gridCol w:w="146"/>
        <w:gridCol w:w="290"/>
        <w:gridCol w:w="476"/>
        <w:gridCol w:w="146"/>
        <w:gridCol w:w="146"/>
        <w:gridCol w:w="211"/>
        <w:gridCol w:w="736"/>
        <w:gridCol w:w="166"/>
        <w:gridCol w:w="146"/>
        <w:gridCol w:w="211"/>
        <w:gridCol w:w="781"/>
        <w:gridCol w:w="166"/>
        <w:gridCol w:w="146"/>
        <w:gridCol w:w="211"/>
        <w:gridCol w:w="781"/>
        <w:gridCol w:w="146"/>
        <w:gridCol w:w="146"/>
        <w:gridCol w:w="304"/>
        <w:gridCol w:w="912"/>
        <w:gridCol w:w="166"/>
        <w:gridCol w:w="146"/>
        <w:gridCol w:w="211"/>
        <w:gridCol w:w="781"/>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color w:val="000000"/>
                <w:sz w:val="16"/>
              </w:rPr>
              <w:t xml:space="preserve"> </w:t>
            </w:r>
            <w:r>
              <w:rPr>
                <w:rFonts w:ascii="Times New Roman" w:hAnsi="Times New Roman"/>
                <w:b/>
                <w:color w:val="000000"/>
                <w:sz w:val="16"/>
              </w:rPr>
              <w:t>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BALANCE—January 1, 2025</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 of common stock</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income—net of tax</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BALANCE—January 1, 2024</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385,548</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BALANCE—September 30, 2024</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320,971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425,409</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Condensed Consolidated Statements of Equity </w:t>
        <w:b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667" w:type="dxa"/>
        <w:jc w:val="left"/>
        <w:tblInd w:w="0" w:type="dxa"/>
        <w:tblLayout w:type="fixed"/>
        <w:tblCellMar>
          <w:top w:w="28" w:type="dxa"/>
          <w:left w:w="28" w:type="dxa"/>
          <w:bottom w:w="28" w:type="dxa"/>
          <w:right w:w="28" w:type="dxa"/>
        </w:tblCellMar>
      </w:tblPr>
      <w:tblGrid>
        <w:gridCol w:w="1451"/>
        <w:gridCol w:w="246"/>
        <w:gridCol w:w="146"/>
        <w:gridCol w:w="676"/>
        <w:gridCol w:w="166"/>
        <w:gridCol w:w="146"/>
        <w:gridCol w:w="290"/>
        <w:gridCol w:w="476"/>
        <w:gridCol w:w="146"/>
        <w:gridCol w:w="146"/>
        <w:gridCol w:w="211"/>
        <w:gridCol w:w="736"/>
        <w:gridCol w:w="166"/>
        <w:gridCol w:w="146"/>
        <w:gridCol w:w="211"/>
        <w:gridCol w:w="781"/>
        <w:gridCol w:w="166"/>
        <w:gridCol w:w="146"/>
        <w:gridCol w:w="211"/>
        <w:gridCol w:w="781"/>
        <w:gridCol w:w="146"/>
        <w:gridCol w:w="146"/>
        <w:gridCol w:w="304"/>
        <w:gridCol w:w="912"/>
        <w:gridCol w:w="166"/>
        <w:gridCol w:w="146"/>
        <w:gridCol w:w="211"/>
        <w:gridCol w:w="781"/>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BALANCE—June 30, 2025</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170,596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481,869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 of restricted stock units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income—net of tax</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2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BALANCE—June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loss—net of tax</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BALANCE—September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revenues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Billings in excess of 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dispositions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settlement of vested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Second Lien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purchased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amounts or as otherwise noted)</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Management believes that the disclosures included herein are adequate and make the information presented not misleading. In the opinion of management, all adjustments, which are of a normal and recurring nature (except as otherwise noted), that are necessary to present fairly the Company’s financial position as of September 30, 2025 and December 31, 2024, and its results of operations for the three and nine months ended September 30, 2025 and 2024 and cash flows for the nine months ended September 30, 2025 and 2024 have been included.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The Company has one operating segment which is also the Company’s reportable segment and reporting unit of which the Company tests goodwill for impairment. </w:t>
      </w:r>
      <w:r>
        <w:rPr>
          <w:rFonts w:ascii="Times New Roman" w:hAnsi="Times New Roman"/>
          <w:color w:val="212529"/>
          <w:sz w:val="20"/>
        </w:rPr>
        <w:t xml:space="preserve">When conducting the annual impairment test for goodwill, the Company can choose to assess qualitative factors to determine whether it is more likely than not that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the qualitative and move directly to the quantitative impairment test. </w:t>
      </w:r>
      <w:r>
        <w:rPr>
          <w:rFonts w:ascii="Times New Roman" w:hAnsi="Times New Roman"/>
          <w:color w:val="000000"/>
          <w:sz w:val="20"/>
        </w:rPr>
        <w:t>The Company performed its annual test of impairment as of July 1, 2025. The 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impairment test of goodwill in the third quarter of 2026.</w:t>
      </w:r>
    </w:p>
    <w:p>
      <w:pPr>
        <w:pStyle w:val="TextBody"/>
        <w:bidi w:val="0"/>
        <w:jc w:val="left"/>
        <w:rPr>
          <w:rFonts w:ascii="Times New Roman" w:hAnsi="Times New Roman"/>
          <w:sz w:val="20"/>
        </w:rPr>
      </w:pPr>
      <w:r>
        <w:rPr>
          <w:rFonts w:ascii="Times New Roman" w:hAnsi="Times New Roman"/>
          <w:color w:val="000000"/>
          <w:sz w:val="20"/>
        </w:rPr>
        <w:t>O</w:t>
      </w:r>
      <w:r>
        <w:rPr>
          <w:rFonts w:ascii="Times New Roman" w:hAnsi="Times New Roman"/>
          <w:color w:val="212529"/>
          <w:sz w:val="20"/>
        </w:rPr>
        <w:t xml:space="preserve">n March 14, 2025, the Company announced that its board of directors approved a share repurchase program, authorizing, but not obligating, the repurchase of up to an aggregate amount of $50.0 million of its common stock from time to time through March 14, 2026. </w:t>
      </w:r>
      <w:r>
        <w:rPr>
          <w:rFonts w:ascii="Times New Roman" w:hAnsi="Times New Roman"/>
          <w:color w:val="000000"/>
          <w:sz w:val="20"/>
        </w:rPr>
        <w:t>Of the approved amount under the share repurchase program, the Company repurchased 1,312,493 shares of common stock for approximately $11.6 million of common stock during the nine months ended September 30, 2025</w:t>
      </w:r>
      <w:r>
        <w:rPr>
          <w:rFonts w:ascii="Times New Roman" w:hAnsi="Times New Roman"/>
          <w:color w:val="212529"/>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condensed consolidated statements of operations and comprehensive income for the interim periods presented herein are not necessarily indicative of the results to be expected for the full year.</w:t>
      </w:r>
    </w:p>
    <w:p>
      <w:pPr>
        <w:pStyle w:val="TextBody"/>
        <w:bidi w:val="0"/>
        <w:spacing w:before="240" w:after="16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September 2025, the Financial Accounting Standards Board (“FASB”) issued Accounting Standards Update (“ASU”) 2025-06, Intangibles - Goodwill and Other - Internal-Use Software. The ASU issued updated guidance on accounting for internal-use software, effective for annual reporting periods beginning after December 15, 2027, with early adoption permitted. The amendments modernize guidance to consider different methods of software development, updating the requirements for capitalization of software costs. The adoption of this ASU is not expected to have a material impact on the Company’s consolidated financial statements and related disclosures.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the FASB issued ASU 2025-05, Financial Instruments - Credit Losses (Topic 326): Measurement of Credit Losses for Accounts Receivable and Contract Assets, which amends Topic 326 to provide for a practical expedient for all entities and an accounting policy election for entities other than public business entities related to the estimation of expected credit losses for current accounts receivable and current contract assets that arise from transactions accounted for under FASB ASU 2016-10, Revenue from Contracts with Customers (Topic 606). All entities may elect a practical expedient that assumes that current conditions as of the balance sheet date do not change for the remaining life of the asset. The amendments will be effective for annual reporting periods beginning after December 15, 2025, and interim reporting periods within those annual reporting periods. Early adoption is permitted.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Entities should apply the new guidance prospectively. We are currently evaluating the potential impact of electing the practical expedient and do not expect it to have a material impact on our condensed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(“DISE”). The ASU primarily requires companies to disclose additional information about specific expense categories in the notes to financial statements at interim and annual reporting periods. The guidance will be applied on a prospective basis with the option to apply the standard retrospectively. The new guidance will be effective for the Company’s year ending December 31, 2027 and interim periods during the year ended December 31, 2028. Management is currently evaluating the impact of this guidance.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December 2023, the FASB issued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The adoption of ASU 2023-09 is not expected to have a material impact on the Company’s consolidated financial statements and related disclosures.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computations for basic and diluted earnings per share are as follows: </w:t>
      </w:r>
    </w:p>
    <w:tbl>
      <w:tblPr>
        <w:tblW w:w="9547" w:type="dxa"/>
        <w:jc w:val="left"/>
        <w:tblInd w:w="0" w:type="dxa"/>
        <w:tblLayout w:type="fixed"/>
        <w:tblCellMar>
          <w:top w:w="28" w:type="dxa"/>
          <w:left w:w="28" w:type="dxa"/>
          <w:bottom w:w="28" w:type="dxa"/>
          <w:right w:w="28" w:type="dxa"/>
        </w:tblCellMar>
      </w:tblPr>
      <w:tblGrid>
        <w:gridCol w:w="4786"/>
        <w:gridCol w:w="146"/>
        <w:gridCol w:w="211"/>
        <w:gridCol w:w="676"/>
        <w:gridCol w:w="146"/>
        <w:gridCol w:w="146"/>
        <w:gridCol w:w="211"/>
        <w:gridCol w:w="676"/>
        <w:gridCol w:w="146"/>
        <w:gridCol w:w="146"/>
        <w:gridCol w:w="211"/>
        <w:gridCol w:w="676"/>
        <w:gridCol w:w="146"/>
        <w:gridCol w:w="146"/>
        <w:gridCol w:w="211"/>
        <w:gridCol w:w="676"/>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respectively, there were 6 and 8 restricted stock units ("RSUs") excluded from the calculation of diluted earnings per share, based on the application of the treasury stock method, as such RSUs were determined to be anti-dilutive. For the three and nine months ended September 30, 2024, respectively, there were 56 and 59 stock options ("NQSOs") and RSUs excluded from the calculation of diluted earnings per share, based on the application of the treasury stock method, as such NQSOs and RSUs were determined to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respectively, there were 663 and 807 RSUs included in the diluted weighted average common shares outstanding. For the three and nine months ended September 30, 2024, respectively, there were 613 and 666 NQSOs and RSUs included in the calculation of diluted earnings per share based on the application of the treasury stock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at September 30, 2025 and December 31, 2024 were as follows:</w:t>
        <w:br/>
        <w:t> </w:t>
      </w:r>
    </w:p>
    <w:tbl>
      <w:tblPr>
        <w:tblW w:w="5684" w:type="dxa"/>
        <w:jc w:val="left"/>
        <w:tblInd w:w="0" w:type="dxa"/>
        <w:tblLayout w:type="fixed"/>
        <w:tblCellMar>
          <w:top w:w="28" w:type="dxa"/>
          <w:left w:w="28" w:type="dxa"/>
          <w:bottom w:w="28" w:type="dxa"/>
          <w:right w:w="28" w:type="dxa"/>
        </w:tblCellMar>
      </w:tblPr>
      <w:tblGrid>
        <w:gridCol w:w="2651"/>
        <w:gridCol w:w="146"/>
        <w:gridCol w:w="211"/>
        <w:gridCol w:w="931"/>
        <w:gridCol w:w="166"/>
        <w:gridCol w:w="146"/>
        <w:gridCol w:w="211"/>
        <w:gridCol w:w="931"/>
        <w:gridCol w:w="29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922,402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Accrued expenses at September 30, 2025 and December 31, 2024 were as follows:</w:t>
      </w:r>
    </w:p>
    <w:tbl>
      <w:tblPr>
        <w:tblW w:w="5445" w:type="dxa"/>
        <w:jc w:val="left"/>
        <w:tblInd w:w="0" w:type="dxa"/>
        <w:tblLayout w:type="fixed"/>
        <w:tblCellMar>
          <w:top w:w="28" w:type="dxa"/>
          <w:left w:w="28" w:type="dxa"/>
          <w:bottom w:w="28" w:type="dxa"/>
          <w:right w:w="28" w:type="dxa"/>
        </w:tblCellMar>
      </w:tblPr>
      <w:tblGrid>
        <w:gridCol w:w="2581"/>
        <w:gridCol w:w="146"/>
        <w:gridCol w:w="271"/>
        <w:gridCol w:w="869"/>
        <w:gridCol w:w="146"/>
        <w:gridCol w:w="146"/>
        <w:gridCol w:w="260"/>
        <w:gridCol w:w="835"/>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Second lien credit agreement</w:t>
      </w:r>
    </w:p>
    <w:p>
      <w:pPr>
        <w:pStyle w:val="TextBody"/>
        <w:bidi w:val="0"/>
        <w:jc w:val="left"/>
        <w:rPr>
          <w:rFonts w:ascii="Times New Roman" w:hAnsi="Times New Roman"/>
          <w:color w:val="000000"/>
          <w:sz w:val="20"/>
        </w:rPr>
      </w:pPr>
      <w:r>
        <w:rPr>
          <w:rFonts w:ascii="Times New Roman" w:hAnsi="Times New Roman"/>
          <w:color w:val="000000"/>
          <w:sz w:val="20"/>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pStyle w:val="TextBody"/>
        <w:bidi w:val="0"/>
        <w:jc w:val="left"/>
        <w:rPr>
          <w:rFonts w:ascii="Times New Roman" w:hAnsi="Times New Roman"/>
          <w:sz w:val="20"/>
        </w:rPr>
      </w:pPr>
      <w:r>
        <w:rPr>
          <w:rFonts w:ascii="Times New Roman" w:hAnsi="Times New Roman"/>
          <w:color w:val="000000"/>
          <w:sz w:val="20"/>
        </w:rPr>
        <w:t xml:space="preserve">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was available to the Company for a period of 12 months following the Closing Date, subject to the terms and conditions as set forth therein. Net proceeds to the Company, after payment of original discount on the initial loans, a closing fee on the delayed draw facility and other debt issuance costs, including those associated with the ABL Credit Agreement described below, were approximately $88.7 million. </w:t>
      </w:r>
      <w:r>
        <w:rPr>
          <w:rFonts w:ascii="Times New Roman" w:hAnsi="Times New Roman"/>
          <w:color w:val="212529"/>
          <w:sz w:val="20"/>
        </w:rPr>
        <w:t xml:space="preserve">On April 24, 2025, the senior secured second-lien delayed draw term loan facility of $50.0 million provided for in the Company’s Second Lien Credit Agreement expired undrawn. In connection with the expiration, the Company recognized approximately $0.6 million of interest expense related to previously recognized debt issuance costs in its consolidated balance sheets. </w:t>
      </w:r>
    </w:p>
    <w:p>
      <w:pPr>
        <w:pStyle w:val="TextBody"/>
        <w:bidi w:val="0"/>
        <w:jc w:val="left"/>
        <w:rPr>
          <w:rFonts w:ascii="Times New Roman" w:hAnsi="Times New Roman"/>
          <w:color w:val="000000"/>
          <w:sz w:val="20"/>
        </w:rPr>
      </w:pPr>
      <w:r>
        <w:rPr>
          <w:rFonts w:ascii="Times New Roman" w:hAnsi="Times New Roman"/>
          <w:color w:val="000000"/>
          <w:sz w:val="20"/>
        </w:rPr>
        <w:t xml:space="preserve">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 (i) 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pStyle w:val="TextBody"/>
        <w:bidi w:val="0"/>
        <w:jc w:val="left"/>
        <w:rPr>
          <w:rFonts w:ascii="Times New Roman" w:hAnsi="Times New Roman"/>
          <w:color w:val="000000"/>
          <w:sz w:val="20"/>
        </w:rPr>
      </w:pPr>
      <w:r>
        <w:rPr>
          <w:rFonts w:ascii="Times New Roman" w:hAnsi="Times New Roman"/>
          <w:color w:val="000000"/>
          <w:sz w:val="20"/>
        </w:rPr>
        <w:t xml:space="preserve">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 payments, ongoing working capital and for other general corporate purposes. The Second Lien Credit Agreement matures on the earlier of April 24, 2029 and the date that is ninety-one (91) days prior to the scheduled maturity date of the Company’s 5.25% Senior Notes due 2029.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 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 Reference Rate on the day that is two business days prior to the first day of such applicable interest period, plus 7.75%. In addition, the Company is required to pay a quarterly fee of 1.00% per annum on the undrawn commitments in respect of the delayed draw term loan facility.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$100.0 million in borrowings on the Second Lien Credit Agreement as of September 30, 2025 and December 31, 2024. The weighted average interest rate, excluding the effects of interest rate swaps, on the Second Lien Credit Agreement borrowings during the quarter ended September 30, 2025 is 12.07%.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ABL Amendment modifies the Applicable Margin for Advances as follows: (i) following the ABL Amendment closing date through and including the date immediately prior to the date on which the Borrowing Base Certificate is required to be delivered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br/>
        <w:t> </w:t>
      </w:r>
    </w:p>
    <w:p>
      <w:pPr>
        <w:pStyle w:val="TextBody"/>
        <w:bidi w:val="0"/>
        <w:spacing w:before="0" w:after="160"/>
        <w:jc w:val="left"/>
        <w:rPr>
          <w:rFonts w:ascii="Times New Roman" w:hAnsi="Times New Roman"/>
          <w:sz w:val="20"/>
        </w:rPr>
      </w:pPr>
      <w:r>
        <w:rPr>
          <w:rFonts w:ascii="Times New Roman" w:hAnsi="Times New Roman"/>
          <w:color w:val="212529"/>
          <w:sz w:val="20"/>
        </w:rPr>
        <w:t xml:space="preserve">On May 2, 2025, </w:t>
      </w:r>
      <w:r>
        <w:rPr>
          <w:rFonts w:ascii="Times New Roman" w:hAnsi="Times New Roman"/>
          <w:color w:val="000000"/>
          <w:sz w:val="20"/>
        </w:rPr>
        <w:t xml:space="preserve">the Credit Parties, PNC, as agent for the lenders, and certain financial institutions party thereto entered into an amendment to the ABL Credit Agreement (the “ABL Second Amendment”). The ABL Second Amendment increased the aggregate principal amount of the Company’s senior secured revolving credit facility from $300.0 million to $330.0 million, with all other material terms remaining unchanged. The Company incurred approximately $0.6 million in debt issuance costs associated with entering into the ABL Second Amendment. These costs will be amortized over the remaining life of the facility.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29, 2022, the Credit Parties entered into a second amended and restated revolving credit and security agreement (as amended by the ABL Amendment and as may be further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no borrowings and $35.0 million borrowings on the revolver as of September 30, 2025 and December 31, 2024, respectively. There were $58.5 million and $43.5 million letters of credit outstanding as of September 30, 2025 and December 31, 2024, respectively. The Company had $271.1 million and $221.2 million of availability under the ABL Credit Agreement as of September 30, 2025 and December 31, 2024, respectively. Availability was suppressed by $0.4 million and $0.3 million as of September 30, 2025 and December 31, 2024, as a result of certain limitations of borrowing related to reserves and compliance with the Company’s obligations set forth in the ABL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Capitalized terms used but not defined herein in Note 5, Long-term debt, shall have the meanings ascribed to such terms in the Second Lien Credit Agreement and the ABL Amendment, as applicable.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Senior notes and subsidiary guarantors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obligations under these 2029 Notes are guaranteed by each of the Company’s existing and future 100% owned domestic subsidiaries that are co-borrowers or guarantors under the ABL Credit Agreement. Such guarantees are full, unconditional and joint and several. The parent company issuer has no independent assets or operations and all non-guarantor subsidiaries have been determined to be minor.</w:t>
      </w:r>
    </w:p>
    <w:p>
      <w:pPr>
        <w:pStyle w:val="TextBody"/>
        <w:bidi w:val="0"/>
        <w:jc w:val="left"/>
        <w:rPr>
          <w:rFonts w:ascii="Times New Roman" w:hAnsi="Times New Roman"/>
          <w:sz w:val="20"/>
        </w:rPr>
      </w:pPr>
      <w:r>
        <w:rPr>
          <w:rFonts w:ascii="Times New Roman" w:hAnsi="Times New Roman"/>
          <w:color w:val="000000"/>
          <w:sz w:val="20"/>
        </w:rPr>
        <w:t xml:space="preserve">The weighted average interest rates on the Company’s outstanding borrowings, </w:t>
      </w:r>
      <w:r>
        <w:rPr>
          <w:rFonts w:ascii="Times New Roman" w:hAnsi="Times New Roman"/>
          <w:color w:val="212121"/>
          <w:sz w:val="20"/>
        </w:rPr>
        <w:t>after adjusting for the effects of interest rate swaps,</w:t>
      </w:r>
      <w:r>
        <w:rPr>
          <w:rFonts w:ascii="Times New Roman" w:hAnsi="Times New Roman"/>
          <w:color w:val="000000"/>
          <w:sz w:val="20"/>
        </w:rPr>
        <w:t xml:space="preserve"> was 6.77% as of September 30, 2025 and December 31, 2024.</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foreign currency risk or interest rate risk. The Company does not hold or issue derivatives for speculative or trading purposes. The fair values of these financial instruments are summarized as follows:</w:t>
      </w:r>
    </w:p>
    <w:tbl>
      <w:tblPr>
        <w:tblW w:w="10205" w:type="dxa"/>
        <w:jc w:val="left"/>
        <w:tblInd w:w="0" w:type="dxa"/>
        <w:tblLayout w:type="fixed"/>
        <w:tblCellMar>
          <w:top w:w="28" w:type="dxa"/>
          <w:left w:w="28" w:type="dxa"/>
          <w:bottom w:w="28" w:type="dxa"/>
          <w:right w:w="28" w:type="dxa"/>
        </w:tblCellMar>
      </w:tblPr>
      <w:tblGrid>
        <w:gridCol w:w="4400"/>
        <w:gridCol w:w="146"/>
        <w:gridCol w:w="1016"/>
        <w:gridCol w:w="146"/>
        <w:gridCol w:w="235"/>
        <w:gridCol w:w="469"/>
        <w:gridCol w:w="162"/>
        <w:gridCol w:w="162"/>
        <w:gridCol w:w="325"/>
        <w:gridCol w:w="651"/>
        <w:gridCol w:w="146"/>
        <w:gridCol w:w="146"/>
        <w:gridCol w:w="212"/>
        <w:gridCol w:w="424"/>
        <w:gridCol w:w="146"/>
        <w:gridCol w:w="146"/>
        <w:gridCol w:w="263"/>
        <w:gridCol w:w="713"/>
        <w:gridCol w:w="297"/>
      </w:tblGrid>
      <w:tr>
        <w:trPr/>
        <w:tc>
          <w:tcPr>
            <w:tcW w:w="4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Derivatives designated as cash flow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Fuel hedge contracts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dredging backlog.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September 30, 2025, the Company was party to various swap arrangements to hedge the price of a portion of its diesel fuel purchase requirements for work in its backlog to be performed through December 2026. As of September 30, 2025, there were 17.4 million gallons remaining on these contracts representing forecasted domestic fuel purchases through December 2026. Under these swap agreements, the Company will pay fixed prices ranging from $2.03 to $2.55 per gallon.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 September 30, 2025, the fair value assets of the fuel hedge contracts were estimated to be $0.4 million and are recorded in other current assets in the condensed consolidated balance sheets. At December 31, 2024, the fair value liabilities of the fuel hedge contracts were estimated to be $1.1 million and are recorded in accrued expenses in the condensed consolidated balance sheets. For fuel hedge contracts considered to be highly effective, the losses reclassified to earnings from changes in fair value of derivatives, net of cash settlements and taxes, for the nine months ended September 30, 2025 were $0.5 million. The remaining gains and losses included in accumulated other comprehensive loss at September 30, 2025 will be reclassified into earnings over the next fifteen months, corresponding to the period during which the hedged fuel is expected to be utilized. Changes in the fair value of fuel hedge contracts not considered highly effective are recorded as cost of contract revenues in the condensed consolidated statements of operations. The fair values of fuel hedges are corroborated using inputs that are readily observable in public markets; therefore, the Company determines fair value of these fuel hedges using Level 2 inputs.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Foreign currency exchange hedge contracts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exposed to certain market risks, including foreign currency exchange rate risks related to the purchase of new vessel build materials in Europe. The Company sometimes enters into foreign currency exchange forward contracts to hedge the risk that fluctuations in the Euro in relation to the U.S. Dollar could have an adverse impact on cash flows associated with its equipment builds.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did not have any foreign currency exchange hedge contracts as of September 30, 2025 or December 31, 2024. The Company was party to various foreign exchange forward contract arrangements to hedge the purchase of materials through November 2024. Under these hedge contracts, the Company paid fixed prices ranging from $1.01 to $1.13 per Euro.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foreign currency exchange hedge contracts considered to be highly effective, the losses reclassified to earnings from changes in fair value of derivatives, net of cash settlements and taxes, for the nine months ended September 30, 2024 were $42. Changes in the fair value of foreign currency exchange hedge contracts not considered highly effective are recorded as other expenses in the condensed consolidated statements of operations. The fair values of foreign currency exchange hedges are corroborated using inputs that are readily observable in public markets; therefore, the Company determines the fair value of these foreign currency exchange hedges using Level 2 inputs.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Interest rate swaps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September 30, 2025, the Company was party to two interest rate swaps with a total notional value of $75 million effective August 5, 2024 and a maturity date of August 24, 2026. Under these interest rate swaps, the Company will pay a weighted average fixed rate of 3.87% on the notional amount and receive payments from the counterparty based on the 30-day SOFR rate, effectively modifying the Company’s exposure to interest rate risk by converting a portion of its floating-rate debt to a weighted average fixed interest rate of 11.62%.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At September 30, 2025 the fair value liability of the Company’s interest rate swaps was $161 and is recorded in accrued expenses in the condensed consolidated balance sheets. At December 31, 2024, the fair value asset of the Company’s interest rate swaps was $217 and is recorded in other current assets in the condensed consolidated balance sheets. For interest rate swaps considered to be highly effective, the gains reclassified to earnings from changes in fair value of derivatives, net of cash settlements and taxes, for the nine months ended September 30, 2025 were $196. The remaining gains and losses included in accumulated other comprehensive loss at September 30, 2025 will be reclassified into earnings over the next eleven months, corresponding to the period during which the interest rate swap is expected to be utilized. Changes in the fair value of interest rate swaps not considered highly effective are recorded as interest expense in the condensed consolidated statements of operations. The fair values of interest rate swaps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corroborated using inputs that are readily observable in public markets; therefore, the Company determines the fair value of these interest rate swaps using Level 2 inputs.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Accumulated other comprehensive income (loss)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Changes in the components of the accumulated balances of other comprehensive income (loss) are as follows:</w:t>
      </w:r>
    </w:p>
    <w:tbl>
      <w:tblPr>
        <w:tblW w:w="10205" w:type="dxa"/>
        <w:jc w:val="left"/>
        <w:tblInd w:w="0" w:type="dxa"/>
        <w:tblLayout w:type="fixed"/>
        <w:tblCellMar>
          <w:top w:w="28" w:type="dxa"/>
          <w:left w:w="28" w:type="dxa"/>
          <w:bottom w:w="28" w:type="dxa"/>
          <w:right w:w="28" w:type="dxa"/>
        </w:tblCellMar>
      </w:tblPr>
      <w:tblGrid>
        <w:gridCol w:w="5554"/>
        <w:gridCol w:w="146"/>
        <w:gridCol w:w="211"/>
        <w:gridCol w:w="481"/>
        <w:gridCol w:w="166"/>
        <w:gridCol w:w="146"/>
        <w:gridCol w:w="211"/>
        <w:gridCol w:w="631"/>
        <w:gridCol w:w="166"/>
        <w:gridCol w:w="146"/>
        <w:gridCol w:w="211"/>
        <w:gridCol w:w="571"/>
        <w:gridCol w:w="166"/>
        <w:gridCol w:w="146"/>
        <w:gridCol w:w="211"/>
        <w:gridCol w:w="631"/>
        <w:gridCol w:w="411"/>
      </w:tblGrid>
      <w:tr>
        <w:trPr/>
        <w:tc>
          <w:tcPr>
            <w:tcW w:w="5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(gains) losses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fuel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Currency Exchange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losses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foreign currency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gains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foreign currency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change in cash flow derivative hedges -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Adjustments reclassified from accumulated balances of other comprehensive income (loss) to earnings are as follows:</w:t>
      </w:r>
    </w:p>
    <w:tbl>
      <w:tblPr>
        <w:tblW w:w="10205" w:type="dxa"/>
        <w:jc w:val="left"/>
        <w:tblInd w:w="0" w:type="dxa"/>
        <w:tblLayout w:type="fixed"/>
        <w:tblCellMar>
          <w:top w:w="28" w:type="dxa"/>
          <w:left w:w="28" w:type="dxa"/>
          <w:bottom w:w="28" w:type="dxa"/>
          <w:right w:w="28" w:type="dxa"/>
        </w:tblCellMar>
      </w:tblPr>
      <w:tblGrid>
        <w:gridCol w:w="3406"/>
        <w:gridCol w:w="146"/>
        <w:gridCol w:w="2321"/>
        <w:gridCol w:w="146"/>
        <w:gridCol w:w="211"/>
        <w:gridCol w:w="481"/>
        <w:gridCol w:w="166"/>
        <w:gridCol w:w="146"/>
        <w:gridCol w:w="211"/>
        <w:gridCol w:w="481"/>
        <w:gridCol w:w="166"/>
        <w:gridCol w:w="146"/>
        <w:gridCol w:w="211"/>
        <w:gridCol w:w="481"/>
        <w:gridCol w:w="166"/>
        <w:gridCol w:w="146"/>
        <w:gridCol w:w="211"/>
        <w:gridCol w:w="571"/>
        <w:gridCol w:w="392"/>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hedge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Other financial instruments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Credit Agreement and Second Lien Credit Agreement approximate fair value at September 30, 2025. In May 2021, the Company sold $325.0 million of the 2029 Notes, which were outstanding at September 30, 2025 (see Note 5, Long-term debt). The fair value of the 2029 Notes was $314.9 million at September 30, 2025,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May 8, 2025, the Company’s stockholders approved the First Amendment to the Great Lakes Dredge &amp; Dock Corporation 2021 Long-Term Incentive Plan (the “Plan Amendment”), which previously had been approved by the Company’s board of directors subject to stockholder approval. The Plan Amendment revised the Incentive Plan (as defined below) to increase the number of shares available for issuance under the Incentive Plan by 3,000,000 shares.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5, 2021, the Company’s stockholders approved the Great Lakes Dredge &amp; Dock Corporation 2021 Long-Term Incentive Plan (the “Incentive Plan”), which previously had been approved by the Company’s board of directors subject to stockholder approval. The Incentive Plan replaced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Company’s board of directors and/or the applicable committee or committees thereof, as may be required.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nine months ended September 30, 2025, the Company granted 556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$2.7 million and $3.5 million for the three months ended September 30, 2025 and 2024, respectively. Compensation cost charged to expense related to share-based compensation arrangements was $8.0 million and $6.1 million for the nine months ended September 30, 2025 and 2024, respectively.</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At September 30, 2025, the Company had $934.5 million of remaining performance obligations on dredging contracts, which the Company refers to as total dredging backlog. Total dredging backlog does not include $193.5 million of domestic low bids pending formal award and additional phases (“options”) pending on projects currently in dredging backlog at September 30, 2025. Additionally, the Company had $73.0 million of remaining performance obligations related to offshore energy contracts. The Company expects the majority of its dredging backlog and all of its offshore energy backlog at September 30, 2025 to be converted to revenue by the end of 2026.</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Revenue by category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series of tables presents the Company's revenue disaggregated by several categories.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Domestically, the Company’s work generally is performed in coastal waterways and deep-water ports. The U.S. dredging market consists of three primary types of work: capital, coastal protection and maintenance. Foreign projects typically involve capital work. Offshore energy consists of projects servicing the offshore wind, oil and gas, and power and telecommunications industries, both domestically and internationally.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contract revenues by type of work, for the periods indicated, are as follows:</w:t>
      </w:r>
    </w:p>
    <w:tbl>
      <w:tblPr>
        <w:tblW w:w="7482"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211"/>
        <w:gridCol w:w="781"/>
        <w:gridCol w:w="146"/>
        <w:gridCol w:w="146"/>
        <w:gridCol w:w="211"/>
        <w:gridCol w:w="781"/>
        <w:gridCol w:w="3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contract revenues by type of customer, for the periods indicated, are as follows:</w:t>
      </w:r>
    </w:p>
    <w:tbl>
      <w:tblPr>
        <w:tblW w:w="7922" w:type="dxa"/>
        <w:jc w:val="left"/>
        <w:tblInd w:w="0" w:type="dxa"/>
        <w:tblLayout w:type="fixed"/>
        <w:tblCellMar>
          <w:top w:w="28" w:type="dxa"/>
          <w:left w:w="28" w:type="dxa"/>
          <w:bottom w:w="28" w:type="dxa"/>
          <w:right w:w="28" w:type="dxa"/>
        </w:tblCellMar>
      </w:tblPr>
      <w:tblGrid>
        <w:gridCol w:w="2541"/>
        <w:gridCol w:w="146"/>
        <w:gridCol w:w="211"/>
        <w:gridCol w:w="781"/>
        <w:gridCol w:w="146"/>
        <w:gridCol w:w="146"/>
        <w:gridCol w:w="211"/>
        <w:gridCol w:w="781"/>
        <w:gridCol w:w="146"/>
        <w:gridCol w:w="146"/>
        <w:gridCol w:w="211"/>
        <w:gridCol w:w="781"/>
        <w:gridCol w:w="146"/>
        <w:gridCol w:w="146"/>
        <w:gridCol w:w="211"/>
        <w:gridCol w:w="781"/>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 - private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Accounts receivable at September 30, 2025 and December 31, 2024 are as follows:</w:t>
      </w:r>
    </w:p>
    <w:tbl>
      <w:tblPr>
        <w:tblW w:w="5560" w:type="dxa"/>
        <w:jc w:val="left"/>
        <w:tblInd w:w="0" w:type="dxa"/>
        <w:tblLayout w:type="fixed"/>
        <w:tblCellMar>
          <w:top w:w="28" w:type="dxa"/>
          <w:left w:w="28" w:type="dxa"/>
          <w:bottom w:w="28" w:type="dxa"/>
          <w:right w:w="28" w:type="dxa"/>
        </w:tblCellMar>
      </w:tblPr>
      <w:tblGrid>
        <w:gridCol w:w="2656"/>
        <w:gridCol w:w="146"/>
        <w:gridCol w:w="242"/>
        <w:gridCol w:w="898"/>
        <w:gridCol w:w="166"/>
        <w:gridCol w:w="146"/>
        <w:gridCol w:w="233"/>
        <w:gridCol w:w="862"/>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components of contracts in progress at September 30, 2025 and December 31, 2024 are as follows:</w:t>
      </w:r>
    </w:p>
    <w:tbl>
      <w:tblPr>
        <w:tblW w:w="8400" w:type="dxa"/>
        <w:jc w:val="left"/>
        <w:tblInd w:w="0" w:type="dxa"/>
        <w:tblLayout w:type="fixed"/>
        <w:tblCellMar>
          <w:top w:w="28" w:type="dxa"/>
          <w:left w:w="28" w:type="dxa"/>
          <w:bottom w:w="28" w:type="dxa"/>
          <w:right w:w="28" w:type="dxa"/>
        </w:tblCellMar>
      </w:tblPr>
      <w:tblGrid>
        <w:gridCol w:w="5296"/>
        <w:gridCol w:w="146"/>
        <w:gridCol w:w="228"/>
        <w:gridCol w:w="912"/>
        <w:gridCol w:w="166"/>
        <w:gridCol w:w="146"/>
        <w:gridCol w:w="219"/>
        <w:gridCol w:w="876"/>
        <w:gridCol w:w="4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revenues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contract revenues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billings in excess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 September 30, 2025 and December 31, 2024, costs to fulfill contracts customers recognized as other current assets were $12.8 million and $10.3 million, respectively. At September 30, 2025 and December 31, 2024, costs to fulfill contracts with customers recognized as other noncurrent assets were $1.6 million and $7.6 million, respectively. These costs relate to pre-contract and pre-construction activities. During the three and nine months ended September 30, 2025, the Company amortized $2.8 million and $12.0 million of pre-construction costs, respectively. During the three and nine months ended September 30, 2024, the Company amortized $4.4 million and $12.8 million of pre-construction costs,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160"/>
        <w:jc w:val="left"/>
        <w:rPr>
          <w:rFonts w:ascii="Times New Roman" w:hAnsi="Times New Roman"/>
          <w:sz w:val="20"/>
        </w:rPr>
      </w:pPr>
      <w:r>
        <w:rPr>
          <w:rFonts w:ascii="Times New Roman" w:hAnsi="Times New Roman"/>
          <w:b/>
          <w:i/>
          <w:color w:val="000000"/>
          <w:sz w:val="20"/>
        </w:rPr>
        <w:t>Commercial commitments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Performance and bid bonds are customarily required for dredging and marine construction projects. The Company has bonding agreements with Liberty Mutual Insurance Company, Philadelphia Indemnity Insurance Company, Ascot Insurance Companies and AXIS Insurance Company under which the Company can obtain performance, bid and payment bonds. The Company also currently has outstanding bonds with ACE Holdings, Travelers Casualty and Surety Company of America, Berkley Insurance Company and Zurich American Insurance Company. Bid bonds are generally obtained for a percentage of bid value and amounts outstanding typically range from $1.0 million to $10.0 million. At September 30, 2025, the Company had outstanding performance bonds with a notional amount of approximately $1.2 billion. The revenue value remaining in dredging backlog related to the outstanding performance bonds totaled approximately $664.7 million.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foreign projects performed by the Company have warranty periods, typically spanning between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Legal proceedings and other contingencies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Lease obligations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ABL Credit Agreement, or, in certain instances, cross default to other equipment leases and certain lease arrangements require that the Company maintain certain financial ratios comparable to those required by the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reports segment information based on the management approach which designates the internal reporting used by the Chief Operating Decision Maker (“CODM”), which is the Company’s Chief Executive Officer, for making decisions and assessing performance as the source of the Company’s reportable segments. The Company has determined it has one reportable segment: dredging.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the Company operates in one reportable segment, the CODM is provided financial reports which include (i) a consolidated statement of operations, (ii) plant expenses (as described below), (iii) a summary of contract revenues by work type and backlog by customer type, (iv) a consolidated balance sheet and (v) a contract analysis of revenues and margins by project. These financial reports assist the CODM in assessing the Company’s financial performance and in allocating resources appropriately.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dredging segment provides dredging services, which generally involves the enhancement or preservation of the navigability of waterways or the protection of shorelines through the removal or replenishment of soil, sand or rock. The Company derives its revenue primarily in the United States and manages its business activities on a consolidated basis. The accounting policies of the dredging segment are the same as those described in the summary of significant accounting policies. The measure of segment assets is reported on the consolidated balance sheet as total consolidated assets. The CODM uses net income and Adjusted EBITDA to evaluate income generated from segment assets in deciding whether to reinvest profits into the operating segment or into other parts of the entity. Net income and Adjusted EBITDA are used to monitor budgeted versus actual results and to assess performance of the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income from the Company’s reportable segment is as follows: </w:t>
      </w:r>
    </w:p>
    <w:tbl>
      <w:tblPr>
        <w:tblW w:w="9772" w:type="dxa"/>
        <w:jc w:val="left"/>
        <w:tblInd w:w="0" w:type="dxa"/>
        <w:tblLayout w:type="fixed"/>
        <w:tblCellMar>
          <w:top w:w="28" w:type="dxa"/>
          <w:left w:w="28" w:type="dxa"/>
          <w:bottom w:w="28" w:type="dxa"/>
          <w:right w:w="28" w:type="dxa"/>
        </w:tblCellMar>
      </w:tblPr>
      <w:tblGrid>
        <w:gridCol w:w="4311"/>
        <w:gridCol w:w="146"/>
        <w:gridCol w:w="211"/>
        <w:gridCol w:w="781"/>
        <w:gridCol w:w="166"/>
        <w:gridCol w:w="146"/>
        <w:gridCol w:w="211"/>
        <w:gridCol w:w="781"/>
        <w:gridCol w:w="166"/>
        <w:gridCol w:w="146"/>
        <w:gridCol w:w="211"/>
        <w:gridCol w:w="781"/>
        <w:gridCol w:w="166"/>
        <w:gridCol w:w="146"/>
        <w:gridCol w:w="211"/>
        <w:gridCol w:w="78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contract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expenses excluding depreciation expense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Consists of indirect expenses that are allocated to contracts, including, but not limited to: maintenance, supplies, wear and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Management has evaluated subsequent events through the date of issuance of these financial statements and has determined that there are no subsequent events outside the ordinary scope of business that require adjustment to, or disclosure in, the consolidated financial statements other than those disclosed below.</w:t>
      </w:r>
    </w:p>
    <w:p>
      <w:pPr>
        <w:pStyle w:val="TextBody"/>
        <w:bidi w:val="0"/>
        <w:jc w:val="left"/>
        <w:rPr>
          <w:rFonts w:ascii="Times New Roman" w:hAnsi="Times New Roman"/>
          <w:i/>
          <w:color w:val="000000"/>
          <w:sz w:val="20"/>
        </w:rPr>
      </w:pPr>
      <w:r>
        <w:rPr>
          <w:rFonts w:ascii="Times New Roman" w:hAnsi="Times New Roman"/>
          <w:i/>
          <w:color w:val="000000"/>
          <w:sz w:val="20"/>
        </w:rPr>
        <w:t>ABL Third Amendment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October 24, 2025, the Credit Parties, PNC Bank, National Association, as agent for the lenders, and certain other financial institutions party thereto entered into an amendment to the ABL Credit Agreement (the “ABL Third Amendment”). The ABL Third Amendment, which has a springing maturity, which is the earlier of October 24, 2030 and the date that is ninety-one (91) days prior to the scheduled maturity date of the Company’s 5.25% Senior Notes due 2029, amends and restates the ABL Second Amendment to renew and extend the debt outstanding under the ABL Second Amendment and to (i) increase the aggregate principal amount to $430.0 million, (ii) reduce the Applicable Margins applied to borrowings and (iii) make certain other customary amendments. The obligations under the ABL Third Amendment are secured by substantially all of the assets of the Credit Parties. The maximum borrowing capacity under the ABL Third Amendment is determined by a formula and may fluctuate depending on the value of the collateral included in such formula at the time of determination. </w:t>
      </w:r>
    </w:p>
    <w:p>
      <w:pPr>
        <w:pStyle w:val="TextBody"/>
        <w:bidi w:val="0"/>
        <w:jc w:val="left"/>
        <w:rPr>
          <w:rFonts w:ascii="Times New Roman" w:hAnsi="Times New Roman"/>
          <w:i/>
          <w:color w:val="000000"/>
          <w:sz w:val="20"/>
        </w:rPr>
      </w:pPr>
      <w:r>
        <w:rPr>
          <w:rFonts w:ascii="Times New Roman" w:hAnsi="Times New Roman"/>
          <w:i/>
          <w:color w:val="000000"/>
          <w:sz w:val="20"/>
        </w:rPr>
        <w:t>Second Lien Credit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Upon the closing of the ABL Third Amendment, the Company utilized borrowings under the ABL Credit Agreement to repay the principal borrowings under the Second Lien Credit Agreement. Based on the repayment terms of the Second Lien Credit Agreement, the Company repaid the $100.0 million principal amount, plus a 3%, or $3.0 million, call premium. Additionally, as of October 24, 2025, the Company had approximately $7.7 million in unamortized deferred financing costs related to the Second Lien Credit Agreement. These costs were reclassified from the consolidated balance sheet to interest expense on the consolidated statement of operations in the fourth quarter of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further discussion of the ABL Third Amendment and the Second Lien Credit Agreement see the Company’s current report on Form 8-K filed with the SEC on October 27,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managements_discussion_and_analysis"/>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“commitment to,” “scheduled to,” or other similar words, or the negative of these terms or other variations of these terms or comparable language, or by discussion of strategy or intentions.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2024 and in other securities filings by Great Lakes with the SEC.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Great Lakes is the largest provider of dredging services in the United States which is complemented with a long history of performing significant international projects. The Company is also fully engaged in expanding its core business into the offshore energy industry. The Company operates in one operating segment, which is also the Company’s one reportable segment and reporting unit.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three primary types of work: capital, coastal protection and maintenance.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Due to its lower materiality relative to the Company’s overall operations, projects previously presented as rivers &amp; lakes are now included in maintenance dredging throughout. Prior periods presented herein have been updated to conform to the current presentation. These projects typically consist of lake and river dredging, inland levee and construction dredging, environmental restoration and habitat improvement and other marine construction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31% over the three-year period ended December 31, 2024, including 28%, 59% and 19% of the capital, coastal protection and maintenance sectors, respectively, exclusive of liquefied natural gas (“LNG”) projects.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largest domestic customer is the U.S. Army Corps of Engineers (the “Corps”), which has responsibility for federally funded projects related to navigation and flood control of U.S. waterways. In the first nine months of 2025, the Company’s revenues earned from contracts with federal government agencies, including the Corps as well as other federal entities such as the U.S. Coast Guard and the U.S. Navy, were approximately 50% of revenues, which is below the average of the three-year period ended December 31, 2024 of 65%. The decrease in the federal government revenue percentage is a result of additional revenues from private customers in the first nine months of 2025. </w:t>
      </w:r>
    </w:p>
    <w:p>
      <w:pPr>
        <w:pStyle w:val="TextBody"/>
        <w:bidi w:val="0"/>
        <w:jc w:val="left"/>
        <w:rPr>
          <w:rFonts w:ascii="Times New Roman" w:hAnsi="Times New Roman"/>
          <w:color w:val="000000"/>
          <w:sz w:val="20"/>
        </w:rPr>
      </w:pPr>
      <w:r>
        <w:rPr>
          <w:rFonts w:ascii="Times New Roman" w:hAnsi="Times New Roman"/>
          <w:color w:val="000000"/>
          <w:sz w:val="20"/>
        </w:rPr>
        <w:t>Effective October 1, 2025, the federal government shut down due to a lapse in appropriations, impacting operations across multiple agencies and services nationwide. While shutdowns are rare and typically short lived, the annual federal budget process is typically complicated and prone to stop gap provisions like Continuing Resolutions. As a result, federal agencies like the Corps are accustomed to executing their mission within the confines of these complications.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seen no interruption to our business during the current government shutdown. Our operations have remained unaffected, and we expect to continue to conduct business as usual, maintaining full project operations. Our commitment to supporting the Corps remains steadfast and all of the Corps’ projects in our backlog are fully funded.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third quarter of 2025, the Company commenced a regulatory dry dock inspection on one dredge and completed the regulatory dry dock inspections that commenced on two dredges during the second quarter of 2025. By comparison, during the third quarter of 2024 the Company commenced a regulatory dry dock inspection on one dredge, which was completed in the fourth quarter of 2024. The Company has plans to commence a regulatory dry dock inspection on one additional dredge in the fourth quarter of 2025. During the third quarter of 2025, the Company completed the sale of the previously cold stacked dredge that was reclassified to other current assets in the condensed consolidated balance sheets as of June 30, 2025. The sale resulted in a gain of approximately $2.0 million during the third quarter of 2025.</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While the Company continues to reinvest in our core dredging business and renew our dredging fleet, we remain steadfast in our commitment to executing a long-term strategy that maximizes growth opportunities for the Company.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We believe that Great Lakes has established a unique business position with our subsea rock installation (“SRI”) vessel, the </w:t>
      </w:r>
      <w:r>
        <w:rPr>
          <w:rFonts w:ascii="Times New Roman" w:hAnsi="Times New Roman"/>
          <w:i/>
          <w:color w:val="000000"/>
          <w:sz w:val="20"/>
        </w:rPr>
        <w:t>Acadia</w:t>
      </w:r>
      <w:r>
        <w:rPr>
          <w:rFonts w:ascii="Times New Roman" w:hAnsi="Times New Roman"/>
          <w:color w:val="000000"/>
          <w:sz w:val="20"/>
        </w:rPr>
        <w:t xml:space="preserve">, the first and only Jones Act SRI vessel being constructed in the United States, targeting the offshore wind, oil and gas and power and telecommunication industries, both domestically and internationally. In July 2025 the </w:t>
      </w:r>
      <w:r>
        <w:rPr>
          <w:rFonts w:ascii="Times New Roman" w:hAnsi="Times New Roman"/>
          <w:i/>
          <w:color w:val="000000"/>
          <w:sz w:val="20"/>
        </w:rPr>
        <w:t>Acadia</w:t>
      </w:r>
      <w:r>
        <w:rPr>
          <w:rFonts w:ascii="Times New Roman" w:hAnsi="Times New Roman"/>
          <w:color w:val="000000"/>
          <w:sz w:val="20"/>
        </w:rPr>
        <w:t xml:space="preserve"> was launched and is expected to be delivered and operational in 2026. The </w:t>
      </w:r>
      <w:r>
        <w:rPr>
          <w:rFonts w:ascii="Times New Roman" w:hAnsi="Times New Roman"/>
          <w:i/>
          <w:color w:val="000000"/>
          <w:sz w:val="20"/>
        </w:rPr>
        <w:t xml:space="preserve">Acadia </w:t>
      </w:r>
      <w:r>
        <w:rPr>
          <w:rFonts w:ascii="Times New Roman" w:hAnsi="Times New Roman"/>
          <w:color w:val="000000"/>
          <w:sz w:val="20"/>
        </w:rPr>
        <w:t>has secured offshore wind rock placement contracts for Equinor’s Empire Wind 1 and Ørsted’s Sunrise Wind projects to protect foundations and cables.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16, 2025, the Bureau of Ocean Energy Management issued a temporary pause for Equinor’s Empire Wind 1 project. The pause was resolved shortly thereafter and the project has resumed in accordance with its schedule, which is part of our Offshore Energy backlog. We have secured contracts for full utilization of the </w:t>
      </w:r>
      <w:r>
        <w:rPr>
          <w:rFonts w:ascii="Times New Roman" w:hAnsi="Times New Roman"/>
          <w:i/>
          <w:color w:val="000000"/>
          <w:sz w:val="20"/>
        </w:rPr>
        <w:t xml:space="preserve">Acadia </w:t>
      </w:r>
      <w:r>
        <w:rPr>
          <w:rFonts w:ascii="Times New Roman" w:hAnsi="Times New Roman"/>
          <w:color w:val="000000"/>
          <w:sz w:val="20"/>
        </w:rPr>
        <w:t xml:space="preserve">for 2026 and are currently bidding work for the </w:t>
      </w:r>
      <w:r>
        <w:rPr>
          <w:rFonts w:ascii="Times New Roman" w:hAnsi="Times New Roman"/>
          <w:i/>
          <w:color w:val="000000"/>
          <w:sz w:val="20"/>
        </w:rPr>
        <w:t>Acadia</w:t>
      </w:r>
      <w:r>
        <w:rPr>
          <w:rFonts w:ascii="Times New Roman" w:hAnsi="Times New Roman"/>
          <w:color w:val="000000"/>
          <w:sz w:val="20"/>
        </w:rPr>
        <w:t xml:space="preserve"> for 2027 and beyond.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offshore wind remains an important part of the array of technologies required for the U.S. to meet the increasing demand for energy of the U.S. electrical grid. However, in anticipation of delays in U.S. offshore wind projects, we proactively expanded the </w:t>
      </w:r>
      <w:r>
        <w:rPr>
          <w:rFonts w:ascii="Times New Roman" w:hAnsi="Times New Roman"/>
          <w:i/>
          <w:color w:val="000000"/>
          <w:sz w:val="20"/>
        </w:rPr>
        <w:t>Acadia’s</w:t>
      </w:r>
      <w:r>
        <w:rPr>
          <w:rFonts w:ascii="Times New Roman" w:hAnsi="Times New Roman"/>
          <w:color w:val="000000"/>
          <w:sz w:val="20"/>
        </w:rPr>
        <w:t xml:space="preserve"> strategic target markets to include oil and gas pipeline protection, power and telecommunications cable protection, and international offshore wind. This diversification increased our opportunities into a broader range of services we now refer to as Offshore Energy. Our strategy is supported by a global shortage of rock placement vessels, and we are actively pursuing opportunities across these sectors to ensure strong and sustained utilization of the </w:t>
      </w:r>
      <w:r>
        <w:rPr>
          <w:rFonts w:ascii="Times New Roman" w:hAnsi="Times New Roman"/>
          <w:i/>
          <w:color w:val="000000"/>
          <w:sz w:val="20"/>
        </w:rPr>
        <w:t>Acadia</w:t>
      </w:r>
      <w:r>
        <w:rPr>
          <w:rFonts w:ascii="Times New Roman" w:hAnsi="Times New Roman"/>
          <w:color w:val="000000"/>
          <w:sz w:val="20"/>
        </w:rPr>
        <w:t xml:space="preserve"> well into the future.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4, 2025, the One Big Beautiful Bill Act (OBBBA) was signed into law, which, among other things, accelerated the phaseout or termination of certain energy tax credits added by the Inflation Reduction Act of 2022. These changes could lead to delayed or reduced investment by developers in the U.S. offshore wind industry. As previously stated, the Company had anticipated potential headwinds to domestic offshore wind development and proactively looked to diversify both the sectors and geographical regions which the </w:t>
      </w:r>
      <w:r>
        <w:rPr>
          <w:rFonts w:ascii="Times New Roman" w:hAnsi="Times New Roman"/>
          <w:i/>
          <w:color w:val="000000"/>
          <w:sz w:val="20"/>
        </w:rPr>
        <w:t>Acadia</w:t>
      </w:r>
      <w:r>
        <w:rPr>
          <w:rFonts w:ascii="Times New Roman" w:hAnsi="Times New Roman"/>
          <w:color w:val="000000"/>
          <w:sz w:val="20"/>
        </w:rPr>
        <w:t xml:space="preserve"> can 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build our offshore energy capabilities, bid on SRI projects and position the Company for growth in the offshore energy markets, as many of our European competitors have done in the international offshore energy markets.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the components of net income and Adjusted EBITDA, as defined below, as a percentage of contract revenues for the three and nine months ended September 30, 2025 and 2024. The selected financial data presented below have been derived from the Company’s condensed consolidated financial statements; items may not sum due to rounding.</w:t>
      </w:r>
    </w:p>
    <w:tbl>
      <w:tblPr>
        <w:tblW w:w="7933" w:type="dxa"/>
        <w:jc w:val="left"/>
        <w:tblInd w:w="0" w:type="dxa"/>
        <w:tblLayout w:type="fixed"/>
        <w:tblCellMar>
          <w:top w:w="28" w:type="dxa"/>
          <w:left w:w="28" w:type="dxa"/>
          <w:bottom w:w="28" w:type="dxa"/>
          <w:right w:w="28" w:type="dxa"/>
        </w:tblCellMar>
      </w:tblPr>
      <w:tblGrid>
        <w:gridCol w:w="3091"/>
        <w:gridCol w:w="146"/>
        <w:gridCol w:w="146"/>
        <w:gridCol w:w="571"/>
        <w:gridCol w:w="271"/>
        <w:gridCol w:w="146"/>
        <w:gridCol w:w="146"/>
        <w:gridCol w:w="571"/>
        <w:gridCol w:w="271"/>
        <w:gridCol w:w="146"/>
        <w:gridCol w:w="146"/>
        <w:gridCol w:w="571"/>
        <w:gridCol w:w="166"/>
        <w:gridCol w:w="271"/>
        <w:gridCol w:w="146"/>
        <w:gridCol w:w="571"/>
        <w:gridCol w:w="1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bookmarkStart w:id="11" w:name="adjusted_ebitda"/>
      <w:bookmarkEnd w:id="11"/>
      <w:r>
        <w:rPr>
          <w:rFonts w:ascii="Times New Roman" w:hAnsi="Times New Roman"/>
          <w:color w:val="000000"/>
          <w:sz w:val="20"/>
        </w:rPr>
        <w:t>Adjusted EBITDA, as provided herein, represents net income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net income to measure the Company’s operating performance and uses Adjusted EBITDA only as a supplement. For the three and nine months ended September 30, 2025 and 2024, the Company did not have any adjustments to EBITDA as defined herein. As such, the amounts presented as Adjusted EBITDA herein also represent EBITDA for the periods presented. The following is a reconciliation of Adjusted EBITDA to net income from continuing operations of the Company:</w:t>
      </w:r>
    </w:p>
    <w:tbl>
      <w:tblPr>
        <w:tblW w:w="7862" w:type="dxa"/>
        <w:jc w:val="left"/>
        <w:tblInd w:w="0" w:type="dxa"/>
        <w:tblLayout w:type="fixed"/>
        <w:tblCellMar>
          <w:top w:w="28" w:type="dxa"/>
          <w:left w:w="28" w:type="dxa"/>
          <w:bottom w:w="28" w:type="dxa"/>
          <w:right w:w="28" w:type="dxa"/>
        </w:tblCellMar>
      </w:tblPr>
      <w:tblGrid>
        <w:gridCol w:w="2796"/>
        <w:gridCol w:w="146"/>
        <w:gridCol w:w="211"/>
        <w:gridCol w:w="676"/>
        <w:gridCol w:w="146"/>
        <w:gridCol w:w="146"/>
        <w:gridCol w:w="211"/>
        <w:gridCol w:w="676"/>
        <w:gridCol w:w="146"/>
        <w:gridCol w:w="146"/>
        <w:gridCol w:w="211"/>
        <w:gridCol w:w="781"/>
        <w:gridCol w:w="146"/>
        <w:gridCol w:w="146"/>
        <w:gridCol w:w="211"/>
        <w:gridCol w:w="676"/>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contract revenues by type of work, for the periods indicated, were as follows:</w:t>
      </w:r>
    </w:p>
    <w:tbl>
      <w:tblPr>
        <w:tblW w:w="9720"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146"/>
        <w:gridCol w:w="526"/>
        <w:gridCol w:w="331"/>
        <w:gridCol w:w="146"/>
        <w:gridCol w:w="211"/>
        <w:gridCol w:w="781"/>
        <w:gridCol w:w="146"/>
        <w:gridCol w:w="146"/>
        <w:gridCol w:w="211"/>
        <w:gridCol w:w="781"/>
        <w:gridCol w:w="146"/>
        <w:gridCol w:w="146"/>
        <w:gridCol w:w="146"/>
        <w:gridCol w:w="526"/>
        <w:gridCol w:w="5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Total revenue was $195.2 million for the three months ended September 30, 2025, up $4.0 million, or 2%, from $191.2 million for the same period in the prior year. For the nine months ended September 30, 2025, total revenue was $631.8 million, up $71.9 million, or 13%, from $559.9 million for the same period in the prior year. For the three and nine months ended September 30, 2025, the Company experienced a significant increase in capital revenues as compared to the same period in the prior year, driven by strong project performance combined with high utilization, despite having six dredges undergoing regulatory drydockings at various times during the current year period, in addition to the commencement of an offshore energy project in New York. For the nine months ended September 30, 2025, the Company experienced an increase in coastal protection revenues when compared to the prior year period. These increases were partially offset by a decrease in maintenance revenues during the three and nine months ended September 30, 2025 and a decrease in coastal protection revenues during the three months ended September 30, 2025.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Capital dredging consists primarily of port expansion projects, which involve the deepening of channels and berthing basins to allow access by larger, deeper draft ships and the provision of land fill used to expand port facilities. This work also includes projects to prepare ports and channels for access by larger vessels into LNG terminals. In addition to port and LNG work, capital projects also include coastal restoration and land reclamations, trench digging for pipelines, tunnels and cables, and other dredging related to the construction of breakwaters, jetties, canals and other marine structures. For the three months ended September 30, 2025, capital dredging revenue was $126.3 million, up $17.6 million, or 16%, compared to $108.7 million for the same period in 2024. This increase in capital dredging revenues for the three months ended September 30, 2025 was mostly attributable to an increase in the amount of revenue earned on projects in Alabama. This increase was partially offset by a decrease in revenue earned on projects in Texas. For the nine months ended September 30, 2025, capital dredging revenue was $322.8 million, up $73.5 million, or 29%, compared to $249.3 million for the same period in 2024. The increase in capital dredging revenues for the nine months ended September 30, 2025 was mostly due to a higher amount of revenue earned on projects in Texas and Alabama in the current year periods when compared to the same periods in the prior year. This increase is partially offset by a decrease in revenue earned on projects in Virginia in the current year.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Coastal protection projects involve moving sand from the ocean floor to shoreline locations where erosion threatens shoreline assets. Coastal protection revenue for the quarter ended September 30, 2025 was $39.8 million, a decrease of $4.1 million, or 9%, compared to $43.9 million in the prior year period. The decrease in coastal protection revenue for the three months ended September 30, 2025 was attributable to a decrease in the amount of revenue earned on projects in Florida in the current year when compared to the prior year period. This decrease was partially offset by higher revenue earned on projects in New Jersey and Delaware in the current quarter. For the nine months ended September 30, 2025, coastal protection revenue was $225.6 million, an increase of $47.6 million, or 27%, compared to $178.0 million for the same period in 2024. The increase is attributable to an increase in the amount of revenue earned on projects in New York, New Jersey and Delaware in the current year when compared to the prior year period. This increase was partially offset by lower revenue earned on projects in Alabama and Florida in the current year.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2025 was $23.0 million, down $15.6 million, or 40%, from $38.6 million in the same period of 2024. The decrease in maintenance revenues for the three months ended September 30, 2025 was mostly attributable to a decrease in revenue earned on projects in Florida, Mississippi and Texas when compared with prior year periods. This decrease was partially offset by an increase in revenue earned on projects in Louisiana in the current year period. For the nine months ended September 30, 2025, maintenance revenue was $77.3 million, down $55.3 million, or 42%, from $132.6 million in the same period of 2024. The decrease in maintenance revenues for the nine months ended September 30, 2025 was mostly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attributable to decrease in revenue earned on projects in Florida, Texas, Puerto Rico, Mississippi and Louisiana when compared with prior year period. This decrease was partially offset by an increase in revenue earned on projects in Virginia and South Carolina in the current year period.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Offshore energy consists of projects servicing the offshore wind, oil and gas, and power and telecommunication industries, both domestically and internationally. Offshore energy revenue for the three and nine months ended September 30, 2025 was $6.1 million, compared to zero in the prior year periods. The increase was attributable to the revenue earned on the commencement of a project in New York in the current year.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Consolidated gross profit for the three months ended September 30, 2025 was $43.8 million, up $7.6 million, or 21%, compared to $36.2 million in the same period of 2024. Gross profit margin for the three months ended September 30, 2025 increased to 22.4% from 19.0% in the same period in the prior year. Consolidated gross profit for the nine months ended September 30, 2025 was $149.8 million, up $38.2 million, or 34%, compared to $111.6 million in same period of 2024. Gross profit margin for the nine months ended September 30, 2025 increased to 23.7% from 19.9% in the same period in the prior year. The higher gross profit and profit margins experienced for the three and nine months ended September 30, 2025 were driven by increased revenues as well as improved utilization and project performance. Additionally, the project mix during the current year period includes a larger proportion of higher margin capital and coastal protection projects than the same period in the prior year. </w:t>
      </w:r>
    </w:p>
    <w:p>
      <w:pPr>
        <w:pStyle w:val="TextBody"/>
        <w:bidi w:val="0"/>
        <w:spacing w:before="0" w:after="160"/>
        <w:jc w:val="left"/>
        <w:rPr>
          <w:rFonts w:ascii="Times New Roman" w:hAnsi="Times New Roman"/>
          <w:sz w:val="20"/>
        </w:rPr>
      </w:pPr>
      <w:r>
        <w:rPr>
          <w:rFonts w:ascii="Times New Roman" w:hAnsi="Times New Roman"/>
          <w:color w:val="000000"/>
          <w:sz w:val="20"/>
        </w:rPr>
        <w:t>During the three months ended September 30, 2025,</w:t>
      </w:r>
      <w:r>
        <w:rPr>
          <w:rFonts w:ascii="Times New Roman" w:hAnsi="Times New Roman"/>
          <w:color w:val="E36C0A"/>
          <w:sz w:val="20"/>
        </w:rPr>
        <w:t xml:space="preserve"> </w:t>
      </w:r>
      <w:r>
        <w:rPr>
          <w:rFonts w:ascii="Times New Roman" w:hAnsi="Times New Roman"/>
          <w:color w:val="000000"/>
          <w:sz w:val="20"/>
        </w:rPr>
        <w:t xml:space="preserve">general and administrative expenses were $17.6 million, down $2.2 million, or 11%, compared to $19.8 million in the same period of 2024. The decrease in general and administrative expenses during the three months ended September 30, 2025 was attributable to lower incentive compensation and employee benefit expenses as compared to the same period in the prior year. The general and administrative expenses for the nine months ended September 30, 2025 was $57.1 million, up $5.0 million, or 10%, compared to $52.1 million in the same period of 2024. The increase in general and administrative expenses during the nine months ended September 30, 2025 was attributable to higher incentive compensation and employee benefit expenses as compared to the same period in the prior year.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Operating income for the third quarter of 2025 was $28.1 million, up $11.4 million from $16.7 million in the same period of the prior year. Operating income for the nine months ended September 30, 2025 was $95.2 million, up $32.4 million from $62.8 million in the same period of the prior year. The increase in operating income for the three and nine months ended September 30, 2025 was a result of higher gross profit in the current year periods when compared to the same periods in the prior year. The increase in operating income during the three months ended September 30, 2025 was also a result of lower general and administrative expenses in the current year period when compared to the same period in the prior year. The increase in operating income during the nine months ended September 30, 2025 was partially offset by a decrease in gains on the sale of assets in the current year period as compared to the prior year period.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the three months ended September 30, 2025, net interest expense was $4.6 million, down $0.3 million from $4.9 million for the same period in the prior year. Net interest expense for the nine months ended September 30, 2025 was $13.2 million, up $0.2 million from $13.0 million in the prior year period. The decrease in net interest expense for the three months ended September 30, 2025 was primarily due to a decrease in borrowings under the ABL Credit Agreement in the current year period. The increase in net interest expense for the nine months ended September 30, 2025 was primarily due to interest on borrowings under the Second Lien Credit Agreement, executed during the second quarter of 2024, partially offset by a decrease in borrowings under the ABL Credit Agreement during the current year period.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Income tax provision for the three months ended September 30, 2025 was $6.1 million compared to $3.2 million for the same period in the prior year. For the nine months ended September 30, 2025, income tax provision was $21.3 million compared to $13.0 million in the prior year period. The effective tax rate for the nine months ended September 30, 2025 was 25.9%, while the effective tax rate for the same period of 2024 was 25.7%. </w:t>
      </w:r>
    </w:p>
    <w:p>
      <w:pPr>
        <w:pStyle w:val="TextBody"/>
        <w:bidi w:val="0"/>
        <w:jc w:val="left"/>
        <w:rPr>
          <w:rFonts w:ascii="Times New Roman" w:hAnsi="Times New Roman"/>
          <w:color w:val="000000"/>
          <w:sz w:val="20"/>
        </w:rPr>
      </w:pPr>
      <w:r>
        <w:rPr>
          <w:rFonts w:ascii="Times New Roman" w:hAnsi="Times New Roman"/>
          <w:color w:val="000000"/>
          <w:sz w:val="20"/>
        </w:rPr>
        <w:t>On July 4, 2025, the OBBBA was signed into law, which, among other things, includes a broad range of tax reform provisions that may affect the Company's financial results. The OBBBA allows an elective deduction for domestic research and development, permanent reinstatement of bonus depreciation on qualified property and modifications to the calculation for excess business interest expense limitation under §163(j) to the current tax estimate, among other provisions. The Company is currently evaluating the impact of these provisions. A quantitative estimate of the specific financial effects cannot be reasonably determined at this time due to the complexity of the changes in the tax reform. The impact of those tax provisions in the OBBBA will depend on our facts in each year and anticipated guidance from the U.S. Department of the Treasury.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Net income for the three months ended September 30, 2025 was $17.7 million, up $8.8 million from $8.9 million in the same period in the prior year. Diluted earnings per share was $0.26 per share for the three months ended September 30, 2025, compared to $0.13 per share for the three months ended September 30, 2024. Net income for the nine months ended September 30, 2025 was $60.8 million, up $23.3 million from $37.5 million in the same period in the prior year. Diluted earnings per share was $0.90 per share for the nine months ended September 30, 2025, compared to $0.55 per share for the nine months ended September 30, 2024. The increase in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income for the three and nine months ended September 30, 2025 was primarily driven by the substantial improvement to operating income in the current year period when compared to the same period in the prior year, partially offset by increases in net interest expense and the income tax provision in the current year period when compared to the same period in the prior year.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Adjusted EBITDA (as defined on page 23) for the three months ended September 30, 2025 was $39.3 million, up $12.3 million, from $27.0 million in the same quarter in the prior year. For the nine months ended September 30, 2025 Adjusted EBITDA was $127.4 million, up $31.7 million, from $95.7 million in the same period in the prior year. The increase in Adjusted EBITDA during the three and nine months ended September 30, 2025 was driven by the increase in gross profit, excluding depreciation partially offset by an increase in general and administrative expense. </w:t>
      </w:r>
    </w:p>
    <w:p>
      <w:pPr>
        <w:pStyle w:val="TextBody"/>
        <w:bidi w:val="0"/>
        <w:spacing w:before="0" w:after="160"/>
        <w:jc w:val="left"/>
        <w:rPr>
          <w:rFonts w:ascii="Times New Roman" w:hAnsi="Times New Roman"/>
          <w:sz w:val="20"/>
        </w:rPr>
      </w:pPr>
      <w:r>
        <w:rPr>
          <w:rFonts w:ascii="Times New Roman" w:hAnsi="Times New Roman"/>
          <w:b/>
          <w:i/>
          <w:color w:val="000000"/>
          <w:sz w:val="20"/>
        </w:rPr>
        <w:t>Bidding activity and backlog</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by type of work, the Company’s backlog as of the dates indicated:</w:t>
      </w:r>
    </w:p>
    <w:tbl>
      <w:tblPr>
        <w:tblW w:w="7172" w:type="dxa"/>
        <w:jc w:val="left"/>
        <w:tblInd w:w="0" w:type="dxa"/>
        <w:tblLayout w:type="fixed"/>
        <w:tblCellMar>
          <w:top w:w="28" w:type="dxa"/>
          <w:left w:w="28" w:type="dxa"/>
          <w:bottom w:w="28" w:type="dxa"/>
          <w:right w:w="28" w:type="dxa"/>
        </w:tblCellMar>
      </w:tblPr>
      <w:tblGrid>
        <w:gridCol w:w="2041"/>
        <w:gridCol w:w="146"/>
        <w:gridCol w:w="146"/>
        <w:gridCol w:w="146"/>
        <w:gridCol w:w="146"/>
        <w:gridCol w:w="146"/>
        <w:gridCol w:w="211"/>
        <w:gridCol w:w="931"/>
        <w:gridCol w:w="146"/>
        <w:gridCol w:w="146"/>
        <w:gridCol w:w="211"/>
        <w:gridCol w:w="931"/>
        <w:gridCol w:w="146"/>
        <w:gridCol w:w="146"/>
        <w:gridCol w:w="211"/>
        <w:gridCol w:w="931"/>
        <w:gridCol w:w="3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Dredging: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934,505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1,194,199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1,213,139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1,258,084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Total backlog does not include $193.5 million of domestic low bids pending formal award and additional phases (“options”) pending on projects currently in dredging backlog at September 30, 2025. The Company expects to perform on its offshore wind contracts using the </w:t>
      </w:r>
      <w:r>
        <w:rPr>
          <w:rFonts w:ascii="Times New Roman" w:hAnsi="Times New Roman"/>
          <w:i/>
          <w:color w:val="000000"/>
          <w:sz w:val="20"/>
        </w:rPr>
        <w:t>Acadia</w:t>
      </w:r>
      <w:r>
        <w:rPr>
          <w:rFonts w:ascii="Times New Roman" w:hAnsi="Times New Roman"/>
          <w:color w:val="000000"/>
          <w:sz w:val="20"/>
        </w:rPr>
        <w:t>, which was launched in July 2025 and is expected to be delivered and operational in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56% of our September 30, 2025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pStyle w:val="TextBody"/>
        <w:bidi w:val="0"/>
        <w:jc w:val="left"/>
        <w:rPr>
          <w:rFonts w:ascii="Times New Roman" w:hAnsi="Times New Roman"/>
          <w:color w:val="000000"/>
          <w:sz w:val="20"/>
        </w:rPr>
      </w:pPr>
      <w:r>
        <w:rPr>
          <w:rFonts w:ascii="Times New Roman" w:hAnsi="Times New Roman"/>
          <w:color w:val="000000"/>
          <w:sz w:val="20"/>
        </w:rPr>
        <w:t>Effective October 1, 2025, the federal government shut down due to a lapse in appropriations, impacting operations across multiple agencies and services nationwide. While shutdowns are rare and typically short lived, the annual federal budget process is typically complicated and prone to stop gap provisions like Continuing Resolutions. As a result, federal agencies like the Corps are accustomed to executing their mission within the confines of these complications.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date, we have seen no interruption to our business during the current government shutdown. Our operations have remained unaffected, and we expect to continue to conduct business as usual, maintaining full project operations. Our commitment to supporting the Corps remains steadfast and all of the Corps’ projects in our backlog are fully funded. Additionally, in 2023, the Disaster Relief Supplemental Appropriations Act included $1.5 billion for the Corps to make necessary repairs to infrastructure impacted by hurricanes and other natural disasters, and to initiate beach renourishment projects that will increase coastal resiliency.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Previously WRDA of 2022 authorized deepening shipping channels in New York and New Jersey to 55 feet and advanced the Coastal Texas Protection and Restoration Program. In addition to the planned New York and New Jersey deepening, additional large-scale projects are expected to commence in the next two to three years in Tampa Bay, New Haven and Baltimore.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domestic dredging bid market for the quarter ended September 30, 2025 was $404.7 million, a $900.4 million decrease compared to the same period in the prior year. The total domestic dredging bid market for the current year period included awards for four coastal protection projects and eight maintenance projects. The Company won 34% of the domestic dredging bids during the third quarter of 2025, which is slightly higher than the Company’s average of 31% for the three-year period ended December 31, 2024. The third quarter domestic dredging bid market total does not include LNG or offshore energy projects. Variability in contract wins from quarter to quarter is not unusual and one quarter’s win rate is generally not indicative of the win rate the Company is likely to achieve for a full year.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contracted dredging backlog was $934.5 million at September 30, 2025 compared to $1.2 billion of dredging backlog at December 31, 2024. Total dredging backlog does not include $193.5 million of domestic low bids pending formal award and options pending on projects currently in dredging backlog at September 30, 2025. At December 31, 2024, the total dredging backlog does not include $282.1 million of domestic low bids pending formal award and options pending on projects in dredging backlog or $12.7 million of options pending award related to offshore energy contracts as of that date. Included in the Company’s backlog at September 30, 2025 are three LNG projects, including the Brownsville Ship Channel project for Next Decade Corporation’s Rio Grande LNG project, which is the largest project undertaken in the Company's history, the Port Arthur LNG Phase 1 project for Marine Dredging and Disposal and the Woodside Louisiana LNG project. Dredging operations are expected to commence on the Woodside Louisiana LNG project in early 2026.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Capital dredging backlog at September 30, 2025 was $654.5 million, a decrease of $145.1 million from December 31, 2024. During the nine months ended September 30, 2025, the Company was awarded a capital project for $144.6 million in Louisiana. During the nine months ended September 30, 2025, the Company continued to earn revenue on deepening projects in Texas and Alabama. These deepenings continue the trend of ensuring all East Coast and Gulf of America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 </w:t>
      </w:r>
    </w:p>
    <w:p>
      <w:pPr>
        <w:pStyle w:val="TextBody"/>
        <w:bidi w:val="0"/>
        <w:spacing w:before="0" w:after="160"/>
        <w:jc w:val="left"/>
        <w:rPr>
          <w:rFonts w:ascii="Times New Roman" w:hAnsi="Times New Roman"/>
          <w:sz w:val="20"/>
        </w:rPr>
      </w:pPr>
      <w:r>
        <w:rPr>
          <w:rFonts w:ascii="Times New Roman" w:hAnsi="Times New Roman"/>
          <w:color w:val="000000"/>
          <w:sz w:val="20"/>
        </w:rPr>
        <w:t>Coastal protection dredging backlog at September 30, 2025</w:t>
      </w:r>
      <w:r>
        <w:rPr>
          <w:rFonts w:ascii="Times New Roman" w:hAnsi="Times New Roman"/>
          <w:color w:val="FF0000"/>
          <w:sz w:val="20"/>
        </w:rPr>
        <w:t xml:space="preserve"> </w:t>
      </w:r>
      <w:r>
        <w:rPr>
          <w:rFonts w:ascii="Times New Roman" w:hAnsi="Times New Roman"/>
          <w:color w:val="000000"/>
          <w:sz w:val="20"/>
        </w:rPr>
        <w:t>was $132.4 million, a decrease of $195.6 million from December 31, 2024. During the nine months ended September 30, 2025, the Company was awarded coastal protection projects for a combined total of $37.0 million in Florida and Delaware. During the nine months ended September 30, 2025, the Company continued to earn revenue on coastal protection projects in New York, New Jersey and Florida, which were in dredging backlog at December 31, 2024.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Maintenance dredging backlog at September 30, 2025 was $147.6 million, an increase of $81.0 million from December 31, 2024. During the nine months ended September 30, 2025, the Company was awarded maintenance projects for a combined total of $161.8 million in Texas, Louisiana, North Carolina and Virginia. During the nine months ended September 30, 2025, the Company continued to earn revenue on projects in South Carolina, Mississippi, Louisiana, Texas and Puerto Rico that were in dredging backlog or classified as low bids pending formal award and options pending at December 31,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Offshore energy backlog at September 30, 2025 was $73.0 million, an increase of $28.0 million from December 31, 2024. During the nine months ended September 30, 2025, the Company was awarded offshore energy projects for $28 million in New York.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net cash provided by operating activities for the nine months ended September 30, 2025 and 2024 was $166.9 million and $83.6 million, respectively. Normal increases or decreases in the level of working capital relative to the level of operational activity impact cash flow from operating activities. The increase in cash provided by operating activities during the nine months ended September 30, 2025, relates primarily to higher current period earnings, an increase in billings in excess of contract revenues and a decrease in contract revenues in excess of billings, partially offset by the decreases in accounts payable and accrued expenses and other changes in working capital compared to the same period in the prior year.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net cash flows used in investing activities for the nine months ended September 30, 2025 and 2024 were $115.2 million and $93.2 million, respectively. Investing activities primarily relate to investments in our new build program, normal course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upgrades and capital maintenance of the Company’s dredging fleet. During the nine months ended September 30, 2025, the Company invested $30.3 million in the </w:t>
      </w:r>
      <w:r>
        <w:rPr>
          <w:rFonts w:ascii="Times New Roman" w:hAnsi="Times New Roman"/>
          <w:i/>
          <w:color w:val="000000"/>
          <w:sz w:val="20"/>
        </w:rPr>
        <w:t xml:space="preserve">Amelia Island, </w:t>
      </w:r>
      <w:r>
        <w:rPr>
          <w:rFonts w:ascii="Times New Roman" w:hAnsi="Times New Roman"/>
          <w:color w:val="000000"/>
          <w:sz w:val="20"/>
        </w:rPr>
        <w:t>which was delivered in the third quarter of 2025</w:t>
      </w:r>
      <w:r>
        <w:rPr>
          <w:rFonts w:ascii="Times New Roman" w:hAnsi="Times New Roman"/>
          <w:i/>
          <w:color w:val="000000"/>
          <w:sz w:val="20"/>
        </w:rPr>
        <w:t xml:space="preserve">, </w:t>
      </w:r>
      <w:r>
        <w:rPr>
          <w:rFonts w:ascii="Times New Roman" w:hAnsi="Times New Roman"/>
          <w:color w:val="000000"/>
          <w:sz w:val="20"/>
        </w:rPr>
        <w:t xml:space="preserve">and $51.2 million in the </w:t>
      </w:r>
      <w:r>
        <w:rPr>
          <w:rFonts w:ascii="Times New Roman" w:hAnsi="Times New Roman"/>
          <w:i/>
          <w:color w:val="000000"/>
          <w:sz w:val="20"/>
        </w:rPr>
        <w:t>Acadia</w:t>
      </w:r>
      <w:r>
        <w:rPr>
          <w:rFonts w:ascii="Times New Roman" w:hAnsi="Times New Roman"/>
          <w:color w:val="000000"/>
          <w:sz w:val="20"/>
        </w:rPr>
        <w:t>, as well as maintenance capital expenditures</w:t>
      </w:r>
      <w:r>
        <w:rPr>
          <w:rFonts w:ascii="Times New Roman" w:hAnsi="Times New Roman"/>
          <w:i/>
          <w:color w:val="000000"/>
          <w:sz w:val="20"/>
        </w:rPr>
        <w:t xml:space="preserve">. </w:t>
      </w:r>
      <w:r>
        <w:rPr>
          <w:rFonts w:ascii="Times New Roman" w:hAnsi="Times New Roman"/>
          <w:color w:val="000000"/>
          <w:sz w:val="20"/>
        </w:rPr>
        <w:t xml:space="preserve">Additionally, we paid $7.8 million during the current year period for previously accrued capital expenditures. These investments were partially offset by the disposition of certain equipment for approximately $2.5 million during the current year. </w:t>
      </w:r>
    </w:p>
    <w:p>
      <w:pPr>
        <w:pStyle w:val="TextBody"/>
        <w:bidi w:val="0"/>
        <w:spacing w:before="0" w:after="160"/>
        <w:jc w:val="left"/>
        <w:rPr>
          <w:rFonts w:ascii="Times New Roman" w:hAnsi="Times New Roman"/>
          <w:sz w:val="20"/>
        </w:rPr>
      </w:pPr>
      <w:r>
        <w:rPr>
          <w:rFonts w:ascii="Times New Roman" w:hAnsi="Times New Roman"/>
          <w:color w:val="000000"/>
          <w:sz w:val="20"/>
        </w:rPr>
        <w:t>The Company’s net cash flows used in financing activities for the nine months ended September 30, 2025 and 2024 totaled $49.3 million and $2.1 million, respectively. The increase in net cash flows used in financing activities is primarily due to the net repayments under the Company’s revolving debt facility during the nine months ended September 30, 2025 of $35.0 million, compared to net repayments of $90.0 million on the Company’s revolving debt facility, largely offset by $88.7 million borrowing from the Company’s Second Lien Credit Agreement during nine months ended September 30, 2024. Additionally, o</w:t>
      </w:r>
      <w:r>
        <w:rPr>
          <w:rFonts w:ascii="Times New Roman" w:hAnsi="Times New Roman"/>
          <w:color w:val="212529"/>
          <w:sz w:val="20"/>
        </w:rPr>
        <w:t xml:space="preserve">n March 14, 2025, the Company announced that its board of directors approved a share repurchase program, authorizing, but not obligating, the repurchase of up to an aggregate amount of $50.0 million of its common stock from time to time through March 14, 2026. </w:t>
      </w:r>
      <w:r>
        <w:rPr>
          <w:rFonts w:ascii="Times New Roman" w:hAnsi="Times New Roman"/>
          <w:color w:val="000000"/>
          <w:sz w:val="20"/>
        </w:rPr>
        <w:t>Of the approved amount under the share repurchase program, the Company repurchased 1,312,493 shares of common stock for approximately $11.6 million in the aggregate during the nine months ended September 30, 2025</w:t>
      </w:r>
      <w:r>
        <w:rPr>
          <w:rFonts w:ascii="Times New Roman" w:hAnsi="Times New Roman"/>
          <w:color w:val="212529"/>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October 24, 2025, the Credit Parties, PNC Bank, National Association, as agent for the lenders, and certain other financial institutions party thereto entered into an amendment to the ABL Credit Agreement (the “ABL Third Amendment”). The ABL Third Amendment, which has a springing maturity, which is the earlier of October 24, 2030 and the date that is ninety-one (91) days prior to the scheduled maturity date of the Company’s 5.25% Senior Notes due 2029, amends and restates the ABL Second Amendment to renew and extend the debt outstanding under the ABL Second Amendment and to (i) increase the aggregate principal amount to $430.0 million, (ii) reduce the Applicable Margins applied to borrowings and (iii) make certain other customary amendments.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the closing of the ABL Third Amendment, the Company utilized borrowings under the ABL Credit Agreement to repay the principal borrowings under the Second Lien Credit Agreement. Based on the repayment terms of the Second Lien Credit Agreement the Company repaid the $100.0 million principal amount, plus a 3%, or $3.0 million, call premium.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expects to spend between approximately $140 million and $150 million, inclusive of capitalized interest, on capital expenditures in 2025 which is comprised of vessels in our new build program and maintenance capital expenditures. The Company anticipates that remaining new build program payments will be made with cash on hand, future cash flows generated from operations, revolver availability and potential new sources of financing.</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Commitments, contingencies and liquidity matters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Refer to Note 5, Long-term debt, in the Notes to Condensed Consolidated Financial Statements for discussion of the Company’s ABL Credit Agreement, Second Lien Credit Agreement and 2029 Notes. Additionally, refer to Note 9, Commitments and contingencies, in the Notes to Condensed Consolidated Financial Statements for discussion of the Company’s surety agreements.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potential share repurchases and dividends, if any, and to comply with all the financial terms and covenants required under the ABL Credit Agreement,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preparing its consolidated financial statements, the Company follows GAAP, which is described in Note 1, Basis of presentation, to the Company’s Consolidated Financial Statements included in the Company’s Annual Report on Form 10-K for the year ended December 31, 2024.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bookmarkStart w:id="12" w:name="quantitative_and_qualitative"/>
      <w:bookmarkEnd w:id="12"/>
      <w:r>
        <w:rPr>
          <w:rFonts w:ascii="Times New Roman" w:hAnsi="Times New Roman"/>
          <w:b/>
          <w:color w:val="000000"/>
          <w:sz w:val="20"/>
        </w:rPr>
        <w:t>Item 3. Quantitative and Qualitative Disclosures about Market Risk.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market risk of the Company’s financial instruments as of September 30, 2025 has not materially changed since December 31, 2024. The market risk profile of the Company on December 31, 2024 is disclosed in Item 7A. “Quantitative and Qualitative Disclosures about Market Risk” of the Company’s Annual Report on Form 10-K for the year ended December 31, 2024.</w:t>
      </w:r>
    </w:p>
    <w:p>
      <w:pPr>
        <w:pStyle w:val="TextBody"/>
        <w:bidi w:val="0"/>
        <w:spacing w:before="80" w:after="160"/>
        <w:jc w:val="left"/>
        <w:rPr>
          <w:rFonts w:ascii="Times New Roman" w:hAnsi="Times New Roman"/>
          <w:sz w:val="20"/>
        </w:rPr>
      </w:pPr>
      <w:bookmarkStart w:id="13" w:name="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a) Evaluation of disclosure controls and procedures.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2025.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Based on that evaluation, our Chief Executive Officer and Chief Financial Officer concluded that our disclosure controls and procedures were effective as of September 30, 2025 in providing such a reasonable assurance.</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b) Changes in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 13a-15(f) under the Exchange Act) during the fiscal quarter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 — Other Information</w:t>
      </w:r>
    </w:p>
    <w:p>
      <w:pPr>
        <w:pStyle w:val="TextBody"/>
        <w:bidi w:val="0"/>
        <w:spacing w:before="0" w:after="160"/>
        <w:jc w:val="left"/>
        <w:rPr>
          <w:rFonts w:ascii="Times New Roman" w:hAnsi="Times New Roman"/>
          <w:sz w:val="20"/>
        </w:rPr>
      </w:pPr>
      <w:bookmarkStart w:id="15" w:name="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See Note 9, Commitments and contingencies, in the Notes to Condensed Consolidated Financial Statements.</w:t>
      </w:r>
    </w:p>
    <w:p>
      <w:pPr>
        <w:pStyle w:val="TextBody"/>
        <w:bidi w:val="0"/>
        <w:spacing w:before="0" w:after="160"/>
        <w:jc w:val="left"/>
        <w:rPr>
          <w:rFonts w:ascii="Times New Roman" w:hAnsi="Times New Roman"/>
          <w:b/>
          <w:color w:val="000000"/>
          <w:sz w:val="20"/>
        </w:rPr>
      </w:pPr>
      <w:bookmarkStart w:id="16" w:name="risk_factors"/>
      <w:bookmarkEnd w:id="16"/>
      <w:r>
        <w:rPr>
          <w:rFonts w:ascii="Times New Roman" w:hAnsi="Times New Roman"/>
          <w:b/>
          <w:color w:val="000000"/>
          <w:sz w:val="20"/>
        </w:rPr>
        <w:t>Item 1A. Risk Factors.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have been no material changes during the nine months ended September 30, 2025 to the risk factors previously disclosed in Item 1A. “Risk Factors” in the Company’s Annual Report on Form 10-K for the year ended December 31, 2024, as supplemented by the risk factor previously disclosed in Item 1A. “Risk Factors” in the Company’s Quarterly Report on Form 10-Q for the quarter ended March 31, 2025.</w:t>
      </w:r>
    </w:p>
    <w:p>
      <w:pPr>
        <w:pStyle w:val="TextBody"/>
        <w:bidi w:val="0"/>
        <w:spacing w:before="0" w:after="160"/>
        <w:jc w:val="left"/>
        <w:rPr>
          <w:rFonts w:ascii="Times New Roman" w:hAnsi="Times New Roman"/>
          <w:b/>
          <w:color w:val="000000"/>
          <w:sz w:val="20"/>
        </w:rPr>
      </w:pPr>
      <w:bookmarkStart w:id="17" w:name="unregistered_sales_of_equity_securities"/>
      <w:bookmarkEnd w:id="17"/>
      <w:r>
        <w:rPr>
          <w:rFonts w:ascii="Times New Roman" w:hAnsi="Times New Roman"/>
          <w:b/>
          <w:color w:val="000000"/>
          <w:sz w:val="20"/>
        </w:rPr>
        <w:t>Item 2. Unregistered Sales of Equity Securities and Use of Proceeds.</w:t>
      </w:r>
    </w:p>
    <w:p>
      <w:pPr>
        <w:pStyle w:val="TextBody"/>
        <w:bidi w:val="0"/>
        <w:jc w:val="left"/>
        <w:rPr>
          <w:rFonts w:ascii="Times New Roman" w:hAnsi="Times New Roman"/>
          <w:sz w:val="20"/>
        </w:rPr>
      </w:pPr>
      <w:r>
        <w:rPr>
          <w:rFonts w:ascii="Times New Roman" w:hAnsi="Times New Roman"/>
          <w:color w:val="212529"/>
          <w:sz w:val="20"/>
        </w:rPr>
        <w:t xml:space="preserve">The following table provides information regarding repurchases of the Company’s common stock by the Company during the three months ended </w:t>
      </w:r>
      <w:r>
        <w:rPr>
          <w:rFonts w:ascii="Times New Roman" w:hAnsi="Times New Roman"/>
          <w:color w:val="000000"/>
          <w:sz w:val="20"/>
        </w:rPr>
        <w:t>September 30, 2025</w:t>
      </w:r>
      <w:r>
        <w:rPr>
          <w:rFonts w:ascii="Times New Roman" w:hAnsi="Times New Roman"/>
          <w:color w:val="212529"/>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4"/>
        <w:gridCol w:w="146"/>
        <w:gridCol w:w="413"/>
        <w:gridCol w:w="980"/>
        <w:gridCol w:w="146"/>
        <w:gridCol w:w="146"/>
        <w:gridCol w:w="444"/>
        <w:gridCol w:w="732"/>
        <w:gridCol w:w="146"/>
        <w:gridCol w:w="146"/>
        <w:gridCol w:w="671"/>
        <w:gridCol w:w="1598"/>
        <w:gridCol w:w="146"/>
        <w:gridCol w:w="146"/>
        <w:gridCol w:w="442"/>
        <w:gridCol w:w="2173"/>
        <w:gridCol w:w="196"/>
      </w:tblGrid>
      <w:tr>
        <w:trPr/>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Aggregate Dollar Value That May Yet Be Purchased Under the Plans or Programs (1)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2025 -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2025 -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2025 -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(1) - On March 14, 2025, the Company announced that its board of directors approved a share repurchase program, authorizing, but not obligating, the repurchase of up to an aggregate amount of $50.0 million of its common stock from time to time through March 14, 2026. </w:t>
      </w:r>
    </w:p>
    <w:p>
      <w:pPr>
        <w:pStyle w:val="TextBody"/>
        <w:bidi w:val="0"/>
        <w:jc w:val="left"/>
        <w:rPr/>
      </w:pPr>
      <w:r>
        <w:rPr/>
        <w:t> </w:t>
      </w:r>
    </w:p>
    <w:p>
      <w:pPr>
        <w:pStyle w:val="TextBody"/>
        <w:bidi w:val="0"/>
        <w:spacing w:before="0" w:after="160"/>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60"/>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60"/>
        <w:jc w:val="left"/>
        <w:rPr>
          <w:rFonts w:ascii="Times New Roman" w:hAnsi="Times New Roman"/>
          <w:b/>
          <w:color w:val="000000"/>
          <w:sz w:val="20"/>
        </w:rPr>
      </w:pPr>
      <w:bookmarkStart w:id="20" w:name="other_information"/>
      <w:bookmarkEnd w:id="20"/>
      <w:r>
        <w:rPr>
          <w:rFonts w:ascii="Times New Roman" w:hAnsi="Times New Roman"/>
          <w:b/>
          <w:color w:val="000000"/>
          <w:sz w:val="20"/>
        </w:rPr>
        <w:t>Item 5. Other Information.</w:t>
      </w:r>
    </w:p>
    <w:p>
      <w:pPr>
        <w:pStyle w:val="TextBody"/>
        <w:bidi w:val="0"/>
        <w:jc w:val="left"/>
        <w:rPr>
          <w:rFonts w:ascii="Times New Roman" w:hAnsi="Times New Roman"/>
          <w:i/>
          <w:color w:val="000000"/>
          <w:sz w:val="20"/>
        </w:rPr>
      </w:pPr>
      <w:r>
        <w:rPr>
          <w:rFonts w:ascii="Times New Roman" w:hAnsi="Times New Roman"/>
          <w:i/>
          <w:color w:val="000000"/>
          <w:sz w:val="20"/>
        </w:rPr>
        <w:t>Securities Trading Plans of Executive Officers and Directors</w:t>
      </w:r>
    </w:p>
    <w:p>
      <w:pPr>
        <w:pStyle w:val="TextBody"/>
        <w:bidi w:val="0"/>
        <w:jc w:val="both"/>
        <w:rPr>
          <w:rFonts w:ascii="Times New Roman" w:hAnsi="Times New Roman"/>
          <w:color w:val="000000"/>
          <w:sz w:val="20"/>
        </w:rPr>
      </w:pPr>
      <w:r>
        <w:rPr>
          <w:rFonts w:ascii="Times New Roman" w:hAnsi="Times New Roman"/>
          <w:color w:val="000000"/>
          <w:sz w:val="20"/>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4, 2025, Lasse Petterson, Director and President and Chief Executive Officer, adopted a Rule 10b5-1 trading arrangement that is intended to satisfy the affirmative defense of Rule 10b5-1 (c) and provides for the sale of up to 592,652 shares of our common stock by May 27, 2026. On October 27, 2025, Mr. Petterson terminated this Rule 10b5-1 trading arrangement with no shares sold under the arrangement. On August 19, 2025, David Johanson, Senior Vice President, Project Acquisition and Operations, adopted a Rule 10b5-1 trading arrangement that is intended to satisfy the affirmative defense of Rule 10b5-1 (c) and provides for the sale of up to 30,000 shares of our common stock by August 31, 2026.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quarterly period ended September 30, 2025, none of our other officers (as defined in Rule 16a-1(f) under the Exchange Act) or directors adopted or terminated a Rule 10b5-1 trading plan or adopted or terminated a non-Rule 10b5-1 trading arrangement (as defined in Item 408(c)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10.1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3 to Second Amended and Restated Revolving Credit and Security Agreement, dated October 24, 2025 (Incorporated by reference to Great Lakes Dredge &amp; Dock Corporation’s Current Report on Form 8-K filed with the Commission on October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31.1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32.1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Interactive Data Files pursuant to Rule 405 of Regulation S-T formatted in Inline Extensible Business Reporting Language ("Inline XBRL")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contained in Exhibit 101)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562" w:type="dxa"/>
        <w:jc w:val="left"/>
        <w:tblInd w:w="0" w:type="dxa"/>
        <w:tblLayout w:type="fixed"/>
        <w:tblCellMar>
          <w:top w:w="28" w:type="dxa"/>
          <w:left w:w="28" w:type="dxa"/>
          <w:bottom w:w="28" w:type="dxa"/>
          <w:right w:w="28" w:type="dxa"/>
        </w:tblCellMar>
      </w:tblPr>
      <w:tblGrid>
        <w:gridCol w:w="161"/>
        <w:gridCol w:w="406"/>
        <w:gridCol w:w="109"/>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S</w:t>
            </w:r>
            <w:r>
              <w:rPr>
                <w:rFonts w:ascii="Times New Roman" w:hAnsi="Times New Roman"/>
                <w:smallCaps/>
                <w:color w:val="000000"/>
                <w:sz w:val="20"/>
              </w:rPr>
              <w:t>cott Kornblau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Scott Kornblau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Senior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Financial Officer and Duly Authorized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ldd-ex31_1.htm"/>
      <w:bookmarkStart w:id="24" w:name="ksgldd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Lasse J. Petterson,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ldd-ex31_2.htm"/>
      <w:bookmarkStart w:id="26" w:name="ksgldd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Kornblau,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ldd-ex32_1.htm"/>
      <w:bookmarkStart w:id="28" w:name="ksgldd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Great Lakes Dredge &amp; Dock Corporation (the “Company”) on Form 10-Q for the period ended September 30, 2025,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w:t>
            </w:r>
          </w:p>
        </w:tc>
      </w:tr>
      <w:tr>
        <w:trPr/>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gldd-ex32_2.htm"/>
      <w:bookmarkStart w:id="30" w:name="ksglddex32_2"/>
      <w:bookmarkEnd w:id="29"/>
      <w:bookmarkEnd w:id="30"/>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Great Lakes Dredge &amp; Dock Corporation (the “Company”) on Form 10-Q for the period ended September 30, 2025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2020/000119312525251593/0001193125-25-251593-index.htm" TargetMode="External"/><Relationship Id="rId4" Type="http://schemas.openxmlformats.org/officeDocument/2006/relationships/hyperlink" Target="https://www.sec.gov/Archives/edgar/data/1372020/000119312525251593/0001193125-25-251593-index.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19826</Words>
  <Characters>107314</Characters>
  <CharactersWithSpaces>128637</CharactersWithSpaces>
  <Paragraphs>5500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