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5"/>
          <w:szCs w:val="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F</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jc w:val="center"/>
        <w:spacing w:after="0" w:line="238"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p>
      <w:pPr>
        <w:ind w:left="480" w:right="260" w:hanging="459"/>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480" w:right="260" w:hanging="459"/>
        <w:spacing w:after="0" w:line="256"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3168015</wp:posOffset>
            </wp:positionH>
            <wp:positionV relativeFrom="paragraph">
              <wp:posOffset>85725</wp:posOffset>
            </wp:positionV>
            <wp:extent cx="779780" cy="780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9780" cy="780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5"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6760" w:type="dxa"/>
            <w:vAlign w:val="bottom"/>
          </w:tcPr>
          <w:p>
            <w:pPr>
              <w:jc w:val="center"/>
              <w:ind w:right="3238"/>
              <w:spacing w:after="0"/>
              <w:rPr>
                <w:sz w:val="20"/>
                <w:szCs w:val="20"/>
                <w:color w:val="auto"/>
              </w:rPr>
            </w:pPr>
            <w:r>
              <w:rPr>
                <w:rFonts w:ascii="Arial" w:cs="Arial" w:eastAsia="Arial" w:hAnsi="Arial"/>
                <w:sz w:val="18"/>
                <w:szCs w:val="18"/>
                <w:b w:val="1"/>
                <w:bCs w:val="1"/>
                <w:color w:val="auto"/>
                <w:w w:val="91"/>
              </w:rPr>
              <w:t>Delaware</w:t>
            </w:r>
          </w:p>
        </w:tc>
        <w:tc>
          <w:tcPr>
            <w:tcW w:w="1260" w:type="dxa"/>
            <w:vAlign w:val="bottom"/>
          </w:tcPr>
          <w:p>
            <w:pPr>
              <w:jc w:val="right"/>
              <w:ind w:right="61"/>
              <w:spacing w:after="0"/>
              <w:rPr>
                <w:sz w:val="20"/>
                <w:szCs w:val="20"/>
                <w:color w:val="auto"/>
              </w:rPr>
            </w:pPr>
            <w:r>
              <w:rPr>
                <w:rFonts w:ascii="Arial" w:cs="Arial" w:eastAsia="Arial" w:hAnsi="Arial"/>
                <w:sz w:val="18"/>
                <w:szCs w:val="18"/>
                <w:b w:val="1"/>
                <w:bCs w:val="1"/>
                <w:color w:val="auto"/>
              </w:rPr>
              <w:t>20-5336063</w:t>
            </w:r>
          </w:p>
        </w:tc>
      </w:tr>
      <w:tr>
        <w:trPr>
          <w:trHeight w:val="153"/>
        </w:trPr>
        <w:tc>
          <w:tcPr>
            <w:tcW w:w="6760" w:type="dxa"/>
            <w:vAlign w:val="bottom"/>
          </w:tcPr>
          <w:p>
            <w:pPr>
              <w:jc w:val="center"/>
              <w:ind w:right="3238"/>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1260" w:type="dxa"/>
            <w:vAlign w:val="bottom"/>
          </w:tcPr>
          <w:p>
            <w:pPr>
              <w:jc w:val="center"/>
              <w:ind w:left="61"/>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760" w:type="dxa"/>
            <w:vAlign w:val="bottom"/>
          </w:tcPr>
          <w:p>
            <w:pPr>
              <w:jc w:val="center"/>
              <w:ind w:right="3238"/>
              <w:spacing w:after="0"/>
              <w:rPr>
                <w:sz w:val="20"/>
                <w:szCs w:val="20"/>
                <w:color w:val="auto"/>
              </w:rPr>
            </w:pPr>
            <w:r>
              <w:rPr>
                <w:rFonts w:ascii="Arial" w:cs="Arial" w:eastAsia="Arial" w:hAnsi="Arial"/>
                <w:sz w:val="14"/>
                <w:szCs w:val="14"/>
                <w:b w:val="1"/>
                <w:bCs w:val="1"/>
                <w:color w:val="auto"/>
                <w:w w:val="94"/>
              </w:rPr>
              <w:t>incorporation or organization)</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6"/>
              </w:rPr>
              <w:t>Identification No.)</w:t>
            </w:r>
          </w:p>
        </w:tc>
      </w:tr>
      <w:tr>
        <w:trPr>
          <w:trHeight w:val="377"/>
        </w:trPr>
        <w:tc>
          <w:tcPr>
            <w:tcW w:w="6760" w:type="dxa"/>
            <w:vAlign w:val="bottom"/>
          </w:tcPr>
          <w:p>
            <w:pPr>
              <w:jc w:val="center"/>
              <w:ind w:right="3238"/>
              <w:spacing w:after="0"/>
              <w:rPr>
                <w:sz w:val="20"/>
                <w:szCs w:val="20"/>
                <w:color w:val="auto"/>
              </w:rPr>
            </w:pPr>
            <w:r>
              <w:rPr>
                <w:rFonts w:ascii="Arial" w:cs="Arial" w:eastAsia="Arial" w:hAnsi="Arial"/>
                <w:sz w:val="18"/>
                <w:szCs w:val="18"/>
                <w:b w:val="1"/>
                <w:bCs w:val="1"/>
                <w:color w:val="auto"/>
                <w:w w:val="91"/>
              </w:rPr>
              <w:t>9811 Katy Freeway, Suite 1200, Houston, TX</w:t>
            </w:r>
          </w:p>
        </w:tc>
        <w:tc>
          <w:tcPr>
            <w:tcW w:w="1260" w:type="dxa"/>
            <w:vAlign w:val="bottom"/>
          </w:tcPr>
          <w:p>
            <w:pPr>
              <w:jc w:val="right"/>
              <w:ind w:right="261"/>
              <w:spacing w:after="0"/>
              <w:rPr>
                <w:sz w:val="20"/>
                <w:szCs w:val="20"/>
                <w:color w:val="auto"/>
              </w:rPr>
            </w:pPr>
            <w:r>
              <w:rPr>
                <w:rFonts w:ascii="Arial" w:cs="Arial" w:eastAsia="Arial" w:hAnsi="Arial"/>
                <w:sz w:val="18"/>
                <w:szCs w:val="18"/>
                <w:b w:val="1"/>
                <w:bCs w:val="1"/>
                <w:color w:val="auto"/>
              </w:rPr>
              <w:t>77024</w:t>
            </w:r>
          </w:p>
        </w:tc>
      </w:tr>
      <w:tr>
        <w:trPr>
          <w:trHeight w:val="190"/>
        </w:trPr>
        <w:tc>
          <w:tcPr>
            <w:tcW w:w="6760" w:type="dxa"/>
            <w:vAlign w:val="bottom"/>
          </w:tcPr>
          <w:p>
            <w:pPr>
              <w:jc w:val="center"/>
              <w:ind w:right="32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5"/>
              </w:rPr>
              <w:t>(Zip Code)</w:t>
            </w:r>
          </w:p>
        </w:tc>
      </w:tr>
      <w:tr>
        <w:trPr>
          <w:trHeight w:val="250"/>
        </w:trPr>
        <w:tc>
          <w:tcPr>
            <w:tcW w:w="6760" w:type="dxa"/>
            <w:vAlign w:val="bottom"/>
          </w:tcPr>
          <w:p>
            <w:pPr>
              <w:jc w:val="right"/>
              <w:ind w:right="1538"/>
              <w:spacing w:after="0"/>
              <w:rPr>
                <w:sz w:val="20"/>
                <w:szCs w:val="20"/>
                <w:color w:val="auto"/>
              </w:rPr>
            </w:pPr>
            <w:r>
              <w:rPr>
                <w:rFonts w:ascii="Arial" w:cs="Arial" w:eastAsia="Arial" w:hAnsi="Arial"/>
                <w:sz w:val="18"/>
                <w:szCs w:val="18"/>
                <w:b w:val="1"/>
                <w:bCs w:val="1"/>
                <w:color w:val="auto"/>
              </w:rPr>
              <w:t>(346) 359-1010</w:t>
            </w:r>
          </w:p>
        </w:tc>
        <w:tc>
          <w:tcPr>
            <w:tcW w:w="1260" w:type="dxa"/>
            <w:vAlign w:val="bottom"/>
          </w:tcPr>
          <w:p>
            <w:pPr>
              <w:spacing w:after="0"/>
              <w:rPr>
                <w:sz w:val="21"/>
                <w:szCs w:val="21"/>
                <w:color w:val="auto"/>
              </w:rPr>
            </w:pPr>
          </w:p>
        </w:tc>
      </w:tr>
      <w:tr>
        <w:trPr>
          <w:trHeight w:val="234"/>
        </w:trPr>
        <w:tc>
          <w:tcPr>
            <w:tcW w:w="6760" w:type="dxa"/>
            <w:vAlign w:val="bottom"/>
          </w:tcPr>
          <w:p>
            <w:pPr>
              <w:jc w:val="center"/>
              <w:ind w:left="2338"/>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2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7" w:lineRule="exact"/>
        <w:rPr>
          <w:sz w:val="24"/>
          <w:szCs w:val="24"/>
          <w:color w:val="auto"/>
        </w:rPr>
      </w:pPr>
    </w:p>
    <w:p>
      <w:pPr>
        <w:ind w:left="5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54"/>
        </w:trPr>
        <w:tc>
          <w:tcPr>
            <w:tcW w:w="4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GLDD</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Nasdaq Stock Market, LLC</w:t>
            </w:r>
          </w:p>
        </w:tc>
      </w:tr>
    </w:tbl>
    <w:p>
      <w:pPr>
        <w:spacing w:after="0" w:line="106" w:lineRule="exact"/>
        <w:rPr>
          <w:sz w:val="24"/>
          <w:szCs w:val="24"/>
          <w:color w:val="auto"/>
        </w:rPr>
      </w:pPr>
    </w:p>
    <w:p>
      <w:pPr>
        <w:ind w:right="60" w:firstLine="50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0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40" w:firstLine="50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33" w:lineRule="exact"/>
        <w:rPr>
          <w:sz w:val="24"/>
          <w:szCs w:val="24"/>
          <w:color w:val="auto"/>
        </w:rPr>
      </w:pPr>
    </w:p>
    <w:p>
      <w:pPr>
        <w:ind w:firstLine="50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0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28, 2023, 66,416,399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331"/>
        </w:trPr>
        <w:tc>
          <w:tcPr>
            <w:tcW w:w="1120" w:type="dxa"/>
            <w:vAlign w:val="bottom"/>
          </w:tcPr>
          <w:p>
            <w:pPr>
              <w:spacing w:after="0"/>
              <w:rPr>
                <w:sz w:val="24"/>
                <w:szCs w:val="24"/>
                <w:color w:val="auto"/>
              </w:rPr>
            </w:pPr>
          </w:p>
        </w:tc>
        <w:tc>
          <w:tcPr>
            <w:tcW w:w="9220" w:type="dxa"/>
            <w:vAlign w:val="bottom"/>
            <w:gridSpan w:val="22"/>
          </w:tcPr>
          <w:p>
            <w:pPr>
              <w:spacing w:after="0"/>
              <w:rPr>
                <w:sz w:val="20"/>
                <w:szCs w:val="20"/>
                <w:color w:val="auto"/>
              </w:rPr>
            </w:pPr>
            <w:r>
              <w:rPr>
                <w:rFonts w:ascii="Arial" w:cs="Arial" w:eastAsia="Arial" w:hAnsi="Arial"/>
                <w:sz w:val="18"/>
                <w:szCs w:val="18"/>
                <w:b w:val="1"/>
                <w:bCs w:val="1"/>
                <w:color w:val="0000FF"/>
              </w:rPr>
              <w:t>Part I Financial Information (Unaudited)</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71"/>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318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Financial Statements</w:t>
            </w:r>
          </w:p>
        </w:tc>
        <w:tc>
          <w:tcPr>
            <w:tcW w:w="6040" w:type="dxa"/>
            <w:vAlign w:val="bottom"/>
            <w:gridSpan w:val="10"/>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2"/>
        </w:trPr>
        <w:tc>
          <w:tcPr>
            <w:tcW w:w="1120" w:type="dxa"/>
            <w:vAlign w:val="bottom"/>
          </w:tcPr>
          <w:p>
            <w:pPr>
              <w:spacing w:after="0"/>
              <w:rPr>
                <w:sz w:val="24"/>
                <w:szCs w:val="24"/>
                <w:color w:val="auto"/>
              </w:rPr>
            </w:pPr>
          </w:p>
        </w:tc>
        <w:tc>
          <w:tcPr>
            <w:tcW w:w="9220" w:type="dxa"/>
            <w:vAlign w:val="bottom"/>
            <w:gridSpan w:val="22"/>
          </w:tcPr>
          <w:p>
            <w:pPr>
              <w:spacing w:after="0"/>
              <w:rPr>
                <w:sz w:val="20"/>
                <w:szCs w:val="20"/>
                <w:color w:val="auto"/>
              </w:rPr>
            </w:pPr>
            <w:r>
              <w:rPr>
                <w:rFonts w:ascii="Arial" w:cs="Arial" w:eastAsia="Arial" w:hAnsi="Arial"/>
                <w:sz w:val="18"/>
                <w:szCs w:val="18"/>
                <w:color w:val="0000FF"/>
              </w:rPr>
              <w:t>Condensed Consolidated Balance Sheets at March 31, 2023 and December 31, 2022</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2"/>
        </w:trPr>
        <w:tc>
          <w:tcPr>
            <w:tcW w:w="1120" w:type="dxa"/>
            <w:vAlign w:val="bottom"/>
          </w:tcPr>
          <w:p>
            <w:pPr>
              <w:spacing w:after="0"/>
              <w:rPr>
                <w:sz w:val="24"/>
                <w:szCs w:val="24"/>
                <w:color w:val="auto"/>
              </w:rPr>
            </w:pPr>
          </w:p>
        </w:tc>
        <w:tc>
          <w:tcPr>
            <w:tcW w:w="922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Operations for the Three Months Ended March 31, 2023 and 2022</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2"/>
        </w:trPr>
        <w:tc>
          <w:tcPr>
            <w:tcW w:w="1120" w:type="dxa"/>
            <w:vAlign w:val="bottom"/>
          </w:tcPr>
          <w:p>
            <w:pPr>
              <w:spacing w:after="0"/>
              <w:rPr>
                <w:sz w:val="24"/>
                <w:szCs w:val="24"/>
                <w:color w:val="auto"/>
              </w:rPr>
            </w:pPr>
          </w:p>
        </w:tc>
        <w:tc>
          <w:tcPr>
            <w:tcW w:w="9220" w:type="dxa"/>
            <w:vAlign w:val="bottom"/>
            <w:gridSpan w:val="22"/>
          </w:tcPr>
          <w:p>
            <w:pPr>
              <w:spacing w:after="0"/>
              <w:rPr>
                <w:sz w:val="20"/>
                <w:szCs w:val="20"/>
                <w:color w:val="auto"/>
              </w:rPr>
            </w:pPr>
            <w:r>
              <w:rPr>
                <w:rFonts w:ascii="Arial" w:cs="Arial" w:eastAsia="Arial" w:hAnsi="Arial"/>
                <w:sz w:val="18"/>
                <w:szCs w:val="18"/>
                <w:color w:val="0000FF"/>
                <w:w w:val="95"/>
              </w:rPr>
              <w:t>Condensed Consolidated Statements of Comprehensive Income (Loss) for the Three Months Ended March 31, 2023 and</w:t>
            </w:r>
          </w:p>
        </w:tc>
        <w:tc>
          <w:tcPr>
            <w:tcW w:w="88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4"/>
              </w:rPr>
              <w:t>2022</w:t>
            </w: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372"/>
        </w:trPr>
        <w:tc>
          <w:tcPr>
            <w:tcW w:w="1120" w:type="dxa"/>
            <w:vAlign w:val="bottom"/>
          </w:tcPr>
          <w:p>
            <w:pPr>
              <w:spacing w:after="0"/>
              <w:rPr>
                <w:sz w:val="24"/>
                <w:szCs w:val="24"/>
                <w:color w:val="auto"/>
              </w:rPr>
            </w:pPr>
          </w:p>
        </w:tc>
        <w:tc>
          <w:tcPr>
            <w:tcW w:w="73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0"/>
              </w:rPr>
              <w:t>Condensed Consolidated Statements of Equity for the Three Months Ended March 31, 2023 and 2022</w:t>
            </w:r>
          </w:p>
        </w:tc>
        <w:tc>
          <w:tcPr>
            <w:tcW w:w="1880" w:type="dxa"/>
            <w:vAlign w:val="bottom"/>
            <w:gridSpan w:val="4"/>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71"/>
        </w:trPr>
        <w:tc>
          <w:tcPr>
            <w:tcW w:w="1120" w:type="dxa"/>
            <w:vAlign w:val="bottom"/>
          </w:tcPr>
          <w:p>
            <w:pPr>
              <w:spacing w:after="0"/>
              <w:rPr>
                <w:sz w:val="24"/>
                <w:szCs w:val="24"/>
                <w:color w:val="auto"/>
              </w:rPr>
            </w:pPr>
          </w:p>
        </w:tc>
        <w:tc>
          <w:tcPr>
            <w:tcW w:w="770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89"/>
              </w:rPr>
              <w:t>Condensed Consolidated Statements of Cash Flows for the Three Months Ended March 31, 2023 and 2022</w:t>
            </w:r>
          </w:p>
        </w:tc>
        <w:tc>
          <w:tcPr>
            <w:tcW w:w="1520" w:type="dxa"/>
            <w:vAlign w:val="bottom"/>
            <w:gridSpan w:val="2"/>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72"/>
        </w:trPr>
        <w:tc>
          <w:tcPr>
            <w:tcW w:w="1120" w:type="dxa"/>
            <w:vAlign w:val="bottom"/>
          </w:tcPr>
          <w:p>
            <w:pPr>
              <w:spacing w:after="0"/>
              <w:rPr>
                <w:sz w:val="24"/>
                <w:szCs w:val="24"/>
                <w:color w:val="auto"/>
              </w:rPr>
            </w:pPr>
          </w:p>
        </w:tc>
        <w:tc>
          <w:tcPr>
            <w:tcW w:w="40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5220" w:type="dxa"/>
            <w:vAlign w:val="bottom"/>
            <w:gridSpan w:val="9"/>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72"/>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760" w:type="dxa"/>
            <w:vAlign w:val="bottom"/>
            <w:gridSpan w:val="5"/>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72"/>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860" w:type="dxa"/>
            <w:vAlign w:val="bottom"/>
            <w:gridSpan w:val="7"/>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71"/>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Controls and Procedures</w:t>
            </w:r>
          </w:p>
        </w:tc>
        <w:tc>
          <w:tcPr>
            <w:tcW w:w="20" w:type="dxa"/>
            <w:vAlign w:val="bottom"/>
            <w:tcBorders>
              <w:bottom w:val="single" w:sz="8" w:color="0000EE"/>
            </w:tcBorders>
          </w:tcPr>
          <w:p>
            <w:pPr>
              <w:spacing w:after="0"/>
              <w:rPr>
                <w:sz w:val="24"/>
                <w:szCs w:val="24"/>
                <w:color w:val="auto"/>
              </w:rPr>
            </w:pPr>
          </w:p>
        </w:tc>
        <w:tc>
          <w:tcPr>
            <w:tcW w:w="7420" w:type="dxa"/>
            <w:vAlign w:val="bottom"/>
            <w:gridSpan w:val="13"/>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71"/>
        </w:trPr>
        <w:tc>
          <w:tcPr>
            <w:tcW w:w="1120" w:type="dxa"/>
            <w:vAlign w:val="bottom"/>
          </w:tcPr>
          <w:p>
            <w:pPr>
              <w:spacing w:after="0"/>
              <w:rPr>
                <w:sz w:val="24"/>
                <w:szCs w:val="24"/>
                <w:color w:val="auto"/>
              </w:rPr>
            </w:pPr>
          </w:p>
        </w:tc>
        <w:tc>
          <w:tcPr>
            <w:tcW w:w="20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b w:val="1"/>
                <w:bCs w:val="1"/>
                <w:color w:val="0000FF"/>
                <w:w w:val="96"/>
              </w:rPr>
              <w:t>Part II Other Information</w:t>
            </w:r>
          </w:p>
        </w:tc>
        <w:tc>
          <w:tcPr>
            <w:tcW w:w="720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72"/>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Legal Proceedings</w:t>
            </w:r>
          </w:p>
        </w:tc>
        <w:tc>
          <w:tcPr>
            <w:tcW w:w="7880" w:type="dxa"/>
            <w:vAlign w:val="bottom"/>
            <w:gridSpan w:val="16"/>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71"/>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922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120" w:type="dxa"/>
            <w:vAlign w:val="bottom"/>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2"/>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22"/>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71"/>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Defaults Upon Senior Securities</w:t>
            </w:r>
          </w:p>
        </w:tc>
        <w:tc>
          <w:tcPr>
            <w:tcW w:w="4880" w:type="dxa"/>
            <w:vAlign w:val="bottom"/>
            <w:gridSpan w:val="8"/>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72"/>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gridSpan w:val="3"/>
          </w:tcPr>
          <w:p>
            <w:pPr>
              <w:spacing w:after="0"/>
              <w:rPr>
                <w:sz w:val="24"/>
                <w:szCs w:val="24"/>
                <w:color w:val="auto"/>
              </w:rPr>
            </w:pPr>
          </w:p>
        </w:tc>
        <w:tc>
          <w:tcPr>
            <w:tcW w:w="6900" w:type="dxa"/>
            <w:vAlign w:val="bottom"/>
            <w:gridSpan w:val="11"/>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71"/>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Other Information</w:t>
            </w:r>
          </w:p>
        </w:tc>
        <w:tc>
          <w:tcPr>
            <w:tcW w:w="7900" w:type="dxa"/>
            <w:vAlign w:val="bottom"/>
            <w:gridSpan w:val="17"/>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72"/>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9220" w:type="dxa"/>
            <w:vAlign w:val="bottom"/>
            <w:gridSpan w:val="22"/>
          </w:tcPr>
          <w:p>
            <w:pPr>
              <w:spacing w:after="0"/>
              <w:rPr>
                <w:sz w:val="20"/>
                <w:szCs w:val="20"/>
                <w:color w:val="auto"/>
              </w:rPr>
            </w:pPr>
            <w:r>
              <w:rPr>
                <w:rFonts w:ascii="Arial" w:cs="Arial" w:eastAsia="Arial" w:hAnsi="Arial"/>
                <w:sz w:val="18"/>
                <w:szCs w:val="18"/>
                <w:color w:val="0000FF"/>
              </w:rPr>
              <w:t>Exhibits</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1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60" w:type="dxa"/>
            <w:vAlign w:val="bottom"/>
            <w:gridSpan w:val="1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1"/>
        </w:trPr>
        <w:tc>
          <w:tcPr>
            <w:tcW w:w="1120" w:type="dxa"/>
            <w:vAlign w:val="bottom"/>
          </w:tcPr>
          <w:p>
            <w:pPr>
              <w:spacing w:after="0"/>
              <w:rPr>
                <w:sz w:val="24"/>
                <w:szCs w:val="24"/>
                <w:color w:val="auto"/>
              </w:rPr>
            </w:pPr>
          </w:p>
        </w:tc>
        <w:tc>
          <w:tcPr>
            <w:tcW w:w="9220" w:type="dxa"/>
            <w:vAlign w:val="bottom"/>
            <w:gridSpan w:val="22"/>
          </w:tcPr>
          <w:p>
            <w:pPr>
              <w:spacing w:after="0"/>
              <w:rPr>
                <w:sz w:val="20"/>
                <w:szCs w:val="20"/>
                <w:color w:val="auto"/>
              </w:rPr>
            </w:pPr>
            <w:r>
              <w:rPr>
                <w:rFonts w:ascii="Arial" w:cs="Arial" w:eastAsia="Arial" w:hAnsi="Arial"/>
                <w:sz w:val="18"/>
                <w:szCs w:val="18"/>
                <w:b w:val="1"/>
                <w:bCs w:val="1"/>
                <w:color w:val="0000FF"/>
              </w:rPr>
              <w:t>Signature</w:t>
            </w: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5"/>
                <w:szCs w:val="15"/>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32,519</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6,546</w:t>
            </w:r>
          </w:p>
        </w:tc>
        <w:tc>
          <w:tcPr>
            <w:tcW w:w="100" w:type="dxa"/>
            <w:vAlign w:val="bottom"/>
            <w:shd w:val="clear" w:color="auto" w:fill="CFF0FC"/>
          </w:tcPr>
          <w:p>
            <w:pPr>
              <w:spacing w:after="0"/>
              <w:rPr>
                <w:sz w:val="21"/>
                <w:szCs w:val="21"/>
                <w:color w:val="auto"/>
              </w:rPr>
            </w:pPr>
          </w:p>
        </w:tc>
      </w:tr>
      <w:tr>
        <w:trPr>
          <w:trHeight w:val="237"/>
        </w:trPr>
        <w:tc>
          <w:tcPr>
            <w:tcW w:w="7580" w:type="dxa"/>
            <w:vAlign w:val="bottom"/>
          </w:tcPr>
          <w:p>
            <w:pPr>
              <w:ind w:left="200"/>
              <w:spacing w:after="0"/>
              <w:rPr>
                <w:sz w:val="20"/>
                <w:szCs w:val="20"/>
                <w:color w:val="auto"/>
              </w:rPr>
            </w:pPr>
            <w:r>
              <w:rPr>
                <w:rFonts w:ascii="Arial" w:cs="Arial" w:eastAsia="Arial" w:hAnsi="Arial"/>
                <w:sz w:val="18"/>
                <w:szCs w:val="18"/>
                <w:color w:val="auto"/>
              </w:rPr>
              <w:t>Accounts receivable—net</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32,652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44,890</w:t>
            </w:r>
          </w:p>
        </w:tc>
        <w:tc>
          <w:tcPr>
            <w:tcW w:w="100" w:type="dxa"/>
            <w:vAlign w:val="bottom"/>
          </w:tcPr>
          <w:p>
            <w:pPr>
              <w:spacing w:after="0"/>
              <w:rPr>
                <w:sz w:val="20"/>
                <w:szCs w:val="20"/>
                <w:color w:val="auto"/>
              </w:rPr>
            </w:pPr>
          </w:p>
        </w:tc>
      </w:tr>
      <w:tr>
        <w:trPr>
          <w:trHeight w:val="249"/>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Contract revenues in excess of billings</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81,302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65,922</w:t>
            </w:r>
          </w:p>
        </w:tc>
        <w:tc>
          <w:tcPr>
            <w:tcW w:w="100" w:type="dxa"/>
            <w:vAlign w:val="bottom"/>
            <w:shd w:val="clear" w:color="auto" w:fill="CFF0FC"/>
          </w:tcPr>
          <w:p>
            <w:pPr>
              <w:spacing w:after="0"/>
              <w:rPr>
                <w:sz w:val="21"/>
                <w:szCs w:val="21"/>
                <w:color w:val="auto"/>
              </w:rPr>
            </w:pPr>
          </w:p>
        </w:tc>
      </w:tr>
      <w:tr>
        <w:trPr>
          <w:trHeight w:val="237"/>
        </w:trPr>
        <w:tc>
          <w:tcPr>
            <w:tcW w:w="75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28,682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29,229</w:t>
            </w:r>
          </w:p>
        </w:tc>
        <w:tc>
          <w:tcPr>
            <w:tcW w:w="100" w:type="dxa"/>
            <w:vAlign w:val="bottom"/>
          </w:tcPr>
          <w:p>
            <w:pPr>
              <w:spacing w:after="0"/>
              <w:rPr>
                <w:sz w:val="20"/>
                <w:szCs w:val="20"/>
                <w:color w:val="auto"/>
              </w:rPr>
            </w:pPr>
          </w:p>
        </w:tc>
      </w:tr>
      <w:tr>
        <w:trPr>
          <w:trHeight w:val="269"/>
        </w:trPr>
        <w:tc>
          <w:tcPr>
            <w:tcW w:w="7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23"/>
                <w:szCs w:val="2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33,435</w:t>
            </w:r>
          </w:p>
        </w:tc>
        <w:tc>
          <w:tcPr>
            <w:tcW w:w="3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36,254</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4"/>
        </w:trPr>
        <w:tc>
          <w:tcPr>
            <w:tcW w:w="7580" w:type="dxa"/>
            <w:vAlign w:val="bottom"/>
          </w:tcPr>
          <w:p>
            <w:pPr>
              <w:ind w:left="56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208,590</w:t>
            </w: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182,841</w:t>
            </w:r>
          </w:p>
        </w:tc>
        <w:tc>
          <w:tcPr>
            <w:tcW w:w="100" w:type="dxa"/>
            <w:vAlign w:val="bottom"/>
          </w:tcPr>
          <w:p>
            <w:pPr>
              <w:spacing w:after="0"/>
              <w:rPr>
                <w:sz w:val="19"/>
                <w:szCs w:val="19"/>
                <w:color w:val="auto"/>
              </w:rPr>
            </w:pPr>
          </w:p>
        </w:tc>
      </w:tr>
      <w:tr>
        <w:trPr>
          <w:trHeight w:val="249"/>
        </w:trPr>
        <w:tc>
          <w:tcPr>
            <w:tcW w:w="7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PROPERTY AND EQUIPMENT—Net</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561,757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543,910</w:t>
            </w:r>
          </w:p>
        </w:tc>
        <w:tc>
          <w:tcPr>
            <w:tcW w:w="100" w:type="dxa"/>
            <w:vAlign w:val="bottom"/>
          </w:tcPr>
          <w:p>
            <w:pPr>
              <w:spacing w:after="0"/>
              <w:rPr>
                <w:sz w:val="20"/>
                <w:szCs w:val="20"/>
                <w:color w:val="auto"/>
              </w:rPr>
            </w:pPr>
          </w:p>
        </w:tc>
      </w:tr>
      <w:tr>
        <w:trPr>
          <w:trHeight w:val="24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ASSETS</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85,527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89,733</w:t>
            </w:r>
          </w:p>
        </w:tc>
        <w:tc>
          <w:tcPr>
            <w:tcW w:w="100" w:type="dxa"/>
            <w:vAlign w:val="bottom"/>
            <w:shd w:val="clear" w:color="auto" w:fill="CFF0FC"/>
          </w:tcPr>
          <w:p>
            <w:pPr>
              <w:spacing w:after="0"/>
              <w:rPr>
                <w:sz w:val="21"/>
                <w:szCs w:val="21"/>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76,576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76,576</w:t>
            </w:r>
          </w:p>
        </w:tc>
        <w:tc>
          <w:tcPr>
            <w:tcW w:w="100" w:type="dxa"/>
            <w:vAlign w:val="bottom"/>
          </w:tcPr>
          <w:p>
            <w:pPr>
              <w:spacing w:after="0"/>
              <w:rPr>
                <w:sz w:val="20"/>
                <w:szCs w:val="20"/>
                <w:color w:val="auto"/>
              </w:rPr>
            </w:pPr>
          </w:p>
        </w:tc>
      </w:tr>
      <w:tr>
        <w:trPr>
          <w:trHeight w:val="24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INVENTORIES—Noncurrent</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84,321</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80,044</w:t>
            </w:r>
          </w:p>
        </w:tc>
        <w:tc>
          <w:tcPr>
            <w:tcW w:w="100" w:type="dxa"/>
            <w:vAlign w:val="bottom"/>
            <w:shd w:val="clear" w:color="auto" w:fill="CFF0FC"/>
          </w:tcPr>
          <w:p>
            <w:pPr>
              <w:spacing w:after="0"/>
              <w:rPr>
                <w:sz w:val="21"/>
                <w:szCs w:val="21"/>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8,224</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8,676</w:t>
            </w:r>
          </w:p>
        </w:tc>
        <w:tc>
          <w:tcPr>
            <w:tcW w:w="100" w:type="dxa"/>
            <w:vAlign w:val="bottom"/>
          </w:tcPr>
          <w:p>
            <w:pPr>
              <w:spacing w:after="0"/>
              <w:rPr>
                <w:sz w:val="20"/>
                <w:szCs w:val="20"/>
                <w:color w:val="auto"/>
              </w:rPr>
            </w:pPr>
          </w:p>
        </w:tc>
      </w:tr>
      <w:tr>
        <w:trPr>
          <w:trHeight w:val="276"/>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1,024,995</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981,780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0"/>
        </w:trPr>
        <w:tc>
          <w:tcPr>
            <w:tcW w:w="7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88,115</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94,077</w:t>
            </w:r>
          </w:p>
        </w:tc>
        <w:tc>
          <w:tcPr>
            <w:tcW w:w="100" w:type="dxa"/>
            <w:vAlign w:val="bottom"/>
            <w:shd w:val="clear" w:color="auto" w:fill="CFF0FC"/>
          </w:tcPr>
          <w:p>
            <w:pPr>
              <w:spacing w:after="0"/>
              <w:rPr>
                <w:sz w:val="21"/>
                <w:szCs w:val="21"/>
                <w:color w:val="auto"/>
              </w:rPr>
            </w:pPr>
          </w:p>
        </w:tc>
      </w:tr>
      <w:tr>
        <w:trPr>
          <w:trHeight w:val="237"/>
        </w:trPr>
        <w:tc>
          <w:tcPr>
            <w:tcW w:w="758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36,548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29,469</w:t>
            </w:r>
          </w:p>
        </w:tc>
        <w:tc>
          <w:tcPr>
            <w:tcW w:w="100" w:type="dxa"/>
            <w:vAlign w:val="bottom"/>
          </w:tcPr>
          <w:p>
            <w:pPr>
              <w:spacing w:after="0"/>
              <w:rPr>
                <w:sz w:val="20"/>
                <w:szCs w:val="20"/>
                <w:color w:val="auto"/>
              </w:rPr>
            </w:pPr>
          </w:p>
        </w:tc>
      </w:tr>
      <w:tr>
        <w:trPr>
          <w:trHeight w:val="249"/>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26,047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26,873</w:t>
            </w:r>
          </w:p>
        </w:tc>
        <w:tc>
          <w:tcPr>
            <w:tcW w:w="100" w:type="dxa"/>
            <w:vAlign w:val="bottom"/>
            <w:shd w:val="clear" w:color="auto" w:fill="CFF0FC"/>
          </w:tcPr>
          <w:p>
            <w:pPr>
              <w:spacing w:after="0"/>
              <w:rPr>
                <w:sz w:val="21"/>
                <w:szCs w:val="21"/>
                <w:color w:val="auto"/>
              </w:rPr>
            </w:pPr>
          </w:p>
        </w:tc>
      </w:tr>
      <w:tr>
        <w:trPr>
          <w:trHeight w:val="237"/>
        </w:trPr>
        <w:tc>
          <w:tcPr>
            <w:tcW w:w="7580" w:type="dxa"/>
            <w:vAlign w:val="bottom"/>
          </w:tcPr>
          <w:p>
            <w:pPr>
              <w:ind w:left="200"/>
              <w:spacing w:after="0"/>
              <w:rPr>
                <w:sz w:val="20"/>
                <w:szCs w:val="20"/>
                <w:color w:val="auto"/>
              </w:rPr>
            </w:pPr>
            <w:r>
              <w:rPr>
                <w:rFonts w:ascii="Arial" w:cs="Arial" w:eastAsia="Arial" w:hAnsi="Arial"/>
                <w:sz w:val="18"/>
                <w:szCs w:val="18"/>
                <w:color w:val="auto"/>
              </w:rPr>
              <w:t>Billings in excess of contract revenues</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12,444</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9,914</w:t>
            </w:r>
          </w:p>
        </w:tc>
        <w:tc>
          <w:tcPr>
            <w:tcW w:w="100" w:type="dxa"/>
            <w:vAlign w:val="bottom"/>
          </w:tcPr>
          <w:p>
            <w:pPr>
              <w:spacing w:after="0"/>
              <w:rPr>
                <w:sz w:val="20"/>
                <w:szCs w:val="20"/>
                <w:color w:val="auto"/>
              </w:rPr>
            </w:pPr>
          </w:p>
        </w:tc>
      </w:tr>
      <w:tr>
        <w:trPr>
          <w:trHeight w:val="243"/>
        </w:trPr>
        <w:tc>
          <w:tcPr>
            <w:tcW w:w="75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163,154</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160,333</w:t>
            </w:r>
          </w:p>
        </w:tc>
        <w:tc>
          <w:tcPr>
            <w:tcW w:w="100" w:type="dxa"/>
            <w:vAlign w:val="bottom"/>
            <w:shd w:val="clear" w:color="auto" w:fill="CFF0FC"/>
          </w:tcPr>
          <w:p>
            <w:pPr>
              <w:spacing w:after="0"/>
              <w:rPr>
                <w:sz w:val="21"/>
                <w:szCs w:val="21"/>
                <w:color w:val="auto"/>
              </w:rPr>
            </w:pPr>
          </w:p>
        </w:tc>
      </w:tr>
      <w:tr>
        <w:trPr>
          <w:trHeight w:val="243"/>
        </w:trPr>
        <w:tc>
          <w:tcPr>
            <w:tcW w:w="7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321,658</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321,521</w:t>
            </w:r>
          </w:p>
        </w:tc>
        <w:tc>
          <w:tcPr>
            <w:tcW w:w="100" w:type="dxa"/>
            <w:vAlign w:val="bottom"/>
            <w:shd w:val="clear" w:color="auto" w:fill="CFF0FC"/>
          </w:tcPr>
          <w:p>
            <w:pPr>
              <w:spacing w:after="0"/>
              <w:rPr>
                <w:sz w:val="21"/>
                <w:szCs w:val="21"/>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LIABILITIES—Noncurrent</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60,813</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65,010</w:t>
            </w:r>
          </w:p>
        </w:tc>
        <w:tc>
          <w:tcPr>
            <w:tcW w:w="100" w:type="dxa"/>
            <w:vAlign w:val="bottom"/>
            <w:shd w:val="clear" w:color="auto" w:fill="CFF0FC"/>
          </w:tcPr>
          <w:p>
            <w:pPr>
              <w:spacing w:after="0"/>
              <w:rPr>
                <w:sz w:val="21"/>
                <w:szCs w:val="21"/>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57,847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59,115</w:t>
            </w:r>
          </w:p>
        </w:tc>
        <w:tc>
          <w:tcPr>
            <w:tcW w:w="100" w:type="dxa"/>
            <w:vAlign w:val="bottom"/>
          </w:tcPr>
          <w:p>
            <w:pPr>
              <w:spacing w:after="0"/>
              <w:rPr>
                <w:sz w:val="20"/>
                <w:szCs w:val="20"/>
                <w:color w:val="auto"/>
              </w:rPr>
            </w:pPr>
          </w:p>
        </w:tc>
      </w:tr>
      <w:tr>
        <w:trPr>
          <w:trHeight w:val="243"/>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7,501</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80" w:type="dxa"/>
            <w:vAlign w:val="bottom"/>
          </w:tcPr>
          <w:p>
            <w:pPr>
              <w:ind w:left="56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660,973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613,560</w:t>
            </w:r>
          </w:p>
        </w:tc>
        <w:tc>
          <w:tcPr>
            <w:tcW w:w="100" w:type="dxa"/>
            <w:vAlign w:val="bottom"/>
          </w:tcPr>
          <w:p>
            <w:pPr>
              <w:spacing w:after="0"/>
              <w:rPr>
                <w:sz w:val="20"/>
                <w:szCs w:val="20"/>
                <w:color w:val="auto"/>
              </w:rPr>
            </w:pPr>
          </w:p>
        </w:tc>
      </w:tr>
      <w:tr>
        <w:trPr>
          <w:trHeight w:val="249"/>
        </w:trPr>
        <w:tc>
          <w:tcPr>
            <w:tcW w:w="7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580" w:type="dxa"/>
            <w:vAlign w:val="bottom"/>
          </w:tcPr>
          <w:p>
            <w:pPr>
              <w:ind w:left="200"/>
              <w:spacing w:after="0"/>
              <w:rPr>
                <w:sz w:val="20"/>
                <w:szCs w:val="20"/>
                <w:color w:val="auto"/>
              </w:rPr>
            </w:pPr>
            <w:r>
              <w:rPr>
                <w:rFonts w:ascii="Arial" w:cs="Arial" w:eastAsia="Arial" w:hAnsi="Arial"/>
                <w:sz w:val="18"/>
                <w:szCs w:val="18"/>
                <w:color w:val="auto"/>
                <w:w w:val="99"/>
              </w:rPr>
              <w:t>Common stock—$.0001 par value; 90,000 authorized, 66,416 and 66,188 shares issued and</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580" w:type="dxa"/>
            <w:vAlign w:val="bottom"/>
          </w:tcPr>
          <w:p>
            <w:pPr>
              <w:ind w:left="200"/>
              <w:spacing w:after="0"/>
              <w:rPr>
                <w:sz w:val="20"/>
                <w:szCs w:val="20"/>
                <w:color w:val="auto"/>
              </w:rPr>
            </w:pPr>
            <w:r>
              <w:rPr>
                <w:rFonts w:ascii="Arial" w:cs="Arial" w:eastAsia="Arial" w:hAnsi="Arial"/>
                <w:sz w:val="18"/>
                <w:szCs w:val="18"/>
                <w:color w:val="auto"/>
              </w:rPr>
              <w:t>outstanding at March 31, 2023 and December 31, 2022, respectively.</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r>
      <w:tr>
        <w:trPr>
          <w:trHeight w:val="250"/>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312,533</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312,091</w:t>
            </w:r>
          </w:p>
        </w:tc>
        <w:tc>
          <w:tcPr>
            <w:tcW w:w="100" w:type="dxa"/>
            <w:vAlign w:val="bottom"/>
            <w:shd w:val="clear" w:color="auto" w:fill="CFF0FC"/>
          </w:tcPr>
          <w:p>
            <w:pPr>
              <w:spacing w:after="0"/>
              <w:rPr>
                <w:sz w:val="21"/>
                <w:szCs w:val="21"/>
                <w:color w:val="auto"/>
              </w:rPr>
            </w:pPr>
          </w:p>
        </w:tc>
      </w:tr>
      <w:tr>
        <w:trPr>
          <w:trHeight w:val="237"/>
        </w:trPr>
        <w:tc>
          <w:tcPr>
            <w:tcW w:w="75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53,083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56,314</w:t>
            </w:r>
          </w:p>
        </w:tc>
        <w:tc>
          <w:tcPr>
            <w:tcW w:w="100" w:type="dxa"/>
            <w:vAlign w:val="bottom"/>
          </w:tcPr>
          <w:p>
            <w:pPr>
              <w:spacing w:after="0"/>
              <w:rPr>
                <w:sz w:val="20"/>
                <w:szCs w:val="20"/>
                <w:color w:val="auto"/>
              </w:rPr>
            </w:pPr>
          </w:p>
        </w:tc>
      </w:tr>
      <w:tr>
        <w:trPr>
          <w:trHeight w:val="249"/>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(1,600 )</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(191 )</w:t>
            </w:r>
          </w:p>
        </w:tc>
      </w:tr>
      <w:tr>
        <w:trPr>
          <w:trHeight w:val="230"/>
        </w:trPr>
        <w:tc>
          <w:tcPr>
            <w:tcW w:w="7580" w:type="dxa"/>
            <w:vAlign w:val="bottom"/>
          </w:tcPr>
          <w:p>
            <w:pPr>
              <w:ind w:left="560"/>
              <w:spacing w:after="0"/>
              <w:rPr>
                <w:sz w:val="20"/>
                <w:szCs w:val="20"/>
                <w:color w:val="auto"/>
              </w:rPr>
            </w:pPr>
            <w:r>
              <w:rPr>
                <w:rFonts w:ascii="Arial" w:cs="Arial" w:eastAsia="Arial" w:hAnsi="Arial"/>
                <w:sz w:val="18"/>
                <w:szCs w:val="18"/>
                <w:color w:val="auto"/>
              </w:rPr>
              <w:t>Total equity</w:t>
            </w:r>
          </w:p>
        </w:tc>
        <w:tc>
          <w:tcPr>
            <w:tcW w:w="3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364,022</w:t>
            </w:r>
          </w:p>
        </w:tc>
        <w:tc>
          <w:tcPr>
            <w:tcW w:w="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368,220</w:t>
            </w:r>
          </w:p>
        </w:tc>
        <w:tc>
          <w:tcPr>
            <w:tcW w:w="100" w:type="dxa"/>
            <w:vAlign w:val="bottom"/>
          </w:tcPr>
          <w:p>
            <w:pPr>
              <w:spacing w:after="0"/>
              <w:rPr>
                <w:sz w:val="20"/>
                <w:szCs w:val="20"/>
                <w:color w:val="auto"/>
              </w:rPr>
            </w:pPr>
          </w:p>
        </w:tc>
      </w:tr>
      <w:tr>
        <w:trPr>
          <w:trHeight w:val="276"/>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1,024,995</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981,780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-5185410</wp:posOffset>
            </wp:positionV>
            <wp:extent cx="685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-3925570</wp:posOffset>
            </wp:positionV>
            <wp:extent cx="1285875"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5875" cy="18034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-1731010</wp:posOffset>
            </wp:positionV>
            <wp:extent cx="6858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-363855</wp:posOffset>
            </wp:positionV>
            <wp:extent cx="1311275"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11275" cy="19685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76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42"/>
        </w:trPr>
        <w:tc>
          <w:tcPr>
            <w:tcW w:w="7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revenues</w:t>
            </w:r>
          </w:p>
        </w:tc>
        <w:tc>
          <w:tcPr>
            <w:tcW w:w="100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158,044</w:t>
            </w:r>
          </w:p>
        </w:tc>
        <w:tc>
          <w:tcPr>
            <w:tcW w:w="3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194,349</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Costs of contract revenues</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145,909</w:t>
            </w:r>
          </w:p>
        </w:tc>
        <w:tc>
          <w:tcPr>
            <w:tcW w:w="3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161,294</w:t>
            </w:r>
          </w:p>
        </w:tc>
        <w:tc>
          <w:tcPr>
            <w:tcW w:w="100" w:type="dxa"/>
            <w:vAlign w:val="bottom"/>
          </w:tcPr>
          <w:p>
            <w:pPr>
              <w:spacing w:after="0"/>
              <w:rPr>
                <w:sz w:val="20"/>
                <w:szCs w:val="20"/>
                <w:color w:val="auto"/>
              </w:rPr>
            </w:pPr>
          </w:p>
        </w:tc>
      </w:tr>
      <w:tr>
        <w:trPr>
          <w:trHeight w:val="24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12,135</w:t>
            </w:r>
          </w:p>
        </w:tc>
        <w:tc>
          <w:tcPr>
            <w:tcW w:w="3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33,055</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13,017</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14,604</w:t>
            </w:r>
          </w:p>
        </w:tc>
        <w:tc>
          <w:tcPr>
            <w:tcW w:w="100" w:type="dxa"/>
            <w:vAlign w:val="bottom"/>
          </w:tcPr>
          <w:p>
            <w:pPr>
              <w:spacing w:after="0"/>
              <w:rPr>
                <w:sz w:val="20"/>
                <w:szCs w:val="20"/>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sale of assets—net</w:t>
            </w:r>
          </w:p>
        </w:tc>
        <w:tc>
          <w:tcPr>
            <w:tcW w:w="10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(18 )</w:t>
            </w:r>
          </w:p>
        </w:tc>
        <w:tc>
          <w:tcPr>
            <w:tcW w:w="5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(321 )</w:t>
            </w:r>
          </w:p>
        </w:tc>
      </w:tr>
      <w:tr>
        <w:trPr>
          <w:trHeight w:val="20"/>
        </w:trPr>
        <w:tc>
          <w:tcPr>
            <w:tcW w:w="76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Operating income (loss)</w:t>
            </w:r>
          </w:p>
        </w:tc>
        <w:tc>
          <w:tcPr>
            <w:tcW w:w="1000" w:type="dxa"/>
            <w:vAlign w:val="bottom"/>
          </w:tcPr>
          <w:p>
            <w:pPr>
              <w:spacing w:after="0"/>
              <w:rPr>
                <w:sz w:val="20"/>
                <w:szCs w:val="20"/>
                <w:color w:val="auto"/>
              </w:rPr>
            </w:pP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rPr>
              <w:t>(864 )</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18,772</w:t>
            </w: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expense—net</w:t>
            </w:r>
          </w:p>
        </w:tc>
        <w:tc>
          <w:tcPr>
            <w:tcW w:w="10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(3,385 )</w:t>
            </w:r>
          </w:p>
        </w:tc>
        <w:tc>
          <w:tcPr>
            <w:tcW w:w="5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(4,025 )</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(405 )</w:t>
            </w:r>
          </w:p>
        </w:tc>
      </w:tr>
      <w:tr>
        <w:trPr>
          <w:trHeight w:val="24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(loss) before income taxes</w:t>
            </w:r>
          </w:p>
        </w:tc>
        <w:tc>
          <w:tcPr>
            <w:tcW w:w="100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(4,022</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14,342</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791</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(3,285 )</w:t>
            </w:r>
          </w:p>
        </w:tc>
      </w:tr>
      <w:tr>
        <w:trPr>
          <w:trHeight w:val="28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income (loss)</w:t>
            </w:r>
          </w:p>
        </w:tc>
        <w:tc>
          <w:tcPr>
            <w:tcW w:w="1000" w:type="dxa"/>
            <w:vAlign w:val="bottom"/>
            <w:tcBorders>
              <w:top w:val="single" w:sz="8" w:color="auto"/>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(3,231</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earnings (loss) per share</w:t>
            </w:r>
          </w:p>
        </w:tc>
        <w:tc>
          <w:tcPr>
            <w:tcW w:w="100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(0.05 )</w:t>
            </w: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Basic weighted average shares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66,264</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65,847</w:t>
            </w: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rPr>
              <w:t>(0.05 )</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weighted average shares</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66,264</w:t>
            </w:r>
          </w:p>
        </w:tc>
        <w:tc>
          <w:tcPr>
            <w:tcW w:w="3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66,436</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-1902460</wp:posOffset>
            </wp:positionV>
            <wp:extent cx="7683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-950595</wp:posOffset>
            </wp:positionV>
            <wp:extent cx="1276985"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6985" cy="17970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78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8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42"/>
        </w:trPr>
        <w:tc>
          <w:tcPr>
            <w:tcW w:w="7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43"/>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(3,231 )</w:t>
            </w: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11,057</w:t>
            </w:r>
          </w:p>
        </w:tc>
        <w:tc>
          <w:tcPr>
            <w:tcW w:w="100" w:type="dxa"/>
            <w:vAlign w:val="bottom"/>
            <w:shd w:val="clear" w:color="auto" w:fill="CFF0FC"/>
          </w:tcPr>
          <w:p>
            <w:pPr>
              <w:spacing w:after="0"/>
              <w:rPr>
                <w:sz w:val="21"/>
                <w:szCs w:val="21"/>
                <w:color w:val="auto"/>
              </w:rPr>
            </w:pP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Net change in cash flow derivative hedges—net of tax (1)</w:t>
            </w:r>
          </w:p>
        </w:tc>
        <w:tc>
          <w:tcPr>
            <w:tcW w:w="940" w:type="dxa"/>
            <w:vAlign w:val="bottom"/>
          </w:tcPr>
          <w:p>
            <w:pPr>
              <w:spacing w:after="0"/>
              <w:rPr>
                <w:sz w:val="20"/>
                <w:szCs w:val="20"/>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(1,409 )</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6,235</w:t>
            </w:r>
          </w:p>
        </w:tc>
        <w:tc>
          <w:tcPr>
            <w:tcW w:w="100" w:type="dxa"/>
            <w:vAlign w:val="bottom"/>
          </w:tcPr>
          <w:p>
            <w:pPr>
              <w:spacing w:after="0"/>
              <w:rPr>
                <w:sz w:val="20"/>
                <w:szCs w:val="20"/>
                <w:color w:val="auto"/>
              </w:rPr>
            </w:pPr>
          </w:p>
        </w:tc>
      </w:tr>
      <w:tr>
        <w:trPr>
          <w:trHeight w:val="277"/>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 (loss)</w:t>
            </w:r>
          </w:p>
        </w:tc>
        <w:tc>
          <w:tcPr>
            <w:tcW w:w="94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(4,640</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17,292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3180" w:right="1740" w:hanging="3172"/>
        <w:spacing w:after="0" w:line="573" w:lineRule="auto"/>
        <w:tabs>
          <w:tab w:leader="none" w:pos="377"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of income tax (provision) benefit of $476 and $(2,106) for the three months ended March 31, 2023 and 2022, respectively. See notes to unaudited condensed consolidated financial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40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Shares of</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40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Common</w:t>
            </w:r>
          </w:p>
        </w:tc>
        <w:tc>
          <w:tcPr>
            <w:tcW w:w="28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6"/>
                <w:szCs w:val="16"/>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40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6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6"/>
                <w:szCs w:val="16"/>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237"/>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BALANCE—January 1, 2023</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66,188</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312,091</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56,314</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368,220</w:t>
            </w:r>
          </w:p>
        </w:tc>
        <w:tc>
          <w:tcPr>
            <w:tcW w:w="100" w:type="dxa"/>
            <w:vAlign w:val="bottom"/>
            <w:shd w:val="clear" w:color="auto" w:fill="CFF0FC"/>
          </w:tcPr>
          <w:p>
            <w:pPr>
              <w:spacing w:after="0"/>
              <w:rPr>
                <w:sz w:val="20"/>
                <w:szCs w:val="20"/>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r>
      <w:tr>
        <w:trPr>
          <w:trHeight w:val="221"/>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Vesting of restricted stock units and impact of</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shares withheld for taxes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(335 )</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(335 )</w:t>
            </w:r>
          </w:p>
        </w:tc>
      </w:tr>
      <w:tr>
        <w:trPr>
          <w:trHeight w:val="215"/>
        </w:trPr>
        <w:tc>
          <w:tcPr>
            <w:tcW w:w="4040" w:type="dxa"/>
            <w:vAlign w:val="bottom"/>
          </w:tcPr>
          <w:p>
            <w:pPr>
              <w:ind w:left="200"/>
              <w:spacing w:after="0"/>
              <w:rPr>
                <w:sz w:val="20"/>
                <w:szCs w:val="20"/>
                <w:color w:val="auto"/>
              </w:rPr>
            </w:pPr>
            <w:r>
              <w:rPr>
                <w:rFonts w:ascii="Arial" w:cs="Arial" w:eastAsia="Arial" w:hAnsi="Arial"/>
                <w:sz w:val="18"/>
                <w:szCs w:val="18"/>
                <w:color w:val="auto"/>
                <w:w w:val="95"/>
              </w:rPr>
              <w:t>Exercise of options and purchases from employee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stock plans</w:t>
            </w: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0"/>
                <w:szCs w:val="20"/>
                <w:color w:val="auto"/>
              </w:rPr>
            </w:pPr>
          </w:p>
        </w:tc>
      </w:tr>
      <w:tr>
        <w:trPr>
          <w:trHeight w:val="250"/>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(3,231 )</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(3,231 )</w:t>
            </w: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Other comprehensive loss—net of tax</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(1,409 )</w:t>
            </w:r>
          </w:p>
        </w:tc>
        <w:tc>
          <w:tcPr>
            <w:tcW w:w="2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(1,409 )</w:t>
            </w:r>
          </w:p>
        </w:tc>
      </w:tr>
      <w:tr>
        <w:trPr>
          <w:trHeight w:val="283"/>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BALANCE—March 31, 2023</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66,416</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312,533</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53,083</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364,022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60"/>
        </w:trPr>
        <w:tc>
          <w:tcPr>
            <w:tcW w:w="4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40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Shares of</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40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Common</w:t>
            </w:r>
          </w:p>
        </w:tc>
        <w:tc>
          <w:tcPr>
            <w:tcW w:w="28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6"/>
                <w:szCs w:val="16"/>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40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6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6"/>
                <w:szCs w:val="16"/>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-496570</wp:posOffset>
            </wp:positionV>
            <wp:extent cx="3951605" cy="5054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51605" cy="50546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13" w:lineRule="exact"/>
        <w:rPr>
          <w:sz w:val="20"/>
          <w:szCs w:val="20"/>
          <w:color w:val="auto"/>
        </w:rPr>
      </w:pPr>
    </w:p>
    <w:p>
      <w:pPr>
        <w:ind w:left="200" w:right="1580" w:hanging="179"/>
        <w:spacing w:after="0" w:line="316" w:lineRule="auto"/>
        <w:rPr>
          <w:sz w:val="20"/>
          <w:szCs w:val="20"/>
          <w:color w:val="auto"/>
        </w:rPr>
      </w:pPr>
      <w:r>
        <w:rPr>
          <w:rFonts w:ascii="Arial" w:cs="Arial" w:eastAsia="Arial" w:hAnsi="Arial"/>
          <w:sz w:val="16"/>
          <w:szCs w:val="16"/>
          <w:color w:val="auto"/>
        </w:rPr>
        <w:t>BALANCE—January 1, 2022 Share-based compensation</w:t>
      </w:r>
    </w:p>
    <w:p>
      <w:pPr>
        <w:spacing w:after="0" w:line="2" w:lineRule="exact"/>
        <w:rPr>
          <w:sz w:val="20"/>
          <w:szCs w:val="20"/>
          <w:color w:val="auto"/>
        </w:rPr>
      </w:pPr>
    </w:p>
    <w:p>
      <w:pPr>
        <w:ind w:left="200" w:right="280"/>
        <w:spacing w:after="0" w:line="266" w:lineRule="auto"/>
        <w:rPr>
          <w:sz w:val="20"/>
          <w:szCs w:val="20"/>
          <w:color w:val="auto"/>
        </w:rPr>
      </w:pPr>
      <w:r>
        <w:rPr>
          <w:rFonts w:ascii="Arial" w:cs="Arial" w:eastAsia="Arial" w:hAnsi="Arial"/>
          <w:sz w:val="18"/>
          <w:szCs w:val="18"/>
          <w:color w:val="auto"/>
        </w:rPr>
        <w:t>Vesting of restricted stock units and impact of shares withheld for taxes</w:t>
      </w:r>
    </w:p>
    <w:p>
      <w:pPr>
        <w:ind w:left="200"/>
        <w:spacing w:after="0" w:line="266" w:lineRule="auto"/>
        <w:rPr>
          <w:sz w:val="20"/>
          <w:szCs w:val="20"/>
          <w:color w:val="auto"/>
        </w:rPr>
      </w:pPr>
      <w:r>
        <w:rPr>
          <w:rFonts w:ascii="Arial" w:cs="Arial" w:eastAsia="Arial" w:hAnsi="Arial"/>
          <w:sz w:val="18"/>
          <w:szCs w:val="18"/>
          <w:color w:val="auto"/>
        </w:rPr>
        <w:t>Exercise of options and purchases from employee stock plans</w:t>
      </w:r>
    </w:p>
    <w:p>
      <w:pPr>
        <w:ind w:left="200"/>
        <w:spacing w:after="0"/>
        <w:rPr>
          <w:sz w:val="20"/>
          <w:szCs w:val="20"/>
          <w:color w:val="auto"/>
        </w:rPr>
      </w:pPr>
      <w:r>
        <w:rPr>
          <w:rFonts w:ascii="Arial" w:cs="Arial" w:eastAsia="Arial" w:hAnsi="Arial"/>
          <w:sz w:val="18"/>
          <w:szCs w:val="18"/>
          <w:color w:val="auto"/>
        </w:rPr>
        <w:t>Net income</w:t>
      </w:r>
    </w:p>
    <w:p>
      <w:pPr>
        <w:spacing w:after="0" w:line="36" w:lineRule="exact"/>
        <w:rPr>
          <w:sz w:val="20"/>
          <w:szCs w:val="20"/>
          <w:color w:val="auto"/>
        </w:rPr>
      </w:pPr>
    </w:p>
    <w:p>
      <w:pPr>
        <w:ind w:left="20" w:right="600" w:firstLine="180"/>
        <w:spacing w:after="0" w:line="340" w:lineRule="auto"/>
        <w:rPr>
          <w:sz w:val="20"/>
          <w:szCs w:val="20"/>
          <w:color w:val="auto"/>
        </w:rPr>
      </w:pPr>
      <w:r>
        <w:rPr>
          <w:rFonts w:ascii="Arial" w:cs="Arial" w:eastAsia="Arial" w:hAnsi="Arial"/>
          <w:sz w:val="18"/>
          <w:szCs w:val="18"/>
          <w:color w:val="auto"/>
        </w:rPr>
        <w:t>Other comprehensive income—net of tax BALANCE—March 31,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65,746</w:t>
            </w:r>
          </w:p>
        </w:tc>
        <w:tc>
          <w:tcPr>
            <w:tcW w:w="28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308,482</w:t>
            </w:r>
          </w:p>
        </w:tc>
        <w:tc>
          <w:tcPr>
            <w:tcW w:w="26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90,369</w:t>
            </w:r>
          </w:p>
        </w:tc>
        <w:tc>
          <w:tcPr>
            <w:tcW w:w="26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398,997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80" w:type="dxa"/>
            <w:vAlign w:val="bottom"/>
          </w:tcPr>
          <w:p>
            <w:pPr>
              <w:jc w:val="right"/>
              <w:spacing w:after="0"/>
              <w:rPr>
                <w:sz w:val="20"/>
                <w:szCs w:val="20"/>
                <w:color w:val="auto"/>
              </w:rPr>
            </w:pPr>
            <w:r>
              <w:rPr>
                <w:rFonts w:ascii="Arial" w:cs="Arial" w:eastAsia="Arial" w:hAnsi="Arial"/>
                <w:sz w:val="18"/>
                <w:szCs w:val="18"/>
                <w:color w:val="auto"/>
              </w:rPr>
              <w:t>212</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(1,827 )</w:t>
            </w:r>
          </w:p>
        </w:tc>
        <w:tc>
          <w:tcPr>
            <w:tcW w:w="26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(1,827 )</w:t>
            </w: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11,057</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11,057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6,235</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66,046</w:t>
            </w:r>
          </w:p>
        </w:tc>
        <w:tc>
          <w:tcPr>
            <w:tcW w:w="2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307,597</w:t>
            </w: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101,426</w:t>
            </w:r>
          </w:p>
        </w:tc>
        <w:tc>
          <w:tcPr>
            <w:tcW w:w="26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6,375</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415,404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-1388110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-1079500</wp:posOffset>
            </wp:positionV>
            <wp:extent cx="7132320"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-496570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-179070</wp:posOffset>
            </wp:positionV>
            <wp:extent cx="713232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3780" w:space="260"/>
            <w:col w:w="7200"/>
          </w:cols>
          <w:pgMar w:left="320" w:top="337" w:right="339" w:bottom="1440" w:gutter="0" w:footer="0" w:header="0"/>
          <w:type w:val="continuous"/>
        </w:sectPr>
      </w:pP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notes to unaudited condensed consolidated financial statements.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6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r>
      <w:tr>
        <w:trPr>
          <w:trHeight w:val="236"/>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(3,231 )</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11,057</w:t>
            </w:r>
          </w:p>
        </w:tc>
        <w:tc>
          <w:tcPr>
            <w:tcW w:w="100" w:type="dxa"/>
            <w:vAlign w:val="bottom"/>
          </w:tcPr>
          <w:p>
            <w:pPr>
              <w:spacing w:after="0"/>
              <w:rPr>
                <w:sz w:val="20"/>
                <w:szCs w:val="20"/>
                <w:color w:val="auto"/>
              </w:rPr>
            </w:pPr>
          </w:p>
        </w:tc>
      </w:tr>
      <w:tr>
        <w:trPr>
          <w:trHeight w:val="221"/>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flows provided by operating</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10,850</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11,316</w:t>
            </w:r>
          </w:p>
        </w:tc>
        <w:tc>
          <w:tcPr>
            <w:tcW w:w="100" w:type="dxa"/>
            <w:vAlign w:val="bottom"/>
          </w:tcPr>
          <w:p>
            <w:pPr>
              <w:spacing w:after="0"/>
              <w:rPr>
                <w:sz w:val="20"/>
                <w:szCs w:val="20"/>
                <w:color w:val="auto"/>
              </w:rPr>
            </w:pPr>
          </w:p>
        </w:tc>
      </w:tr>
      <w:tr>
        <w:trPr>
          <w:trHeight w:val="249"/>
        </w:trPr>
        <w:tc>
          <w:tcPr>
            <w:tcW w:w="6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(791 )</w:t>
            </w:r>
          </w:p>
        </w:tc>
        <w:tc>
          <w:tcPr>
            <w:tcW w:w="6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3,285</w:t>
            </w:r>
          </w:p>
        </w:tc>
        <w:tc>
          <w:tcPr>
            <w:tcW w:w="100" w:type="dxa"/>
            <w:vAlign w:val="bottom"/>
            <w:shd w:val="clear" w:color="auto" w:fill="CFF0FC"/>
          </w:tcPr>
          <w:p>
            <w:pPr>
              <w:spacing w:after="0"/>
              <w:rPr>
                <w:sz w:val="21"/>
                <w:szCs w:val="2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color w:val="auto"/>
              </w:rPr>
              <w:t>Gain on sale of assets</w:t>
            </w:r>
          </w:p>
        </w:tc>
        <w:tc>
          <w:tcPr>
            <w:tcW w:w="320" w:type="dxa"/>
            <w:vAlign w:val="bottom"/>
          </w:tcPr>
          <w:p>
            <w:pPr>
              <w:spacing w:after="0"/>
              <w:rPr>
                <w:sz w:val="20"/>
                <w:szCs w:val="20"/>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(18 )</w:t>
            </w:r>
          </w:p>
        </w:tc>
        <w:tc>
          <w:tcPr>
            <w:tcW w:w="6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(321 )</w:t>
            </w:r>
          </w:p>
        </w:tc>
      </w:tr>
      <w:tr>
        <w:trPr>
          <w:trHeight w:val="249"/>
        </w:trPr>
        <w:tc>
          <w:tcPr>
            <w:tcW w:w="6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Amortization of deferred financing fees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FF0FC"/>
          </w:tcPr>
          <w:p>
            <w:pPr>
              <w:spacing w:after="0"/>
              <w:rPr>
                <w:sz w:val="21"/>
                <w:szCs w:val="2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0"/>
                <w:szCs w:val="20"/>
                <w:color w:val="auto"/>
              </w:rPr>
            </w:pPr>
          </w:p>
        </w:tc>
      </w:tr>
      <w:tr>
        <w:trPr>
          <w:trHeight w:val="249"/>
        </w:trPr>
        <w:tc>
          <w:tcPr>
            <w:tcW w:w="6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8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13,344</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45,791</w:t>
            </w:r>
          </w:p>
        </w:tc>
        <w:tc>
          <w:tcPr>
            <w:tcW w:w="100" w:type="dxa"/>
            <w:vAlign w:val="bottom"/>
          </w:tcPr>
          <w:p>
            <w:pPr>
              <w:spacing w:after="0"/>
              <w:rPr>
                <w:sz w:val="20"/>
                <w:szCs w:val="20"/>
                <w:color w:val="auto"/>
              </w:rPr>
            </w:pPr>
          </w:p>
        </w:tc>
      </w:tr>
      <w:tr>
        <w:trPr>
          <w:trHeight w:val="249"/>
        </w:trPr>
        <w:tc>
          <w:tcPr>
            <w:tcW w:w="68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Contract revenues in excess of billings</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(15,379 )</w:t>
            </w:r>
          </w:p>
        </w:tc>
        <w:tc>
          <w:tcPr>
            <w:tcW w:w="6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(34,691 )</w:t>
            </w:r>
          </w:p>
        </w:tc>
      </w:tr>
      <w:tr>
        <w:trPr>
          <w:trHeight w:val="237"/>
        </w:trPr>
        <w:tc>
          <w:tcPr>
            <w:tcW w:w="68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0"/>
                <w:szCs w:val="20"/>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(3,766 )</w:t>
            </w:r>
          </w:p>
        </w:tc>
        <w:tc>
          <w:tcPr>
            <w:tcW w:w="6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(5,703 )</w:t>
            </w:r>
          </w:p>
        </w:tc>
      </w:tr>
      <w:tr>
        <w:trPr>
          <w:trHeight w:val="249"/>
        </w:trPr>
        <w:tc>
          <w:tcPr>
            <w:tcW w:w="68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2,981</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(6,612 )</w:t>
            </w:r>
          </w:p>
        </w:tc>
      </w:tr>
      <w:tr>
        <w:trPr>
          <w:trHeight w:val="237"/>
        </w:trPr>
        <w:tc>
          <w:tcPr>
            <w:tcW w:w="686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4,000</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12,247</w:t>
            </w:r>
          </w:p>
        </w:tc>
        <w:tc>
          <w:tcPr>
            <w:tcW w:w="100" w:type="dxa"/>
            <w:vAlign w:val="bottom"/>
          </w:tcPr>
          <w:p>
            <w:pPr>
              <w:spacing w:after="0"/>
              <w:rPr>
                <w:sz w:val="20"/>
                <w:szCs w:val="20"/>
                <w:color w:val="auto"/>
              </w:rPr>
            </w:pPr>
          </w:p>
        </w:tc>
      </w:tr>
      <w:tr>
        <w:trPr>
          <w:trHeight w:val="249"/>
        </w:trPr>
        <w:tc>
          <w:tcPr>
            <w:tcW w:w="68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Billings in excess of contract revenues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2,530</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(11,126 )</w:t>
            </w:r>
          </w:p>
        </w:tc>
      </w:tr>
      <w:tr>
        <w:trPr>
          <w:trHeight w:val="237"/>
        </w:trPr>
        <w:tc>
          <w:tcPr>
            <w:tcW w:w="6860" w:type="dxa"/>
            <w:vAlign w:val="bottom"/>
          </w:tcPr>
          <w:p>
            <w:pPr>
              <w:ind w:left="360"/>
              <w:spacing w:after="0"/>
              <w:rPr>
                <w:sz w:val="20"/>
                <w:szCs w:val="20"/>
                <w:color w:val="auto"/>
              </w:rPr>
            </w:pPr>
            <w:r>
              <w:rPr>
                <w:rFonts w:ascii="Arial" w:cs="Arial" w:eastAsia="Arial" w:hAnsi="Arial"/>
                <w:sz w:val="18"/>
                <w:szCs w:val="18"/>
                <w:color w:val="auto"/>
              </w:rPr>
              <w:t>Other noncurrent assets and liabilities</w:t>
            </w:r>
          </w:p>
        </w:tc>
        <w:tc>
          <w:tcPr>
            <w:tcW w:w="320" w:type="dxa"/>
            <w:vAlign w:val="bottom"/>
          </w:tcPr>
          <w:p>
            <w:pPr>
              <w:spacing w:after="0"/>
              <w:rPr>
                <w:sz w:val="20"/>
                <w:szCs w:val="20"/>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(1,678 )</w:t>
            </w: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r>
      <w:tr>
        <w:trPr>
          <w:trHeight w:val="243"/>
        </w:trPr>
        <w:tc>
          <w:tcPr>
            <w:tcW w:w="6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9,320</w:t>
            </w:r>
          </w:p>
        </w:tc>
        <w:tc>
          <w:tcPr>
            <w:tcW w:w="260" w:type="dxa"/>
            <w:vAlign w:val="bottom"/>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26,317</w:t>
            </w:r>
          </w:p>
        </w:tc>
        <w:tc>
          <w:tcPr>
            <w:tcW w:w="100" w:type="dxa"/>
            <w:vAlign w:val="bottom"/>
            <w:shd w:val="clear" w:color="auto" w:fill="CFF0FC"/>
          </w:tcPr>
          <w:p>
            <w:pPr>
              <w:spacing w:after="0"/>
              <w:rPr>
                <w:sz w:val="21"/>
                <w:szCs w:val="21"/>
                <w:color w:val="auto"/>
              </w:rPr>
            </w:pPr>
          </w:p>
        </w:tc>
      </w:tr>
      <w:tr>
        <w:trPr>
          <w:trHeight w:val="239"/>
        </w:trPr>
        <w:tc>
          <w:tcPr>
            <w:tcW w:w="68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(33,629 )</w:t>
            </w:r>
          </w:p>
        </w:tc>
        <w:tc>
          <w:tcPr>
            <w:tcW w:w="6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(28,866 )</w:t>
            </w: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0"/>
                <w:szCs w:val="20"/>
                <w:color w:val="auto"/>
              </w:rPr>
            </w:pPr>
          </w:p>
        </w:tc>
      </w:tr>
      <w:tr>
        <w:trPr>
          <w:trHeight w:val="243"/>
        </w:trPr>
        <w:tc>
          <w:tcPr>
            <w:tcW w:w="6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(33,574</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(27,756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9"/>
        </w:trPr>
        <w:tc>
          <w:tcPr>
            <w:tcW w:w="68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Taxes paid on settlement of vested share awards</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(335 )</w:t>
            </w:r>
          </w:p>
        </w:tc>
        <w:tc>
          <w:tcPr>
            <w:tcW w:w="6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(1,827 )</w:t>
            </w: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562</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r>
      <w:tr>
        <w:trPr>
          <w:trHeight w:val="24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Borrowing under revolving loans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Repayments of revolving loans</w:t>
            </w:r>
          </w:p>
        </w:tc>
        <w:tc>
          <w:tcPr>
            <w:tcW w:w="320" w:type="dxa"/>
            <w:vAlign w:val="bottom"/>
          </w:tcPr>
          <w:p>
            <w:pPr>
              <w:spacing w:after="0"/>
              <w:rPr>
                <w:sz w:val="20"/>
                <w:szCs w:val="20"/>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(25,000 )</w:t>
            </w:r>
          </w:p>
        </w:tc>
        <w:tc>
          <w:tcPr>
            <w:tcW w:w="600" w:type="dxa"/>
            <w:vAlign w:val="bottom"/>
          </w:tcPr>
          <w:p>
            <w:pPr>
              <w:spacing w:after="0"/>
              <w:rPr>
                <w:sz w:val="20"/>
                <w:szCs w:val="20"/>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provided by (used in) financing activities</w:t>
            </w:r>
          </w:p>
        </w:tc>
        <w:tc>
          <w:tcPr>
            <w:tcW w:w="32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50,227</w:t>
            </w:r>
          </w:p>
        </w:tc>
        <w:tc>
          <w:tcPr>
            <w:tcW w:w="260" w:type="dxa"/>
            <w:vAlign w:val="bottom"/>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25,973</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(2,876 )</w:t>
            </w:r>
          </w:p>
        </w:tc>
      </w:tr>
      <w:tr>
        <w:trPr>
          <w:trHeight w:val="24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6,546</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147,459</w:t>
            </w:r>
          </w:p>
        </w:tc>
        <w:tc>
          <w:tcPr>
            <w:tcW w:w="100" w:type="dxa"/>
            <w:vAlign w:val="bottom"/>
            <w:shd w:val="clear" w:color="auto" w:fill="CFF0FC"/>
          </w:tcPr>
          <w:p>
            <w:pPr>
              <w:spacing w:after="0"/>
              <w:rPr>
                <w:sz w:val="21"/>
                <w:szCs w:val="21"/>
                <w:color w:val="auto"/>
              </w:rPr>
            </w:pP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32,519</w:t>
            </w:r>
          </w:p>
        </w:tc>
        <w:tc>
          <w:tcPr>
            <w:tcW w:w="260" w:type="dxa"/>
            <w:vAlign w:val="bottom"/>
          </w:tcPr>
          <w:p>
            <w:pPr>
              <w:spacing w:after="0"/>
              <w:rPr>
                <w:sz w:val="20"/>
                <w:szCs w:val="20"/>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144,583</w:t>
            </w:r>
          </w:p>
        </w:tc>
        <w:tc>
          <w:tcPr>
            <w:tcW w:w="100" w:type="dxa"/>
            <w:vAlign w:val="bottom"/>
          </w:tcPr>
          <w:p>
            <w:pPr>
              <w:spacing w:after="0"/>
              <w:rPr>
                <w:sz w:val="20"/>
                <w:szCs w:val="20"/>
                <w:color w:val="auto"/>
              </w:rPr>
            </w:pP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32,519</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142,583</w:t>
            </w:r>
          </w:p>
        </w:tc>
        <w:tc>
          <w:tcPr>
            <w:tcW w:w="100" w:type="dxa"/>
            <w:vAlign w:val="bottom"/>
            <w:shd w:val="clear" w:color="auto" w:fill="CFF0FC"/>
          </w:tcPr>
          <w:p>
            <w:pPr>
              <w:spacing w:after="0"/>
              <w:rPr>
                <w:sz w:val="21"/>
                <w:szCs w:val="21"/>
                <w:color w:val="auto"/>
              </w:rPr>
            </w:pP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Restricted cash included in other long-term assets</w:t>
            </w:r>
          </w:p>
        </w:tc>
        <w:tc>
          <w:tcPr>
            <w:tcW w:w="320" w:type="dxa"/>
            <w:vAlign w:val="bottom"/>
          </w:tcPr>
          <w:p>
            <w:pPr>
              <w:spacing w:after="0"/>
              <w:rPr>
                <w:sz w:val="20"/>
                <w:szCs w:val="20"/>
                <w:color w:val="auto"/>
              </w:rPr>
            </w:pPr>
          </w:p>
        </w:tc>
        <w:tc>
          <w:tcPr>
            <w:tcW w:w="13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0"/>
                <w:szCs w:val="20"/>
                <w:color w:val="auto"/>
              </w:rPr>
            </w:pPr>
          </w:p>
        </w:tc>
      </w:tr>
      <w:tr>
        <w:trPr>
          <w:trHeight w:val="276"/>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32,519</w:t>
            </w:r>
          </w:p>
        </w:tc>
        <w:tc>
          <w:tcPr>
            <w:tcW w:w="2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144,583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6"/>
        </w:trPr>
        <w:tc>
          <w:tcPr>
            <w:tcW w:w="686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3"/>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2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Cash paid (received) for income taxes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(45 )</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-694055</wp:posOffset>
            </wp:positionV>
            <wp:extent cx="1174750" cy="3346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74750" cy="3346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-205105</wp:posOffset>
            </wp:positionV>
            <wp:extent cx="1174750" cy="3600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74750" cy="3600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641223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6840" w:val="left"/>
          <w:tab w:leader="none" w:pos="7800" w:val="left"/>
          <w:tab w:leader="none" w:pos="8500" w:val="left"/>
          <w:tab w:leader="none" w:pos="9480" w:val="left"/>
        </w:tabs>
        <w:rPr>
          <w:sz w:val="20"/>
          <w:szCs w:val="20"/>
          <w:color w:val="auto"/>
        </w:rPr>
      </w:pPr>
      <w:r>
        <w:rPr>
          <w:rFonts w:ascii="Arial" w:cs="Arial" w:eastAsia="Arial" w:hAnsi="Arial"/>
          <w:sz w:val="18"/>
          <w:szCs w:val="18"/>
          <w:color w:val="auto"/>
        </w:rPr>
        <w:t>Property and equipment purchased but not yet paid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3,755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10,319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23495</wp:posOffset>
            </wp:positionV>
            <wp:extent cx="199707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97075" cy="25400"/>
                    </a:xfrm>
                    <a:prstGeom prst="rect">
                      <a:avLst/>
                    </a:prstGeom>
                    <a:noFill/>
                  </pic:spPr>
                </pic:pic>
              </a:graphicData>
            </a:graphic>
          </wp:anchor>
        </w:drawing>
      </w: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34"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2022.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March 31, 2023 and December 31, 2022, and its results of operations for the three months ended March 31, 2023 and 2022 and cash flows for the three months ended March 31, 2023 and 2022 have been included.</w:t>
      </w:r>
    </w:p>
    <w:p>
      <w:pPr>
        <w:spacing w:after="0" w:line="118"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1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has one operating segment which is also the Company’s reportable segment and reporting unit of which the Company tests goodwill for impairment. The Company performed its most recent test of impairment as of October 1, 2022 with no indication of impairment as of the test date. As of the test date, the fair value of the reporting unit was in excess of its carrying value by at least 10%. When performing the quantitative test, the Company assessed the fair values of its reporting unit using both a market-based approach and an income-based approach. The assessment used estimates based on assumptions that the Company believes to be reasonable, but such assumptions are subject to unpredictability and uncertainty. Likewise, changes in terminal value and discount rate assumptions, unfavorable economic environment or market conditions and other factors in the future may cause a different assessment. Changes in these estimates and assumptions could materially affect the determination of fair value, and may result in the impairment of goodwill in the event that actual results differ from those estimates. The Company will continue to monitor for changes in facts or circumstances that may impact our estimates. The Company will perform its next scheduled annual test of goodwill in the third quarter of 2023 should no triggering events occur which would require a test prior to the next annual test.</w:t>
      </w:r>
    </w:p>
    <w:p>
      <w:pPr>
        <w:spacing w:after="0" w:line="1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condensed consolidated results of operations and comprehensive income (loss) for the interim periods presented herein are not necessarily indicative of the results to be expected for the full year.</w:t>
      </w:r>
    </w:p>
    <w:p>
      <w:pPr>
        <w:spacing w:after="0" w:line="99"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8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Basic earnings per share is computed by dividing net income (loss)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for basic and diluted earnings per share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5"/>
        </w:trPr>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080" w:type="dxa"/>
            <w:vAlign w:val="bottom"/>
            <w:gridSpan w:val="2"/>
          </w:tcPr>
          <w:p>
            <w:pPr>
              <w:spacing w:after="0"/>
              <w:rPr>
                <w:sz w:val="14"/>
                <w:szCs w:val="14"/>
                <w:color w:val="auto"/>
              </w:rPr>
            </w:pPr>
          </w:p>
        </w:tc>
        <w:tc>
          <w:tcPr>
            <w:tcW w:w="118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43"/>
        </w:trPr>
        <w:tc>
          <w:tcPr>
            <w:tcW w:w="580" w:type="dxa"/>
            <w:vAlign w:val="bottom"/>
          </w:tcPr>
          <w:p>
            <w:pPr>
              <w:spacing w:after="0"/>
              <w:rPr>
                <w:sz w:val="21"/>
                <w:szCs w:val="21"/>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(3,231 )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479"/>
        </w:trPr>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Weighted-average common shares outstanding — basic</w:t>
            </w:r>
          </w:p>
        </w:tc>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66,264</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65,847</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Effect of stock options and restricted stock units</w:t>
            </w:r>
          </w:p>
        </w:tc>
        <w:tc>
          <w:tcPr>
            <w:tcW w:w="2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479"/>
        </w:trPr>
        <w:tc>
          <w:tcPr>
            <w:tcW w:w="580" w:type="dxa"/>
            <w:vAlign w:val="bottom"/>
          </w:tcPr>
          <w:p>
            <w:pPr>
              <w:spacing w:after="0"/>
              <w:rPr>
                <w:sz w:val="24"/>
                <w:szCs w:val="24"/>
                <w:color w:val="auto"/>
              </w:rPr>
            </w:pPr>
          </w:p>
        </w:tc>
        <w:tc>
          <w:tcPr>
            <w:tcW w:w="4560" w:type="dxa"/>
            <w:vAlign w:val="bottom"/>
            <w:tcBorders>
              <w:top w:val="single" w:sz="8" w:color="CFF0FC"/>
            </w:tcBorders>
          </w:tcPr>
          <w:p>
            <w:pPr>
              <w:spacing w:after="0"/>
              <w:rPr>
                <w:sz w:val="20"/>
                <w:szCs w:val="20"/>
                <w:color w:val="auto"/>
              </w:rPr>
            </w:pPr>
            <w:r>
              <w:rPr>
                <w:rFonts w:ascii="Arial" w:cs="Arial" w:eastAsia="Arial" w:hAnsi="Arial"/>
                <w:sz w:val="18"/>
                <w:szCs w:val="18"/>
                <w:color w:val="auto"/>
                <w:w w:val="98"/>
              </w:rPr>
              <w:t>Weighted-average common shares outstanding — diluted</w:t>
            </w:r>
          </w:p>
        </w:tc>
        <w:tc>
          <w:tcPr>
            <w:tcW w:w="2800" w:type="dxa"/>
            <w:vAlign w:val="bottom"/>
            <w:tcBorders>
              <w:top w:val="single" w:sz="8" w:color="CFF0FC"/>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66,264</w:t>
            </w: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66,436</w:t>
            </w: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0"/>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080" w:type="dxa"/>
            <w:vAlign w:val="bottom"/>
            <w:gridSpan w:val="2"/>
          </w:tcPr>
          <w:p>
            <w:pPr>
              <w:spacing w:after="0"/>
              <w:rPr>
                <w:sz w:val="20"/>
                <w:szCs w:val="20"/>
                <w:color w:val="auto"/>
              </w:rPr>
            </w:pPr>
          </w:p>
        </w:tc>
        <w:tc>
          <w:tcPr>
            <w:tcW w:w="118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 basic</w:t>
            </w:r>
          </w:p>
        </w:tc>
        <w:tc>
          <w:tcPr>
            <w:tcW w:w="3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(0.05 )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0"/>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Earnings (loss) per share — diluted</w:t>
            </w:r>
          </w:p>
        </w:tc>
        <w:tc>
          <w:tcPr>
            <w:tcW w:w="3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(0.05 )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61"/>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800" w:type="dxa"/>
            <w:vAlign w:val="bottom"/>
          </w:tcPr>
          <w:p>
            <w:pPr>
              <w:jc w:val="right"/>
              <w:ind w:right="219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560" w:type="dxa"/>
            <w:vAlign w:val="bottom"/>
            <w:tcBorders>
              <w:bottom w:val="single" w:sz="8" w:color="9A9A9A"/>
            </w:tcBorders>
          </w:tcPr>
          <w:p>
            <w:pPr>
              <w:spacing w:after="0"/>
              <w:rPr>
                <w:sz w:val="7"/>
                <w:szCs w:val="7"/>
                <w:color w:val="auto"/>
              </w:rPr>
            </w:pPr>
          </w:p>
        </w:tc>
        <w:tc>
          <w:tcPr>
            <w:tcW w:w="28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-1285240</wp:posOffset>
            </wp:positionV>
            <wp:extent cx="60325" cy="4972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4972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-1285240</wp:posOffset>
            </wp:positionV>
            <wp:extent cx="60325" cy="4972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4972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right="360"/>
        <w:spacing w:after="0" w:line="277" w:lineRule="auto"/>
        <w:rPr>
          <w:sz w:val="20"/>
          <w:szCs w:val="20"/>
          <w:color w:val="auto"/>
        </w:rPr>
      </w:pPr>
      <w:r>
        <w:rPr>
          <w:rFonts w:ascii="Arial" w:cs="Arial" w:eastAsia="Arial" w:hAnsi="Arial"/>
          <w:sz w:val="18"/>
          <w:szCs w:val="18"/>
          <w:color w:val="auto"/>
        </w:rPr>
        <w:t>For the three months ended March 31, 2023, the dilutive effect of 246 restricted stock units were excluded from the diluted weighted-average common shares outstanding as the Company incurred a loss during the period.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3.</w:t>
            </w:r>
          </w:p>
        </w:tc>
        <w:tc>
          <w:tcPr>
            <w:tcW w:w="6640" w:type="dxa"/>
            <w:vAlign w:val="bottom"/>
            <w:gridSpan w:val="2"/>
          </w:tcPr>
          <w:p>
            <w:pPr>
              <w:ind w:left="100"/>
              <w:spacing w:after="0"/>
              <w:rPr>
                <w:sz w:val="20"/>
                <w:szCs w:val="20"/>
                <w:color w:val="auto"/>
              </w:rPr>
            </w:pPr>
            <w:r>
              <w:rPr>
                <w:rFonts w:ascii="Arial" w:cs="Arial" w:eastAsia="Arial" w:hAnsi="Arial"/>
                <w:sz w:val="18"/>
                <w:szCs w:val="18"/>
                <w:b w:val="1"/>
                <w:bCs w:val="1"/>
                <w:color w:val="auto"/>
              </w:rPr>
              <w:t>Accrued expenses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900" w:type="dxa"/>
            <w:vAlign w:val="bottom"/>
            <w:gridSpan w:val="3"/>
          </w:tcPr>
          <w:p>
            <w:pPr>
              <w:spacing w:after="0"/>
              <w:rPr>
                <w:sz w:val="20"/>
                <w:szCs w:val="20"/>
                <w:color w:val="auto"/>
              </w:rPr>
            </w:pPr>
            <w:r>
              <w:rPr>
                <w:rFonts w:ascii="Arial" w:cs="Arial" w:eastAsia="Arial" w:hAnsi="Arial"/>
                <w:sz w:val="18"/>
                <w:szCs w:val="18"/>
                <w:color w:val="auto"/>
              </w:rPr>
              <w:t>Accrued expenses at March 31, 2023 and December 31, 2022 were as follows: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194"/>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13,920</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6,131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Payroll and employee benefits</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4,262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Fuel hedge contracts</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Income and other taxes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reserves</w:t>
            </w: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 accrued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36,548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29,469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8"/>
                <w:szCs w:val="18"/>
                <w:b w:val="1"/>
                <w:bCs w:val="1"/>
                <w:color w:val="auto"/>
              </w:rPr>
              <w:t>4.</w:t>
            </w:r>
          </w:p>
        </w:tc>
        <w:tc>
          <w:tcPr>
            <w:tcW w:w="66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Long-term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60" w:type="dxa"/>
            <w:vAlign w:val="bottom"/>
            <w:vMerge w:val="continue"/>
          </w:tcPr>
          <w:p>
            <w:pPr>
              <w:spacing w:after="0"/>
              <w:rPr>
                <w:sz w:val="24"/>
                <w:szCs w:val="24"/>
                <w:color w:val="auto"/>
              </w:rPr>
            </w:pPr>
          </w:p>
        </w:tc>
        <w:tc>
          <w:tcPr>
            <w:tcW w:w="66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-462280</wp:posOffset>
            </wp:positionV>
            <wp:extent cx="51435"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-462280</wp:posOffset>
            </wp:positionV>
            <wp:extent cx="4318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July 29, 2022, the Company, Great Lakes Dredge &amp; Dock Company, LLC, NASDI Holdings, LLC, Great Lakes Environmental &amp; Infrastructure Solutions, LLC, Great Lakes U.S. Fleet Management, LLC, and Drews Services LLC (collectively, the “Credit Parties”) entered into a second amended and restated revolving credit and security agreement (as amended, supplemented or otherwise modified from time to time, the “Amended Credit Agreement”) with certain financial institutions from time to time party thereto as lenders, PNC Bank, National Association, as Agent (the “Agent”), PNC Capital Markets, CIBC Bank USA, Bank of America, N.A. and Truist Securities, Inc., as Joint Lead Arrangers and Joint Bookrunners, CIBC Bank USA and Truist Bank as Co-Syndication Agents, Bank of America, N.A., as Documentation Agent and PNC Bank National Association, as Green Loan Coordinator. The Amended Credit Agreement amends and restates the prior Amended Credit Agreement dated as of May 3, 2019 by and among the financial institutions from time to time party thereto as lenders, the Agent and the Credit Parties party thereto such that the terms and conditions of the prior credit agreement have been subsumed and replaced in their entirety by the terms and conditions of the Amended Credit Agreement, including the amount available under the revolving credit facility. The terms of the Amended Credit Agreement are summarized below.</w:t>
      </w:r>
    </w:p>
    <w:p>
      <w:pPr>
        <w:spacing w:after="0" w:line="10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Amended Credit Agreement provides for a senior secured revolving credit facility in an aggregate principal amount of up to $300,000 of which the full amount is available for the issuance of standby letters of credit. The maximum borrowing capacity under the Amended Credit Agreement is determined by a formula and may fluctuate depending on the value of the collateral included in such formula at the time of determination. The Amended Credit Agreement also includes an increase option that will allow the Company to increase the senior secured revolving credit facility by an aggregate principal amount of up to $100,000. This increase is subject to lenders providing incremental commitments for such increase, the Credit Parties having adequate borrowing capacity and provided that no default or event of default exists both before and after giving effect to such incremental commitment increase.</w:t>
      </w:r>
    </w:p>
    <w:p>
      <w:pPr>
        <w:spacing w:after="0" w:line="9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Amended Credit Agreement contains a green loan option where the Company can borrow at the lower interest rates described below so long as such funds are used to fund capital investments related to renewable energy and clean transportation projects and are consistent with green loan principles. The green loan option is subject to a $35,000 sublimit.</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Amended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less than 1.10 to 1.00. The springing financial covenant is triggered when the undrawn availability of the Amended Credit Agreement is less than 12.5% of the maximum loan amount for five consecutive days. The Amended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Amended Credit Agreement will be unconditionally guaranteed, on a joint and several basis, by each existing and subsequently acquired or formed material direct and indirect domestic subsidiary of the Company. Borrowings under the Amended Credit Agreement will be used to pay fees and expenses related to the Amended Credit Agreement, finance acquisitions permitted under the Amended Credit Agreement, finance ongoing working capital, for other general corporate purposes, and with respect to any green loan, fund capital investments related to renewable energy and clean transportation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 w:name="page10"/>
    <w:bookmarkEnd w:id="9"/>
    <w:p>
      <w:pPr>
        <w:jc w:val="both"/>
        <w:ind w:right="260"/>
        <w:spacing w:after="0" w:line="311" w:lineRule="auto"/>
        <w:rPr>
          <w:sz w:val="20"/>
          <w:szCs w:val="20"/>
          <w:color w:val="auto"/>
        </w:rPr>
      </w:pPr>
      <w:r>
        <w:rPr>
          <w:rFonts w:ascii="Arial" w:cs="Arial" w:eastAsia="Arial" w:hAnsi="Arial"/>
          <w:sz w:val="16"/>
          <w:szCs w:val="16"/>
          <w:color w:val="auto"/>
        </w:rPr>
        <w:t>projects. The Amended Credit Agreement matures on the earlier of July 29, 2027 or the date that is ninety-one (91) days prior to the scheduled maturity date of the Company’s unsecured senior notes, which is currently June 1, 2029, if the Company fails to refinance its unsecured senior notes prior to their scheduled maturity date but only if such scheduled maturity date is prior to the maturity date of the Amended Credit Agreement.</w:t>
      </w:r>
    </w:p>
    <w:p>
      <w:pPr>
        <w:spacing w:after="0" w:line="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obligations under the Amended Credit Agreement are secured by substantially all of the assets of the Credit Parties. The outstanding obligations thereunder shall be secured by a valid first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106"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Interest on the senior secured revolving credit facility of the Amended Credit Agreement is equal to either a Domestic Rate option or Secured Overnight Financing Rate (“SOFR”) option, at the Company’s election. As of July 29, 2022, (a) the Domestic Rate option is the highest of (1) the base commercial lending rate of PNC Bank, National Association, as publicly announced, (2) the sum of the overnight bank funding rate plus 0.5% and (3) the sum of the daily simple SOFR plus 1.0%, so long as a daily Simple SOFR is offered, ascertainable and not unlawful and (b) the SOFR option is the rate that applies for the applicable interest period determined by the Agent and based on the rate published by the CME Group Benchmark Administration Limited (or a successor administrator). After the date on which a borrowing base certificate is required to be delivered under Section 9.2 of the Amended Credit Agreement (commencing with the fiscal quarter ending September 30, 2022), the Domestic Rate option will be the Domestic Rate plus an interest margin ranging between 0.25% and 0.75% and the SOFR option will be the SOFR plus an interest margin ranging between 1.25% and 1.75%, in each case, depending on the quarterly average undrawn availability on the Amended Credit Agreement. Additionally, the Company will have an option to borrow at Green Loan Advance Rates, each of which will be 0.05% lower than the corresponding applicable rate if the Company certifies that it will use such proceeds to invest in renewable energy and clean transportation projects and it complies with green loan principles.</w:t>
      </w:r>
    </w:p>
    <w:p>
      <w:pPr>
        <w:spacing w:after="0" w:line="10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 had $50,000 and no borrowings on the revolver as of March 31, 2023 and December 31, 2022, respectively. There were $16,391 of letters of credit outstanding as of both March 31, 2023 and December 31, 2022. There were $195,712 and $245,713 of availability under the Amended Credit Agreement as of March 31, 2023 and December 31, 2022, respectively. As a result of certain limitations set forth in the Amended Credit Agreement, the availability under the Amended Credit Agreement is suppressed by $37,897 as of both March 31, 2023 and December 31, 2022.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subsidiary guarantors</w:t>
      </w:r>
    </w:p>
    <w:p>
      <w:pPr>
        <w:spacing w:after="0" w:line="14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May 2021, the Company sold $325,000 of unsecured 5.25% Senior Notes (the “2029 Notes”) pursuant to a private offering. The 2029 Notes were priced to investors at par and will mature on June 1, 2029. The Company used the net proceeds from the offering, together with cash on hand, to redeem all $325,000 aggregate principal amount of its outstanding 8.000% Senior Notes due 2022.</w:t>
      </w:r>
    </w:p>
    <w:p>
      <w:pPr>
        <w:spacing w:after="0" w:line="116"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Company’s obligations under these 2029 Notes are guaranteed by each of the Company’s existing and future 100% owned domestic subsidiaries that are co-borrowers or guarantors under the Amended Credit Agreement. Such guarantees are full, unconditional and joint and several. The parent company issuer has no independent assets or operations and all non-guarantor subsidiaries have been determined to be minor.</w:t>
      </w:r>
    </w:p>
    <w:p>
      <w:pPr>
        <w:spacing w:after="0" w:line="77"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4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both"/>
        <w:ind w:right="120"/>
        <w:spacing w:after="0" w:line="263"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commodity price risk or foreign currency risk. The Company does not hold or issue derivatives for speculative or trading purposes. The fair values of these financial instruments are summarized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Fair Value at</w:t>
            </w: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384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Hierarchy</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40" w:type="dxa"/>
            <w:vAlign w:val="bottom"/>
          </w:tcPr>
          <w:p>
            <w:pPr>
              <w:spacing w:after="0"/>
              <w:rPr>
                <w:sz w:val="20"/>
                <w:szCs w:val="20"/>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Levels</w:t>
            </w: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00" w:type="dxa"/>
            <w:vAlign w:val="bottom"/>
            <w:gridSpan w:val="5"/>
          </w:tcPr>
          <w:p>
            <w:pPr>
              <w:jc w:val="right"/>
              <w:ind w:right="770"/>
              <w:spacing w:after="0"/>
              <w:rPr>
                <w:sz w:val="20"/>
                <w:szCs w:val="20"/>
                <w:color w:val="auto"/>
              </w:rPr>
            </w:pPr>
            <w:r>
              <w:rPr>
                <w:rFonts w:ascii="Arial" w:cs="Arial" w:eastAsia="Arial" w:hAnsi="Arial"/>
                <w:sz w:val="18"/>
                <w:szCs w:val="18"/>
                <w:b w:val="1"/>
                <w:bCs w:val="1"/>
                <w:color w:val="auto"/>
              </w:rPr>
              <w:t>March 31, 2023</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Pr>
          <w:p>
            <w:pPr>
              <w:spacing w:after="0"/>
              <w:rPr>
                <w:sz w:val="21"/>
                <w:szCs w:val="21"/>
                <w:color w:val="auto"/>
              </w:rPr>
            </w:pPr>
          </w:p>
        </w:tc>
      </w:tr>
      <w:tr>
        <w:trPr>
          <w:trHeight w:val="250"/>
        </w:trPr>
        <w:tc>
          <w:tcPr>
            <w:tcW w:w="384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Liabilities</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Assets</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1"/>
                <w:szCs w:val="21"/>
                <w:color w:val="auto"/>
              </w:rPr>
            </w:pPr>
          </w:p>
        </w:tc>
      </w:tr>
      <w:tr>
        <w:trPr>
          <w:trHeight w:val="211"/>
        </w:trPr>
        <w:tc>
          <w:tcPr>
            <w:tcW w:w="384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w w:val="96"/>
              </w:rPr>
              <w:t>Derivatives designated as cash flow hedging</w:t>
            </w: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84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instruments:</w:t>
            </w: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840" w:type="dxa"/>
            <w:vAlign w:val="bottom"/>
          </w:tcPr>
          <w:p>
            <w:pPr>
              <w:ind w:left="120"/>
              <w:spacing w:after="0"/>
              <w:rPr>
                <w:sz w:val="20"/>
                <w:szCs w:val="20"/>
                <w:color w:val="auto"/>
              </w:rPr>
            </w:pPr>
            <w:r>
              <w:rPr>
                <w:rFonts w:ascii="Arial" w:cs="Arial" w:eastAsia="Arial" w:hAnsi="Arial"/>
                <w:sz w:val="18"/>
                <w:szCs w:val="18"/>
                <w:color w:val="auto"/>
              </w:rPr>
              <w:t>Fuel hedge contracts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79"/>
              </w:rPr>
              <w:t>2</w:t>
            </w:r>
          </w:p>
        </w:tc>
        <w:tc>
          <w:tcPr>
            <w:tcW w:w="180" w:type="dxa"/>
            <w:vAlign w:val="bottom"/>
          </w:tcPr>
          <w:p>
            <w:pPr>
              <w:spacing w:after="0"/>
              <w:rPr>
                <w:sz w:val="20"/>
                <w:szCs w:val="20"/>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2,693</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0"/>
                <w:szCs w:val="20"/>
                <w:color w:val="auto"/>
              </w:rPr>
            </w:pPr>
          </w:p>
        </w:tc>
      </w:tr>
      <w:tr>
        <w:trPr>
          <w:trHeight w:val="247"/>
        </w:trPr>
        <w:tc>
          <w:tcPr>
            <w:tcW w:w="38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Foreign currency exchange hedge contracts</w:t>
            </w:r>
          </w:p>
        </w:tc>
        <w:tc>
          <w:tcPr>
            <w:tcW w:w="11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79"/>
              </w:rPr>
              <w:t>2</w:t>
            </w:r>
          </w:p>
        </w:tc>
        <w:tc>
          <w:tcPr>
            <w:tcW w:w="1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995</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995</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2,693</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831</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0"/>
                <w:szCs w:val="20"/>
                <w:color w:val="auto"/>
              </w:rPr>
            </w:pPr>
          </w:p>
        </w:tc>
      </w:tr>
      <w:tr>
        <w:trPr>
          <w:trHeight w:val="20"/>
        </w:trPr>
        <w:tc>
          <w:tcPr>
            <w:tcW w:w="3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-187960</wp:posOffset>
            </wp:positionV>
            <wp:extent cx="7747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-187960</wp:posOffset>
            </wp:positionV>
            <wp:extent cx="6858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6858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could have an adverse impact on cash flows associated with its domestic dredging contracts. The Company’s goal is to hedge approximately 80% of the eligible fuel requirements for work in domestic backlog.</w:t>
      </w:r>
    </w:p>
    <w:p>
      <w:pPr>
        <w:spacing w:after="0" w:line="1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March 31, 2023, the Company was party to various swap arrangements to hedge the price of a portion of its diesel fuel purchase requirements for work in its backlog to be performed through October 2023. As of March 31, 2023, there were 5.4 million gallons remaining on these contracts representing forecasted domestic fuel purchases through October 2023. Under these swap agreements, the Company will pay fixed prices ranging from $2.71 to $3.95 per gallon.</w:t>
      </w:r>
    </w:p>
    <w:p>
      <w:pPr>
        <w:spacing w:after="0" w:line="10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At March 31, 2023 and December 31, 2022, the fair value liability of the fuel hedge contracts were estimated to be $2,693 and $638, respectively, and are recorded in accrued expenses. For fuel hedge contracts considered to be highly effective, the losses reclassified to earnings from changes in fair value of derivatives, net of cash settlements and taxes, for the three months ended March 31, 2023 were $370. The remaining gains and losses included in accumulated other comprehensive loss at March 31, 2023 will be reclassified into earnings over the next seven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hedge contracts</w:t>
      </w:r>
    </w:p>
    <w:p>
      <w:pPr>
        <w:spacing w:after="0" w:line="15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is exposed to certain market risks, including foreign currency exchange rate risks related to the purchase of new vessel build materials in Europe. The Company enters into foreign currency exchange forward contracts to hedge the risk that fluctuations in the Euro in relation to the U.S. Dollar could have an adverse impact on cash flows associated with its equipment builds.</w:t>
      </w:r>
    </w:p>
    <w:p>
      <w:pPr>
        <w:spacing w:after="0" w:line="10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of March 31, 2023, the Company was party to various foreign exchange forward contract arrangements to hedge the purchase of materials through November 2024. As of March 31, 2023, there were 26.0 million Euro of payments remaining on these hedge contracts. Under these hedge contracts, the Company will pay fixed prices ranging from $1.00 to $1.13 per Euro.</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March 31, 2023 and December 31, 2022, the fair value asset of foreign currency exchange hedge contracts were estimated to be $995 and $831, respectively, and are recorded in other current assets. At December 31, 2022, the fair value liability of foreign currency exchange hedge contracts was estimated to be $6 and is recorded in accrued expenses. For foreign currency exchange hedge contracts considered to be highly effective, the gains reclassified to earnings from changes in fair value of derivatives, net of cash settlements and taxes, for the three months ended March 31, 2023 were $42. The remaining gains and losses included in accumulated other comprehensive loss at March 31, 2023 will be reclassified into earnings over the next twenty months, corresponding to the period during which the hedged currency is expected to be utilized. Changes in the fair value of foreign currency exchange hedge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both"/>
        <w:ind w:right="500"/>
        <w:spacing w:after="0" w:line="263" w:lineRule="auto"/>
        <w:rPr>
          <w:sz w:val="20"/>
          <w:szCs w:val="20"/>
          <w:color w:val="auto"/>
        </w:rPr>
      </w:pPr>
      <w:r>
        <w:rPr>
          <w:rFonts w:ascii="Arial" w:cs="Arial" w:eastAsia="Arial" w:hAnsi="Arial"/>
          <w:sz w:val="18"/>
          <w:szCs w:val="18"/>
          <w:color w:val="auto"/>
        </w:rPr>
        <w:t>contracts not considered highly effective are recorded as other expenses in the Statement of Operations. The fair values of foreign currency exchange hedges are corroborated using inputs that are readily observable in public markets; therefore, the Company determines the fair value of these foreign currency exchange hedges using Level 2 inputs.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716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March 31,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160" w:type="dxa"/>
            <w:vAlign w:val="bottom"/>
          </w:tcPr>
          <w:p>
            <w:pPr>
              <w:spacing w:after="0"/>
              <w:rPr>
                <w:sz w:val="14"/>
                <w:szCs w:val="14"/>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Derivatives:</w:t>
            </w:r>
          </w:p>
        </w:tc>
        <w:tc>
          <w:tcPr>
            <w:tcW w:w="1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Fuel Hedge Contracts</w:t>
            </w: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Reclassification of derivative losses (gains) to earnings—net of tax</w:t>
            </w:r>
          </w:p>
        </w:tc>
        <w:tc>
          <w:tcPr>
            <w:tcW w:w="1220" w:type="dxa"/>
            <w:vAlign w:val="bottom"/>
            <w:shd w:val="clear" w:color="auto" w:fill="CFF0FC"/>
          </w:tcPr>
          <w:p>
            <w:pPr>
              <w:jc w:val="right"/>
              <w:ind w:right="1033"/>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(2,481 )</w:t>
            </w:r>
          </w:p>
        </w:tc>
      </w:tr>
      <w:tr>
        <w:trPr>
          <w:trHeight w:val="237"/>
        </w:trPr>
        <w:tc>
          <w:tcPr>
            <w:tcW w:w="7160" w:type="dxa"/>
            <w:vAlign w:val="bottom"/>
          </w:tcPr>
          <w:p>
            <w:pPr>
              <w:ind w:left="200"/>
              <w:spacing w:after="0"/>
              <w:rPr>
                <w:sz w:val="20"/>
                <w:szCs w:val="20"/>
                <w:color w:val="auto"/>
              </w:rPr>
            </w:pPr>
            <w:r>
              <w:rPr>
                <w:rFonts w:ascii="Arial" w:cs="Arial" w:eastAsia="Arial" w:hAnsi="Arial"/>
                <w:sz w:val="18"/>
                <w:szCs w:val="18"/>
                <w:color w:val="auto"/>
              </w:rPr>
              <w:t>Change in fair value of derivatives—net of tax</w:t>
            </w:r>
          </w:p>
        </w:tc>
        <w:tc>
          <w:tcPr>
            <w:tcW w:w="122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(1,906 )</w:t>
            </w:r>
          </w:p>
        </w:tc>
        <w:tc>
          <w:tcPr>
            <w:tcW w:w="5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8,716</w:t>
            </w:r>
          </w:p>
        </w:tc>
        <w:tc>
          <w:tcPr>
            <w:tcW w:w="100" w:type="dxa"/>
            <w:vAlign w:val="bottom"/>
          </w:tcPr>
          <w:p>
            <w:pPr>
              <w:spacing w:after="0"/>
              <w:rPr>
                <w:sz w:val="20"/>
                <w:szCs w:val="20"/>
                <w:color w:val="auto"/>
              </w:rPr>
            </w:pPr>
          </w:p>
        </w:tc>
      </w:tr>
      <w:tr>
        <w:trPr>
          <w:trHeight w:val="277"/>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change in cash flow derivative fuel hedges—net of tax</w:t>
            </w:r>
          </w:p>
        </w:tc>
        <w:tc>
          <w:tcPr>
            <w:tcW w:w="1220" w:type="dxa"/>
            <w:vAlign w:val="bottom"/>
            <w:tcBorders>
              <w:top w:val="single" w:sz="8" w:color="auto"/>
              <w:bottom w:val="single" w:sz="8" w:color="auto"/>
            </w:tcBorders>
            <w:shd w:val="clear" w:color="auto" w:fill="CFF0FC"/>
          </w:tcPr>
          <w:p>
            <w:pPr>
              <w:jc w:val="right"/>
              <w:ind w:right="1033"/>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Foreign Currency Exchange Hedge Contracts</w:t>
            </w: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Reclassification of derivative losses (gains) to earnings—net of tax</w:t>
            </w:r>
          </w:p>
        </w:tc>
        <w:tc>
          <w:tcPr>
            <w:tcW w:w="1220" w:type="dxa"/>
            <w:vAlign w:val="bottom"/>
            <w:shd w:val="clear" w:color="auto" w:fill="CFF0FC"/>
          </w:tcPr>
          <w:p>
            <w:pPr>
              <w:jc w:val="right"/>
              <w:ind w:right="1033"/>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(42 )</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160" w:type="dxa"/>
            <w:vAlign w:val="bottom"/>
          </w:tcPr>
          <w:p>
            <w:pPr>
              <w:ind w:left="200"/>
              <w:spacing w:after="0"/>
              <w:rPr>
                <w:sz w:val="20"/>
                <w:szCs w:val="20"/>
                <w:color w:val="auto"/>
              </w:rPr>
            </w:pPr>
            <w:r>
              <w:rPr>
                <w:rFonts w:ascii="Arial" w:cs="Arial" w:eastAsia="Arial" w:hAnsi="Arial"/>
                <w:sz w:val="18"/>
                <w:szCs w:val="18"/>
                <w:color w:val="auto"/>
              </w:rPr>
              <w:t>Change in fair value of derivatives—net of tax</w:t>
            </w:r>
          </w:p>
        </w:tc>
        <w:tc>
          <w:tcPr>
            <w:tcW w:w="1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6"/>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change in cash flow derivative foreign currency hedges—net of tax</w:t>
            </w:r>
          </w:p>
        </w:tc>
        <w:tc>
          <w:tcPr>
            <w:tcW w:w="1220" w:type="dxa"/>
            <w:vAlign w:val="bottom"/>
            <w:tcBorders>
              <w:top w:val="single" w:sz="8" w:color="auto"/>
              <w:bottom w:val="single" w:sz="8" w:color="auto"/>
            </w:tcBorders>
            <w:shd w:val="clear" w:color="auto" w:fill="CFF0FC"/>
          </w:tcPr>
          <w:p>
            <w:pPr>
              <w:jc w:val="right"/>
              <w:ind w:right="1033"/>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32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160" w:type="dxa"/>
            <w:vAlign w:val="bottom"/>
          </w:tcPr>
          <w:p>
            <w:pPr>
              <w:ind w:left="20"/>
              <w:spacing w:after="0"/>
              <w:rPr>
                <w:sz w:val="20"/>
                <w:szCs w:val="20"/>
                <w:color w:val="auto"/>
              </w:rPr>
            </w:pPr>
            <w:r>
              <w:rPr>
                <w:rFonts w:ascii="Arial" w:cs="Arial" w:eastAsia="Arial" w:hAnsi="Arial"/>
                <w:sz w:val="18"/>
                <w:szCs w:val="18"/>
                <w:color w:val="auto"/>
              </w:rPr>
              <w:t>Total net change in cash flow derivative hedges - net of tax</w:t>
            </w:r>
          </w:p>
        </w:tc>
        <w:tc>
          <w:tcPr>
            <w:tcW w:w="1220" w:type="dxa"/>
            <w:vAlign w:val="bottom"/>
          </w:tcPr>
          <w:p>
            <w:pPr>
              <w:jc w:val="right"/>
              <w:ind w:right="1033"/>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(1,409 )</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6,235</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-856615</wp:posOffset>
            </wp:positionV>
            <wp:extent cx="1379855"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9855" cy="17970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-205105</wp:posOffset>
            </wp:positionV>
            <wp:extent cx="1379855"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9855" cy="20574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Adjustments reclassified from accumulated balances of other comprehensive loss (income) to earnings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jc w:val="right"/>
              <w:ind w:right="581"/>
              <w:spacing w:after="0"/>
              <w:rPr>
                <w:sz w:val="20"/>
                <w:szCs w:val="20"/>
                <w:color w:val="auto"/>
              </w:rPr>
            </w:pPr>
            <w:r>
              <w:rPr>
                <w:rFonts w:ascii="Arial" w:cs="Arial" w:eastAsia="Arial" w:hAnsi="Arial"/>
                <w:sz w:val="14"/>
                <w:szCs w:val="14"/>
                <w:b w:val="1"/>
                <w:bCs w:val="1"/>
                <w:color w:val="auto"/>
              </w:rPr>
              <w:t>Three Months Ended</w:t>
            </w:r>
          </w:p>
        </w:tc>
      </w:tr>
      <w:tr>
        <w:trPr>
          <w:trHeight w:val="228"/>
        </w:trPr>
        <w:tc>
          <w:tcPr>
            <w:tcW w:w="40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4080" w:type="dxa"/>
            <w:vAlign w:val="bottom"/>
          </w:tcPr>
          <w:p>
            <w:pPr>
              <w:spacing w:after="0"/>
              <w:rPr>
                <w:sz w:val="20"/>
                <w:szCs w:val="20"/>
                <w:color w:val="auto"/>
              </w:rPr>
            </w:pPr>
          </w:p>
        </w:tc>
        <w:tc>
          <w:tcPr>
            <w:tcW w:w="4620" w:type="dxa"/>
            <w:vAlign w:val="bottom"/>
            <w:gridSpan w:val="2"/>
          </w:tcPr>
          <w:p>
            <w:pPr>
              <w:ind w:left="20"/>
              <w:spacing w:after="0"/>
              <w:rPr>
                <w:sz w:val="20"/>
                <w:szCs w:val="20"/>
                <w:color w:val="auto"/>
              </w:rPr>
            </w:pPr>
            <w:r>
              <w:rPr>
                <w:rFonts w:ascii="Arial" w:cs="Arial" w:eastAsia="Arial" w:hAnsi="Arial"/>
                <w:sz w:val="14"/>
                <w:szCs w:val="14"/>
                <w:b w:val="1"/>
                <w:bCs w:val="1"/>
                <w:color w:val="auto"/>
              </w:rPr>
              <w:t>Statement of Operations Location</w:t>
            </w:r>
          </w:p>
        </w:tc>
        <w:tc>
          <w:tcPr>
            <w:tcW w:w="260" w:type="dxa"/>
            <w:vAlign w:val="bottom"/>
          </w:tcPr>
          <w:p>
            <w:pPr>
              <w:spacing w:after="0"/>
              <w:rPr>
                <w:sz w:val="20"/>
                <w:szCs w:val="20"/>
                <w:color w:val="auto"/>
              </w:rPr>
            </w:pPr>
          </w:p>
        </w:tc>
        <w:tc>
          <w:tcPr>
            <w:tcW w:w="840" w:type="dxa"/>
            <w:vAlign w:val="bottom"/>
          </w:tcPr>
          <w:p>
            <w:pPr>
              <w:jc w:val="right"/>
              <w:ind w:right="31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0"/>
                <w:szCs w:val="20"/>
                <w:color w:val="auto"/>
              </w:rPr>
            </w:pPr>
          </w:p>
        </w:tc>
      </w:tr>
      <w:tr>
        <w:trPr>
          <w:trHeight w:val="237"/>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Derivatives:</w:t>
            </w:r>
          </w:p>
        </w:tc>
        <w:tc>
          <w:tcPr>
            <w:tcW w:w="44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080" w:type="dxa"/>
            <w:vAlign w:val="bottom"/>
          </w:tcPr>
          <w:p>
            <w:pPr>
              <w:ind w:left="200"/>
              <w:spacing w:after="0"/>
              <w:rPr>
                <w:sz w:val="20"/>
                <w:szCs w:val="20"/>
                <w:color w:val="auto"/>
              </w:rPr>
            </w:pPr>
            <w:r>
              <w:rPr>
                <w:rFonts w:ascii="Arial" w:cs="Arial" w:eastAsia="Arial" w:hAnsi="Arial"/>
                <w:sz w:val="18"/>
                <w:szCs w:val="18"/>
                <w:color w:val="auto"/>
              </w:rPr>
              <w:t>Fuel hedge contracts</w:t>
            </w: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Costs of contract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495</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(3,319 )</w:t>
            </w:r>
          </w:p>
        </w:tc>
      </w:tr>
      <w:tr>
        <w:trPr>
          <w:trHeight w:val="249"/>
        </w:trPr>
        <w:tc>
          <w:tcPr>
            <w:tcW w:w="4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exchange hedge contracts</w:t>
            </w:r>
          </w:p>
        </w:tc>
        <w:tc>
          <w:tcPr>
            <w:tcW w:w="4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expense (income)</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(52 )</w:t>
            </w:r>
          </w:p>
        </w:tc>
        <w:tc>
          <w:tcPr>
            <w:tcW w:w="3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4080" w:type="dxa"/>
            <w:vAlign w:val="bottom"/>
          </w:tcPr>
          <w:p>
            <w:pPr>
              <w:spacing w:after="0"/>
              <w:rPr>
                <w:sz w:val="20"/>
                <w:szCs w:val="20"/>
                <w:color w:val="auto"/>
              </w:rPr>
            </w:pP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Income tax benefit (provision)</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(838 )</w:t>
            </w:r>
          </w:p>
        </w:tc>
      </w:tr>
      <w:tr>
        <w:trPr>
          <w:trHeight w:val="277"/>
        </w:trPr>
        <w:tc>
          <w:tcPr>
            <w:tcW w:w="4080" w:type="dxa"/>
            <w:vAlign w:val="bottom"/>
            <w:tcBorders>
              <w:top w:val="single" w:sz="8" w:color="CFF0FC"/>
              <w:bottom w:val="single" w:sz="8" w:color="CFF0FC"/>
            </w:tcBorders>
            <w:shd w:val="clear" w:color="auto" w:fill="CFF0FC"/>
          </w:tcPr>
          <w:p>
            <w:pPr>
              <w:spacing w:after="0"/>
              <w:rPr>
                <w:sz w:val="24"/>
                <w:szCs w:val="24"/>
                <w:color w:val="auto"/>
              </w:rPr>
            </w:pPr>
          </w:p>
        </w:tc>
        <w:tc>
          <w:tcPr>
            <w:tcW w:w="448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-187960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4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the revolving credit agreement approximates fair value. In May 2021, the Company sold $325,000 of the 2029 Notes, which were outstanding at March 31, 2023 (see Note 4, Long-term debt). The fair value of the 2029 Notes was $245,622 at March 31, 2023,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8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On May 5, 2021, the Company’s stockholders approved the Great Lakes Dredge &amp; Dock Corporation 2021 Long-Term Incentive Plan (the “Incentive Plan”), which previously had been approved by the Company’s board of directors subject to stockholder approval. The Incentive Plan replaces the 2017 Long-Term Incentive Plan (the “Prior Plan”) and is largely based on the Prior Plan, but with updates to the available shares and other administrative changes. The Incentive Plan permits the granting of stock options, stock appreciation rights, restricted stock and restricted stock units to the Company’s employees and directors for up to 1.5 million shares of common stock, plus the number of shares that remained available for future grant under the Prior Plan as of the effectiveness of the Incentive Plan.</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Prior Plan permitted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 The Company may also issue share-based compensation as inducement awards to new employees upon approval of the Board of Directors and/or the applicable committee or committees thereof, as may be required.</w:t>
      </w:r>
    </w:p>
    <w:p>
      <w:pPr>
        <w:spacing w:after="0" w:line="11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three months ended March 31, 2023, the Company granted 945 thousand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$237 and $552 for the three months ended March 31, 2023 and 2022, respectively.</w:t>
      </w:r>
    </w:p>
    <w:p>
      <w:pPr>
        <w:spacing w:after="0" w:line="102"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02"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At March 31, 2023, the Company had $327,147 of remaining performance obligations, which the Company refers to as total dredging backlog. Total backlog does not include approximately $50,000 of performance obligations related to offshore wind contracts. Approximately 77% of the Company’s dredging backlog is expected to be completed in 2023 with the remaining balance expected to be completed in 2024.</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presents our revenue disaggregated by several categories.</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Domestically, the Company’s work generally is performed in coastal waterways and deep-water ports. The U.S. dredging market consists of four primary types of work: capital, coastal protection, maintenance and rivers &amp; lakes. Foreign projects typically involve capital work.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work, for the periods indicated, were as follows:</w:t>
      </w:r>
    </w:p>
    <w:p>
      <w:pPr>
        <w:spacing w:after="0" w:line="190"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center"/>
              <w:ind w:left="537"/>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3"/>
        </w:trPr>
        <w:tc>
          <w:tcPr>
            <w:tcW w:w="4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center"/>
              <w:ind w:left="977"/>
              <w:spacing w:after="0"/>
              <w:rPr>
                <w:sz w:val="20"/>
                <w:szCs w:val="20"/>
                <w:color w:val="auto"/>
              </w:rPr>
            </w:pPr>
            <w:r>
              <w:rPr>
                <w:rFonts w:ascii="Arial" w:cs="Arial" w:eastAsia="Arial" w:hAnsi="Arial"/>
                <w:sz w:val="14"/>
                <w:szCs w:val="14"/>
                <w:b w:val="1"/>
                <w:bCs w:val="1"/>
                <w:color w:val="auto"/>
                <w:w w:val="99"/>
              </w:rPr>
              <w:t>March 31,</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
        </w:trPr>
        <w:tc>
          <w:tcPr>
            <w:tcW w:w="4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428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380" w:type="dxa"/>
            <w:vAlign w:val="bottom"/>
          </w:tcPr>
          <w:p>
            <w:pPr>
              <w:spacing w:after="0"/>
              <w:rPr>
                <w:sz w:val="17"/>
                <w:szCs w:val="17"/>
                <w:color w:val="auto"/>
              </w:rPr>
            </w:pPr>
          </w:p>
        </w:tc>
        <w:tc>
          <w:tcPr>
            <w:tcW w:w="1240" w:type="dxa"/>
            <w:vAlign w:val="bottom"/>
          </w:tcPr>
          <w:p>
            <w:pPr>
              <w:jc w:val="right"/>
              <w:ind w:right="577"/>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r>
      <w:tr>
        <w:trPr>
          <w:trHeight w:val="25"/>
        </w:trPr>
        <w:tc>
          <w:tcPr>
            <w:tcW w:w="4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7"/>
        </w:trPr>
        <w:tc>
          <w:tcPr>
            <w:tcW w:w="4280" w:type="dxa"/>
            <w:vAlign w:val="bottom"/>
          </w:tcPr>
          <w:p>
            <w:pPr>
              <w:ind w:left="180"/>
              <w:spacing w:after="0"/>
              <w:rPr>
                <w:sz w:val="20"/>
                <w:szCs w:val="20"/>
                <w:color w:val="auto"/>
              </w:rPr>
            </w:pPr>
            <w:r>
              <w:rPr>
                <w:rFonts w:ascii="Arial" w:cs="Arial" w:eastAsia="Arial" w:hAnsi="Arial"/>
                <w:sz w:val="18"/>
                <w:szCs w:val="18"/>
                <w:color w:val="auto"/>
              </w:rPr>
              <w:t>Capital—U.S.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32,475</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101,010</w:t>
            </w:r>
          </w:p>
        </w:tc>
        <w:tc>
          <w:tcPr>
            <w:tcW w:w="80" w:type="dxa"/>
            <w:vAlign w:val="bottom"/>
          </w:tcPr>
          <w:p>
            <w:pPr>
              <w:spacing w:after="0"/>
              <w:rPr>
                <w:sz w:val="20"/>
                <w:szCs w:val="20"/>
                <w:color w:val="auto"/>
              </w:rPr>
            </w:pPr>
          </w:p>
        </w:tc>
      </w:tr>
      <w:tr>
        <w:trPr>
          <w:trHeight w:val="249"/>
        </w:trPr>
        <w:tc>
          <w:tcPr>
            <w:tcW w:w="4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Coastal protection</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51,305</w:t>
            </w:r>
          </w:p>
        </w:tc>
        <w:tc>
          <w:tcPr>
            <w:tcW w:w="4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71,917</w:t>
            </w:r>
          </w:p>
        </w:tc>
        <w:tc>
          <w:tcPr>
            <w:tcW w:w="80" w:type="dxa"/>
            <w:vAlign w:val="bottom"/>
            <w:shd w:val="clear" w:color="auto" w:fill="CFF0FC"/>
          </w:tcPr>
          <w:p>
            <w:pPr>
              <w:spacing w:after="0"/>
              <w:rPr>
                <w:sz w:val="21"/>
                <w:szCs w:val="21"/>
                <w:color w:val="auto"/>
              </w:rPr>
            </w:pPr>
          </w:p>
        </w:tc>
      </w:tr>
      <w:tr>
        <w:trPr>
          <w:trHeight w:val="237"/>
        </w:trPr>
        <w:tc>
          <w:tcPr>
            <w:tcW w:w="428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71,928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19,812</w:t>
            </w:r>
          </w:p>
        </w:tc>
        <w:tc>
          <w:tcPr>
            <w:tcW w:w="80" w:type="dxa"/>
            <w:vAlign w:val="bottom"/>
          </w:tcPr>
          <w:p>
            <w:pPr>
              <w:spacing w:after="0"/>
              <w:rPr>
                <w:sz w:val="20"/>
                <w:szCs w:val="20"/>
                <w:color w:val="auto"/>
              </w:rPr>
            </w:pPr>
          </w:p>
        </w:tc>
      </w:tr>
      <w:tr>
        <w:trPr>
          <w:trHeight w:val="243"/>
        </w:trPr>
        <w:tc>
          <w:tcPr>
            <w:tcW w:w="42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Rivers &amp; lakes</w:t>
            </w: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2,336</w:t>
            </w:r>
          </w:p>
        </w:tc>
        <w:tc>
          <w:tcPr>
            <w:tcW w:w="4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4280" w:type="dxa"/>
            <w:vAlign w:val="bottom"/>
          </w:tcPr>
          <w:p>
            <w:pPr>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158,044</w:t>
            </w:r>
          </w:p>
        </w:tc>
        <w:tc>
          <w:tcPr>
            <w:tcW w:w="4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194,349</w:t>
            </w:r>
          </w:p>
        </w:tc>
        <w:tc>
          <w:tcPr>
            <w:tcW w:w="80" w:type="dxa"/>
            <w:vAlign w:val="bottom"/>
          </w:tcPr>
          <w:p>
            <w:pPr>
              <w:spacing w:after="0"/>
              <w:rPr>
                <w:sz w:val="21"/>
                <w:szCs w:val="21"/>
                <w:color w:val="auto"/>
              </w:rPr>
            </w:pPr>
          </w:p>
        </w:tc>
      </w:tr>
      <w:tr>
        <w:trPr>
          <w:trHeight w:val="20"/>
        </w:trPr>
        <w:tc>
          <w:tcPr>
            <w:tcW w:w="4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-187960</wp:posOffset>
            </wp:positionV>
            <wp:extent cx="51435"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customer, for the periods indicated,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center"/>
              <w:ind w:left="538"/>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8"/>
        </w:trPr>
        <w:tc>
          <w:tcPr>
            <w:tcW w:w="17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978"/>
              <w:spacing w:after="0"/>
              <w:rPr>
                <w:sz w:val="20"/>
                <w:szCs w:val="20"/>
                <w:color w:val="auto"/>
              </w:rPr>
            </w:pPr>
            <w:r>
              <w:rPr>
                <w:rFonts w:ascii="Arial" w:cs="Arial" w:eastAsia="Arial" w:hAnsi="Arial"/>
                <w:sz w:val="14"/>
                <w:szCs w:val="14"/>
                <w:b w:val="1"/>
                <w:bCs w:val="1"/>
                <w:color w:val="auto"/>
                <w:w w:val="99"/>
              </w:rPr>
              <w:t>March 31,</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1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6"/>
        </w:trPr>
        <w:tc>
          <w:tcPr>
            <w:tcW w:w="1700" w:type="dxa"/>
            <w:vAlign w:val="bottom"/>
          </w:tcPr>
          <w:p>
            <w:pPr>
              <w:spacing w:after="0"/>
              <w:rPr>
                <w:sz w:val="20"/>
                <w:szCs w:val="20"/>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1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3000" w:type="dxa"/>
            <w:vAlign w:val="bottom"/>
          </w:tcPr>
          <w:p>
            <w:pPr>
              <w:ind w:left="180"/>
              <w:spacing w:after="0"/>
              <w:rPr>
                <w:sz w:val="20"/>
                <w:szCs w:val="20"/>
                <w:color w:val="auto"/>
              </w:rPr>
            </w:pPr>
            <w:r>
              <w:rPr>
                <w:rFonts w:ascii="Arial" w:cs="Arial" w:eastAsia="Arial" w:hAnsi="Arial"/>
                <w:sz w:val="18"/>
                <w:szCs w:val="18"/>
                <w:color w:val="auto"/>
              </w:rPr>
              <w:t>Federal government</w:t>
            </w:r>
          </w:p>
        </w:tc>
        <w:tc>
          <w:tcPr>
            <w:tcW w:w="16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142,162</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167,574</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State and local government</w:t>
            </w:r>
          </w:p>
        </w:tc>
        <w:tc>
          <w:tcPr>
            <w:tcW w:w="1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15,882</w:t>
            </w:r>
          </w:p>
        </w:tc>
        <w:tc>
          <w:tcPr>
            <w:tcW w:w="4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24,601</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00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Private</w:t>
            </w:r>
          </w:p>
        </w:tc>
        <w:tc>
          <w:tcPr>
            <w:tcW w:w="12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80" w:type="dxa"/>
            <w:vAlign w:val="bottom"/>
            <w:tcBorders>
              <w:bottom w:val="single" w:sz="8" w:color="CFF0FC"/>
            </w:tcBorders>
          </w:tcPr>
          <w:p>
            <w:pPr>
              <w:spacing w:after="0"/>
              <w:rPr>
                <w:sz w:val="20"/>
                <w:szCs w:val="20"/>
                <w:color w:val="auto"/>
              </w:rPr>
            </w:pPr>
          </w:p>
        </w:tc>
        <w:tc>
          <w:tcPr>
            <w:tcW w:w="1680" w:type="dxa"/>
            <w:vAlign w:val="bottom"/>
          </w:tcPr>
          <w:p>
            <w:pPr>
              <w:spacing w:after="0"/>
              <w:rPr>
                <w:sz w:val="20"/>
                <w:szCs w:val="20"/>
                <w:color w:val="auto"/>
              </w:rPr>
            </w:pPr>
          </w:p>
        </w:tc>
      </w:tr>
      <w:tr>
        <w:trPr>
          <w:trHeight w:val="283"/>
        </w:trPr>
        <w:tc>
          <w:tcPr>
            <w:tcW w:w="1700" w:type="dxa"/>
            <w:vAlign w:val="bottom"/>
          </w:tcPr>
          <w:p>
            <w:pPr>
              <w:spacing w:after="0"/>
              <w:rPr>
                <w:sz w:val="24"/>
                <w:szCs w:val="24"/>
                <w:color w:val="auto"/>
              </w:rPr>
            </w:pPr>
          </w:p>
        </w:tc>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158,044</w:t>
            </w:r>
          </w:p>
        </w:tc>
        <w:tc>
          <w:tcPr>
            <w:tcW w:w="4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194,349</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629"/>
        </w:trPr>
        <w:tc>
          <w:tcPr>
            <w:tcW w:w="17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30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-504825</wp:posOffset>
            </wp:positionV>
            <wp:extent cx="51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-487680</wp:posOffset>
            </wp:positionV>
            <wp:extent cx="51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-668020</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-487680</wp:posOffset>
            </wp:positionV>
            <wp:extent cx="431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-668020</wp:posOffset>
            </wp:positionV>
            <wp:extent cx="431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Accounts receivable at March 31, 2023 and December 31, 2022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1720" w:type="dxa"/>
            <w:vAlign w:val="bottom"/>
            <w:gridSpan w:val="8"/>
          </w:tcPr>
          <w:p>
            <w:pPr>
              <w:jc w:val="right"/>
              <w:ind w:right="681"/>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7"/>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4,983</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4,682</w:t>
            </w: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Contracts in progress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18,146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32,546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Retainage</w:t>
            </w:r>
          </w:p>
        </w:tc>
        <w:tc>
          <w:tcPr>
            <w:tcW w:w="2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10,087</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8,226</w:t>
            </w: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33,216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45,454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credit losses</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(564 )</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(564 )</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85"/>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accounts receivable—net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32,652</w:t>
            </w: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44,890</w:t>
            </w:r>
          </w:p>
        </w:tc>
        <w:tc>
          <w:tcPr>
            <w:tcW w:w="80" w:type="dxa"/>
            <w:vAlign w:val="bottom"/>
            <w:tcBorders>
              <w:top w:val="single" w:sz="8" w:color="CFF0FC"/>
            </w:tcBorders>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68"/>
        </w:trPr>
        <w:tc>
          <w:tcPr>
            <w:tcW w:w="7320" w:type="dxa"/>
            <w:vAlign w:val="bottom"/>
            <w:gridSpan w:val="4"/>
          </w:tcPr>
          <w:p>
            <w:pPr>
              <w:jc w:val="right"/>
              <w:ind w:right="70"/>
              <w:spacing w:after="0"/>
              <w:rPr>
                <w:sz w:val="20"/>
                <w:szCs w:val="20"/>
                <w:color w:val="auto"/>
              </w:rPr>
            </w:pPr>
            <w:r>
              <w:rPr>
                <w:rFonts w:ascii="Arial" w:cs="Arial" w:eastAsia="Arial" w:hAnsi="Arial"/>
                <w:sz w:val="18"/>
                <w:szCs w:val="18"/>
                <w:color w:val="auto"/>
                <w:w w:val="89"/>
              </w:rPr>
              <w:t>The components of contracts in progress at March 31, 2023 and December 31, 2022 are as follows: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1"/>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4"/>
          </w:tcPr>
          <w:p>
            <w:pPr>
              <w:jc w:val="right"/>
              <w:ind w:right="201"/>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7"/>
        </w:trPr>
        <w:tc>
          <w:tcPr>
            <w:tcW w:w="1140" w:type="dxa"/>
            <w:vAlign w:val="bottom"/>
          </w:tcPr>
          <w:p>
            <w:pPr>
              <w:spacing w:after="0"/>
              <w:rPr>
                <w:sz w:val="20"/>
                <w:szCs w:val="20"/>
                <w:color w:val="auto"/>
              </w:rPr>
            </w:pPr>
          </w:p>
        </w:tc>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Costs and earnings in excess of billings:</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5960" w:type="dxa"/>
            <w:vAlign w:val="bottom"/>
            <w:gridSpan w:val="2"/>
          </w:tcPr>
          <w:p>
            <w:pPr>
              <w:ind w:left="180"/>
              <w:spacing w:after="0"/>
              <w:rPr>
                <w:sz w:val="20"/>
                <w:szCs w:val="20"/>
                <w:color w:val="auto"/>
              </w:rPr>
            </w:pPr>
            <w:r>
              <w:rPr>
                <w:rFonts w:ascii="Arial" w:cs="Arial" w:eastAsia="Arial" w:hAnsi="Arial"/>
                <w:sz w:val="18"/>
                <w:szCs w:val="18"/>
                <w:color w:val="auto"/>
              </w:rPr>
              <w:t>Costs and earnings for contracts in progress</w:t>
            </w:r>
          </w:p>
        </w:tc>
        <w:tc>
          <w:tcPr>
            <w:tcW w:w="2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343,316</w:t>
            </w:r>
          </w:p>
        </w:tc>
        <w:tc>
          <w:tcPr>
            <w:tcW w:w="140" w:type="dxa"/>
            <w:vAlign w:val="bottom"/>
          </w:tcPr>
          <w:p>
            <w:pPr>
              <w:spacing w:after="0"/>
              <w:rPr>
                <w:sz w:val="20"/>
                <w:szCs w:val="20"/>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262,125</w:t>
            </w:r>
          </w:p>
        </w:tc>
        <w:tc>
          <w:tcPr>
            <w:tcW w:w="8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59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Amounts billed</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gridSpan w:val="4"/>
            <w:shd w:val="clear" w:color="auto" w:fill="CFF0FC"/>
          </w:tcPr>
          <w:p>
            <w:pPr>
              <w:jc w:val="right"/>
              <w:ind w:right="1"/>
              <w:spacing w:after="0"/>
              <w:rPr>
                <w:sz w:val="20"/>
                <w:szCs w:val="20"/>
                <w:color w:val="auto"/>
              </w:rPr>
            </w:pPr>
            <w:r>
              <w:rPr>
                <w:rFonts w:ascii="Arial" w:cs="Arial" w:eastAsia="Arial" w:hAnsi="Arial"/>
                <w:sz w:val="18"/>
                <w:szCs w:val="18"/>
                <w:color w:val="auto"/>
              </w:rPr>
              <w:t>(276,822 )</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(210,068 )</w:t>
            </w:r>
          </w:p>
        </w:tc>
      </w:tr>
      <w:tr>
        <w:trPr>
          <w:trHeight w:val="237"/>
        </w:trPr>
        <w:tc>
          <w:tcPr>
            <w:tcW w:w="1140" w:type="dxa"/>
            <w:vAlign w:val="bottom"/>
          </w:tcPr>
          <w:p>
            <w:pPr>
              <w:spacing w:after="0"/>
              <w:rPr>
                <w:sz w:val="20"/>
                <w:szCs w:val="20"/>
                <w:color w:val="auto"/>
              </w:rPr>
            </w:pPr>
          </w:p>
        </w:tc>
        <w:tc>
          <w:tcPr>
            <w:tcW w:w="5960" w:type="dxa"/>
            <w:vAlign w:val="bottom"/>
            <w:tcBorders>
              <w:top w:val="single" w:sz="8" w:color="CFF0FC"/>
            </w:tcBorders>
            <w:gridSpan w:val="2"/>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66,494</w:t>
            </w:r>
          </w:p>
        </w:tc>
        <w:tc>
          <w:tcPr>
            <w:tcW w:w="14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52,057</w:t>
            </w:r>
          </w:p>
        </w:tc>
        <w:tc>
          <w:tcPr>
            <w:tcW w:w="80" w:type="dxa"/>
            <w:vAlign w:val="bottom"/>
            <w:tcBorders>
              <w:top w:val="single" w:sz="8" w:color="CFF0FC"/>
            </w:tcBorders>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59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14,808</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14,972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2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81,302</w:t>
            </w:r>
          </w:p>
        </w:tc>
        <w:tc>
          <w:tcPr>
            <w:tcW w:w="140" w:type="dxa"/>
            <w:vAlign w:val="bottom"/>
          </w:tcPr>
          <w:p>
            <w:pPr>
              <w:spacing w:after="0"/>
              <w:rPr>
                <w:sz w:val="20"/>
                <w:szCs w:val="20"/>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67,029</w:t>
            </w:r>
          </w:p>
        </w:tc>
        <w:tc>
          <w:tcPr>
            <w:tcW w:w="8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5960" w:type="dxa"/>
            <w:vAlign w:val="bottom"/>
            <w:gridSpan w:val="2"/>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gridSpan w:val="2"/>
            <w:shd w:val="clear" w:color="auto" w:fill="CFF0FC"/>
          </w:tcPr>
          <w:p>
            <w:pPr>
              <w:spacing w:after="0"/>
              <w:rPr>
                <w:sz w:val="21"/>
                <w:szCs w:val="21"/>
                <w:color w:val="auto"/>
              </w:rPr>
            </w:pPr>
          </w:p>
        </w:tc>
        <w:tc>
          <w:tcPr>
            <w:tcW w:w="1100" w:type="dxa"/>
            <w:vAlign w:val="bottom"/>
            <w:gridSpan w:val="3"/>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Current portion of contract revenues in excess of billings</w:t>
            </w:r>
          </w:p>
        </w:tc>
        <w:tc>
          <w:tcPr>
            <w:tcW w:w="2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81,302</w:t>
            </w:r>
          </w:p>
        </w:tc>
        <w:tc>
          <w:tcPr>
            <w:tcW w:w="140" w:type="dxa"/>
            <w:vAlign w:val="bottom"/>
          </w:tcPr>
          <w:p>
            <w:pPr>
              <w:spacing w:after="0"/>
              <w:rPr>
                <w:sz w:val="20"/>
                <w:szCs w:val="20"/>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65,922</w:t>
            </w:r>
          </w:p>
        </w:tc>
        <w:tc>
          <w:tcPr>
            <w:tcW w:w="8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59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Long-term contract revenues in excess of billings</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1,107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2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81,302</w:t>
            </w:r>
          </w:p>
        </w:tc>
        <w:tc>
          <w:tcPr>
            <w:tcW w:w="140" w:type="dxa"/>
            <w:vAlign w:val="bottom"/>
          </w:tcPr>
          <w:p>
            <w:pPr>
              <w:spacing w:after="0"/>
              <w:rPr>
                <w:sz w:val="20"/>
                <w:szCs w:val="20"/>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67,029</w:t>
            </w:r>
          </w:p>
        </w:tc>
        <w:tc>
          <w:tcPr>
            <w:tcW w:w="8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40" w:type="dxa"/>
            <w:vAlign w:val="bottom"/>
          </w:tcPr>
          <w:p>
            <w:pPr>
              <w:spacing w:after="0"/>
              <w:rPr>
                <w:sz w:val="19"/>
                <w:szCs w:val="19"/>
                <w:color w:val="auto"/>
              </w:rPr>
            </w:pPr>
          </w:p>
        </w:tc>
        <w:tc>
          <w:tcPr>
            <w:tcW w:w="5960" w:type="dxa"/>
            <w:vAlign w:val="bottom"/>
            <w:gridSpan w:val="2"/>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7"/>
        </w:trPr>
        <w:tc>
          <w:tcPr>
            <w:tcW w:w="114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Billings in excess of costs and earnings: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59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Amounts billed</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gridSpan w:val="4"/>
            <w:shd w:val="clear" w:color="auto" w:fill="CFF0FC"/>
          </w:tcPr>
          <w:p>
            <w:pPr>
              <w:jc w:val="right"/>
              <w:ind w:right="1"/>
              <w:spacing w:after="0"/>
              <w:rPr>
                <w:sz w:val="20"/>
                <w:szCs w:val="20"/>
                <w:color w:val="auto"/>
              </w:rPr>
            </w:pPr>
            <w:r>
              <w:rPr>
                <w:rFonts w:ascii="Arial" w:cs="Arial" w:eastAsia="Arial" w:hAnsi="Arial"/>
                <w:sz w:val="18"/>
                <w:szCs w:val="18"/>
                <w:color w:val="auto"/>
              </w:rPr>
              <w:t>(112,333 )</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(95,013 )</w:t>
            </w:r>
          </w:p>
        </w:tc>
      </w:tr>
      <w:tr>
        <w:trPr>
          <w:trHeight w:val="237"/>
        </w:trPr>
        <w:tc>
          <w:tcPr>
            <w:tcW w:w="1140" w:type="dxa"/>
            <w:vAlign w:val="bottom"/>
          </w:tcPr>
          <w:p>
            <w:pPr>
              <w:spacing w:after="0"/>
              <w:rPr>
                <w:sz w:val="20"/>
                <w:szCs w:val="20"/>
                <w:color w:val="auto"/>
              </w:rPr>
            </w:pPr>
          </w:p>
        </w:tc>
        <w:tc>
          <w:tcPr>
            <w:tcW w:w="5960" w:type="dxa"/>
            <w:vAlign w:val="bottom"/>
            <w:gridSpan w:val="2"/>
          </w:tcPr>
          <w:p>
            <w:pPr>
              <w:ind w:left="180"/>
              <w:spacing w:after="0"/>
              <w:rPr>
                <w:sz w:val="20"/>
                <w:szCs w:val="20"/>
                <w:color w:val="auto"/>
              </w:rPr>
            </w:pPr>
            <w:r>
              <w:rPr>
                <w:rFonts w:ascii="Arial" w:cs="Arial" w:eastAsia="Arial" w:hAnsi="Arial"/>
                <w:sz w:val="18"/>
                <w:szCs w:val="18"/>
                <w:color w:val="auto"/>
              </w:rPr>
              <w:t>Costs and earnings for contracts in progress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99,889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85,099</w:t>
            </w:r>
          </w:p>
        </w:tc>
        <w:tc>
          <w:tcPr>
            <w:tcW w:w="80" w:type="dxa"/>
            <w:vAlign w:val="bottom"/>
          </w:tcPr>
          <w:p>
            <w:pPr>
              <w:spacing w:after="0"/>
              <w:rPr>
                <w:sz w:val="20"/>
                <w:szCs w:val="20"/>
                <w:color w:val="auto"/>
              </w:rPr>
            </w:pPr>
          </w:p>
        </w:tc>
      </w:tr>
      <w:tr>
        <w:trPr>
          <w:trHeight w:val="276"/>
        </w:trPr>
        <w:tc>
          <w:tcPr>
            <w:tcW w:w="1140" w:type="dxa"/>
            <w:vAlign w:val="bottom"/>
          </w:tcPr>
          <w:p>
            <w:pPr>
              <w:spacing w:after="0"/>
              <w:rPr>
                <w:sz w:val="24"/>
                <w:szCs w:val="24"/>
                <w:color w:val="auto"/>
              </w:rPr>
            </w:pPr>
          </w:p>
        </w:tc>
        <w:tc>
          <w:tcPr>
            <w:tcW w:w="59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billings in excess of contract revenues</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(12,444</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(9,914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-3685540</wp:posOffset>
            </wp:positionV>
            <wp:extent cx="5143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-3685540</wp:posOffset>
            </wp:positionV>
            <wp:extent cx="4318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-3368040</wp:posOffset>
            </wp:positionV>
            <wp:extent cx="51435" cy="3771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3771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-3368040</wp:posOffset>
            </wp:positionV>
            <wp:extent cx="43180" cy="3771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3771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-1936750</wp:posOffset>
            </wp:positionV>
            <wp:extent cx="5969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-1936750</wp:posOffset>
            </wp:positionV>
            <wp:extent cx="51435"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-1619250</wp:posOffset>
            </wp:positionV>
            <wp:extent cx="5969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-1619250</wp:posOffset>
            </wp:positionV>
            <wp:extent cx="51435"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-993775</wp:posOffset>
            </wp:positionV>
            <wp:extent cx="5969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-993775</wp:posOffset>
            </wp:positionV>
            <wp:extent cx="5143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596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the first quarter of 2022, a revision to the estimated gross profit percentage of a project was recognized due to a positive settlement of a claim from the recently completed project resulting in a cumulative net impact on the project margin, which increased gross profit by $11,724.</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March 31, 2023 and December 31, 2022, costs to fulfill a contract with a customer recognized as an asset were $3,971 and $4,472, respectively, and are recorded in other current assets and other noncurrent assets. These costs relate to pre-contract and pre-construction activities. During the three months ended March 31, 2023 and 2022, the Company amortized $3,666 and $2,402, respectively, of pre-construction costs.</w:t>
      </w:r>
    </w:p>
    <w:p>
      <w:pPr>
        <w:spacing w:after="0" w:line="94"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Performance and bid bonds are customarily required for dredging and marine construction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Surety Company of America and Zurich American Insurance Company. Bid bonds are generally obtained for a percentage of bid value and amounts outstanding typically range from $1,000 to $10,000. At March 31, 2023, the Company had outstanding performance bonds with a notional amount of approximately $686,345. The revenue value remaining in dredging backlog totaled approximately $253,936.</w:t>
      </w:r>
    </w:p>
    <w:p>
      <w:pPr>
        <w:spacing w:after="0" w:line="11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5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On April 23, 2014, the Company completed the sale of NASDI, LLC (“NASDI”) and Yankee Environmental Services, LLC (“Yankee”), which together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comprised the Company’s historical demolition business, to a privately-owned demolition company. The Company has been involved in litigation relating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this sale, and on April 11, 2022 the Supreme Court of Delaware affirmed an earlier decision by Delaware Court of Chancery granting the Company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$21,934 judgment relating to the buyer's default of its obligations to indemnify the Company for losses resulting from failure to perform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of a surety performance bond. Following this judgment, the Company continued to aggressively pursue collection from the buyer on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owed under the sale and the indemnification. On April 24, 2023, the Company settled the remaining litigation related to the sale and subsequent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buyer's default of its obligations to indemnify the Company for losses resulting from failure to perform in accordance with terms of a surety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bond. The settlement calls for a one-time payment to the Company from entities affiliated with the buyer in the amount of $1,250, a disbursement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from a litigation escrow account in the amount of $680 and a release of funds retained by New York City to the Company in connection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pre-purchase construction project which is expected to be $800 after the payment of related expenses. The Company expects to record the proceeds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release any balance sheet exposure as the monies are received in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44"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Company leases certain operating equipment and office facilities under long-term operating leases expiring at various dates through 2030. The equipment leases contain renewal or purchase options that specify prices at the then fair value upon the expiration of the lease terms. The leases also contain default provisions that are triggered by an acceleration of debt maturity under the terms of the Company’s Amended Credit Agreement, or, in certain instances, cross default to other equipment leases and certain lease arrangements require that the Company maintain certain financial ratios comparable to those required by its Amended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 w:name="page16"/>
    <w:bookmarkEnd w:id="15"/>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5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w:t>
      </w:r>
    </w:p>
    <w:p>
      <w:pPr>
        <w:spacing w:after="0" w:line="9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2022 and in other securities filings by Great Lakes with the SEC.</w:t>
      </w:r>
    </w:p>
    <w:p>
      <w:pPr>
        <w:spacing w:after="0" w:line="8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Great Lakes is the largest provider of dredging services in the United States which is complemented with a long history of performing significant international projects. The Company is also fully engaged in expanding its core business into the rapidly developing offshore wind energy industry. The Company operates in one operating segment, which is also the Company’s one reportable segment and reporting unit.</w:t>
      </w:r>
    </w:p>
    <w:p>
      <w:pPr>
        <w:spacing w:after="0" w:line="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Dredging generally involves the enhancement or preservation of the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w:t>
      </w:r>
    </w:p>
    <w:p>
      <w:pPr>
        <w:spacing w:after="0" w:line="116"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The Company’s bid market is defined as the aggregate dollar value of domestic dredging projects on which we bid or could have bid if not for capacity constraints or other considerations (“bid market”). We experienced an average combined bid market share in the U.S. of 35% over the prior three years, including 39%, 59%, 21% and 30% of the domestic capital, coastal protection, maintenance and rivers &amp; lakes sectors, respectively.</w:t>
      </w:r>
    </w:p>
    <w:p>
      <w:pPr>
        <w:spacing w:after="0" w:line="81"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 Company’s largest domestic customer is the U.S. Army Corps of Engineers (the “Corps”), which has responsibility for federally funded projects related to navigation and flood control of U.S. waterways. In the three months ended March 31, 2023, our revenues earned from contracts with federal government agencies were approximately 90% of total revenue, up from our prior three-year average of 75%.</w:t>
      </w:r>
    </w:p>
    <w:p>
      <w:pPr>
        <w:spacing w:after="0" w:line="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vessels are subject to periodic regulatory dry dock inspections to verify that the vessels have been maintained in accordance with the rules of the U.S. Coast Guard and the American Bureau of Shipping (“ABS”) and that recommended repairs have been satisfactorily completed. Regulatory dry dock frequency is a statutory requirement mandated by the U.S. Coast Guard and the ABS. The Company’s vessels undergo regulatory dry-docks every two to three years or every five years, depending on the vessel type and may also go into dry dock on an as-needed basis for upgrades, maintenance and repairs. The Company experienced regulatory dry dock inspections on one dredge in the first quarter of 2023. The dry dock vessel returned to work in March 2023.</w:t>
      </w:r>
    </w:p>
    <w:p>
      <w:pPr>
        <w:spacing w:after="0" w:line="1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The Company has taken action on cost reductions and fleet adjustments. In 2022, the Company retired the 42-year-old hopper dredge, the </w:t>
      </w:r>
      <w:r>
        <w:rPr>
          <w:rFonts w:ascii="Arial" w:cs="Arial" w:eastAsia="Arial" w:hAnsi="Arial"/>
          <w:sz w:val="18"/>
          <w:szCs w:val="18"/>
          <w:i w:val="1"/>
          <w:iCs w:val="1"/>
          <w:color w:val="auto"/>
        </w:rPr>
        <w:t>Terrapin Island</w:t>
      </w:r>
      <w:r>
        <w:rPr>
          <w:rFonts w:ascii="Arial" w:cs="Arial" w:eastAsia="Arial" w:hAnsi="Arial"/>
          <w:sz w:val="18"/>
          <w:szCs w:val="18"/>
          <w:color w:val="auto"/>
        </w:rPr>
        <w:t>. Beginning in 2023, the Company chose to cold stack some of our equipment with minimal crews and cost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right="360"/>
        <w:spacing w:after="0" w:line="277" w:lineRule="auto"/>
        <w:rPr>
          <w:sz w:val="20"/>
          <w:szCs w:val="20"/>
          <w:color w:val="auto"/>
        </w:rPr>
      </w:pPr>
      <w:r>
        <w:rPr>
          <w:rFonts w:ascii="Arial" w:cs="Arial" w:eastAsia="Arial" w:hAnsi="Arial"/>
          <w:sz w:val="18"/>
          <w:szCs w:val="18"/>
          <w:color w:val="auto"/>
        </w:rPr>
        <w:t>adjust to the current difficult market conditions. The equipment can be easily reactivated when the Company sees improvements in the bid market. The Company currently has cold stacked two major dredges and support equipment.</w:t>
      </w:r>
    </w:p>
    <w:p>
      <w:pPr>
        <w:spacing w:after="0" w:line="1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Company plans to participate in the offshore wind market, and in November 2021, the Company entered into a $197 million contract with Philly Shipyard to build the first U.S. flagged Jones Act compliant, inclined fall-pipe vessel for subsea rock installation for wind turbine foundations, the </w:t>
      </w:r>
      <w:r>
        <w:rPr>
          <w:rFonts w:ascii="Arial" w:cs="Arial" w:eastAsia="Arial" w:hAnsi="Arial"/>
          <w:sz w:val="18"/>
          <w:szCs w:val="18"/>
          <w:i w:val="1"/>
          <w:iCs w:val="1"/>
          <w:color w:val="auto"/>
        </w:rPr>
        <w:t>Acadia</w:t>
      </w:r>
      <w:r>
        <w:rPr>
          <w:rFonts w:ascii="Arial" w:cs="Arial" w:eastAsia="Arial" w:hAnsi="Arial"/>
          <w:sz w:val="18"/>
          <w:szCs w:val="18"/>
          <w:color w:val="auto"/>
        </w:rPr>
        <w:t>, which is expected to be delivered and operational in the first half of 2025. This vessel represents a significant critical advancement in building the U.S. logistics infrastructure to support the future of the new U.S. offshore wind industry. The Company has begun bidding on select projects in the offshore wind market and on July 14, 2022, the Company, in consortium with Van Oord, entered into its first contract with Empire Offshore Wind, a joint venture between Equinor and BP, to perform subsea rock installation work for the Empire I and Empire II offshore wind farms in New York in 2025 and 2026. These wind farms are expected to provide over 2 Gigawatts (“GW”) of renewable energy to the state of New York, which is enough renewable energy to power more than one million households in New York.</w:t>
      </w:r>
    </w:p>
    <w:p>
      <w:pPr>
        <w:spacing w:after="0" w:line="1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2021, the current presidential administration announced the ambitious goal of 30 GW of offshore wind by 2030 and provided $3.0 billion in federal loan guarantees for offshore wind projects. Great Lakes continues to tender bids on multiple offshore wind projects for our subsea rock installation vessel and additional contract awards are anticipated in 2023.</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recent COVID-19 pandemic, the health and safety of our employees was and remains our primary goal. Our commitment to health and safety reaches far beyond our employees and embraces their families, our customers, and our community. The unique nature of our business requires many of our employees to live and work in close proximity to one another. We instituted and strictly adhere to rigorous measures designed to provide our employees with a safe working environment and allow them to safely execute tasks.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one operating segment, which is also the Company’s one reportable segment and reporting unit.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tables set forth the components of net income (loss) and Adjusted EBITDA, as defined below, as a percentage of contract revenues for the three months ended March 31, 2023 and 2022:</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5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20" w:type="dxa"/>
            <w:vAlign w:val="bottom"/>
            <w:tcBorders>
              <w:bottom w:val="single" w:sz="8" w:color="auto"/>
            </w:tcBorders>
            <w:gridSpan w:val="4"/>
          </w:tcPr>
          <w:p>
            <w:pPr>
              <w:jc w:val="center"/>
              <w:ind w:left="716"/>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Contract revenues</w:t>
            </w:r>
          </w:p>
        </w:tc>
        <w:tc>
          <w:tcPr>
            <w:tcW w:w="19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19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(92.3 )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(83.0 )</w:t>
            </w:r>
          </w:p>
        </w:tc>
        <w:tc>
          <w:tcPr>
            <w:tcW w:w="1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26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Gross profit</w:t>
            </w:r>
          </w:p>
        </w:tc>
        <w:tc>
          <w:tcPr>
            <w:tcW w:w="1920" w:type="dxa"/>
            <w:vAlign w:val="bottom"/>
            <w:tcBorders>
              <w:top w:val="single" w:sz="8" w:color="CFF0FC"/>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3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Gain on sale of assets—net</w:t>
            </w:r>
          </w:p>
        </w:tc>
        <w:tc>
          <w:tcPr>
            <w:tcW w:w="1920" w:type="dxa"/>
            <w:vAlign w:val="bottom"/>
          </w:tcPr>
          <w:p>
            <w:pPr>
              <w:spacing w:after="0"/>
              <w:rPr>
                <w:sz w:val="20"/>
                <w:szCs w:val="20"/>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(0.2 )</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2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income (loss)</w:t>
            </w:r>
          </w:p>
        </w:tc>
        <w:tc>
          <w:tcPr>
            <w:tcW w:w="1920" w:type="dxa"/>
            <w:vAlign w:val="bottom"/>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Interest expense—net</w:t>
            </w:r>
          </w:p>
        </w:tc>
        <w:tc>
          <w:tcPr>
            <w:tcW w:w="3100" w:type="dxa"/>
            <w:vAlign w:val="bottom"/>
            <w:gridSpan w:val="3"/>
          </w:tcPr>
          <w:p>
            <w:pPr>
              <w:jc w:val="right"/>
              <w:spacing w:after="0"/>
              <w:rPr>
                <w:sz w:val="20"/>
                <w:szCs w:val="20"/>
                <w:color w:val="auto"/>
              </w:rPr>
            </w:pPr>
            <w:r>
              <w:rPr>
                <w:rFonts w:ascii="Arial" w:cs="Arial" w:eastAsia="Arial" w:hAnsi="Arial"/>
                <w:sz w:val="18"/>
                <w:szCs w:val="18"/>
                <w:color w:val="auto"/>
              </w:rPr>
              <w:t>(2.1 )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(2.1 )</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9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(0.2 )</w:t>
            </w:r>
          </w:p>
        </w:tc>
        <w:tc>
          <w:tcPr>
            <w:tcW w:w="1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19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tcPr>
          <w:p>
            <w:pPr>
              <w:spacing w:after="0"/>
              <w:rPr>
                <w:sz w:val="20"/>
                <w:szCs w:val="20"/>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19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(provision)</w:t>
            </w:r>
          </w:p>
        </w:tc>
        <w:tc>
          <w:tcPr>
            <w:tcW w:w="19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(1.7 )</w:t>
            </w:r>
          </w:p>
        </w:tc>
        <w:tc>
          <w:tcPr>
            <w:tcW w:w="1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19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700" w:type="dxa"/>
            <w:vAlign w:val="bottom"/>
          </w:tcPr>
          <w:p>
            <w:pPr>
              <w:spacing w:after="0"/>
              <w:rPr>
                <w:sz w:val="21"/>
                <w:szCs w:val="21"/>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920" w:type="dxa"/>
            <w:vAlign w:val="bottom"/>
          </w:tcPr>
          <w:p>
            <w:pPr>
              <w:spacing w:after="0"/>
              <w:rPr>
                <w:sz w:val="21"/>
                <w:szCs w:val="21"/>
                <w:color w:val="auto"/>
              </w:rPr>
            </w:pPr>
          </w:p>
        </w:tc>
        <w:tc>
          <w:tcPr>
            <w:tcW w:w="1620" w:type="dxa"/>
            <w:vAlign w:val="bottom"/>
            <w:gridSpan w:val="4"/>
          </w:tcPr>
          <w:p>
            <w:pPr>
              <w:jc w:val="right"/>
              <w:ind w:right="280"/>
              <w:spacing w:after="0" w:line="242" w:lineRule="exact"/>
              <w:rPr>
                <w:sz w:val="20"/>
                <w:szCs w:val="20"/>
                <w:color w:val="auto"/>
              </w:rPr>
            </w:pPr>
            <w:r>
              <w:rPr>
                <w:rFonts w:ascii="Arial" w:cs="Arial" w:eastAsia="Arial" w:hAnsi="Arial"/>
                <w:sz w:val="15"/>
                <w:szCs w:val="15"/>
                <w:color w:val="auto"/>
              </w:rPr>
              <w:t xml:space="preserve">(2.0 ) </w:t>
            </w:r>
            <w:r>
              <w:rPr>
                <w:rFonts w:ascii="Arial" w:cs="Arial" w:eastAsia="Arial" w:hAnsi="Arial"/>
                <w:sz w:val="28"/>
                <w:szCs w:val="28"/>
                <w:color w:val="auto"/>
                <w:vertAlign w:val="subscript"/>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700" w:type="dxa"/>
            <w:vAlign w:val="bottom"/>
          </w:tcPr>
          <w:p>
            <w:pPr>
              <w:spacing w:after="0"/>
              <w:rPr>
                <w:sz w:val="19"/>
                <w:szCs w:val="19"/>
                <w:color w:val="auto"/>
              </w:rPr>
            </w:pPr>
          </w:p>
        </w:tc>
        <w:tc>
          <w:tcPr>
            <w:tcW w:w="326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Adjusted EBITDA</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0"/>
                <w:szCs w:val="20"/>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920" w:type="dxa"/>
            <w:vAlign w:val="bottom"/>
            <w:vMerge w:val="restart"/>
          </w:tcPr>
          <w:p>
            <w:pPr>
              <w:jc w:val="right"/>
              <w:ind w:right="1070"/>
              <w:spacing w:after="0"/>
              <w:rPr>
                <w:sz w:val="20"/>
                <w:szCs w:val="20"/>
                <w:color w:val="auto"/>
              </w:rPr>
            </w:pPr>
            <w:r>
              <w:rPr>
                <w:rFonts w:ascii="Arial" w:cs="Arial" w:eastAsia="Arial" w:hAnsi="Arial"/>
                <w:sz w:val="18"/>
                <w:szCs w:val="18"/>
                <w:color w:val="auto"/>
              </w:rPr>
              <w:t>17</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-2288540</wp:posOffset>
            </wp:positionV>
            <wp:extent cx="51435"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-1345565</wp:posOffset>
            </wp:positionV>
            <wp:extent cx="51435"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-1028065</wp:posOffset>
            </wp:positionV>
            <wp:extent cx="5143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-1028065</wp:posOffset>
            </wp:positionV>
            <wp:extent cx="431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-685165</wp:posOffset>
            </wp:positionV>
            <wp:extent cx="51435"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-685165</wp:posOffset>
            </wp:positionV>
            <wp:extent cx="4318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line="267" w:lineRule="auto"/>
        <w:rPr>
          <w:sz w:val="20"/>
          <w:szCs w:val="20"/>
          <w:color w:val="auto"/>
        </w:rPr>
      </w:pPr>
      <w:r>
        <w:rPr>
          <w:rFonts w:ascii="Arial" w:cs="Arial" w:eastAsia="Arial" w:hAnsi="Arial"/>
          <w:sz w:val="17"/>
          <w:szCs w:val="17"/>
          <w:color w:val="auto"/>
        </w:rPr>
        <w:t>Adjusted EBITDA, as provided herein, represents net income (loss) from continuing operations, adjusted for net interest expense, income taxes, depreciation and amortization expense, debt extinguishment, accelerated maintenance expense for new international deployments, goodwill or asset impairments and gains on bargain purchase acquisitions. Adjusted EBITDA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and investors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only as a supplement. The following is a reconciliation of Adjusted EBITDA to net income (loss):</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6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68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8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8"/>
                <w:szCs w:val="18"/>
                <w:color w:val="auto"/>
              </w:rPr>
            </w:pPr>
          </w:p>
        </w:tc>
      </w:tr>
      <w:tr>
        <w:trPr>
          <w:trHeight w:val="169"/>
        </w:trPr>
        <w:tc>
          <w:tcPr>
            <w:tcW w:w="6880" w:type="dxa"/>
            <w:vAlign w:val="bottom"/>
          </w:tcPr>
          <w:p>
            <w:pPr>
              <w:spacing w:after="0"/>
              <w:rPr>
                <w:sz w:val="20"/>
                <w:szCs w:val="20"/>
                <w:color w:val="auto"/>
              </w:rPr>
            </w:pPr>
            <w:r>
              <w:rPr>
                <w:rFonts w:ascii="Arial" w:cs="Arial" w:eastAsia="Arial" w:hAnsi="Arial"/>
                <w:sz w:val="14"/>
                <w:szCs w:val="14"/>
                <w:color w:val="auto"/>
              </w:rPr>
              <w:t>(in thousands)</w:t>
            </w: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w w:val="93"/>
              </w:rPr>
              <w:t>(3,231 )</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11,057</w:t>
            </w:r>
          </w:p>
        </w:tc>
        <w:tc>
          <w:tcPr>
            <w:tcW w:w="100" w:type="dxa"/>
            <w:vAlign w:val="bottom"/>
            <w:shd w:val="clear" w:color="auto" w:fill="CFF0FC"/>
          </w:tcPr>
          <w:p>
            <w:pPr>
              <w:spacing w:after="0"/>
              <w:rPr>
                <w:sz w:val="21"/>
                <w:szCs w:val="21"/>
                <w:color w:val="auto"/>
              </w:rPr>
            </w:pPr>
          </w:p>
        </w:tc>
      </w:tr>
      <w:tr>
        <w:trPr>
          <w:trHeight w:val="237"/>
        </w:trPr>
        <w:tc>
          <w:tcPr>
            <w:tcW w:w="6880" w:type="dxa"/>
            <w:vAlign w:val="bottom"/>
          </w:tcPr>
          <w:p>
            <w:pPr>
              <w:spacing w:after="0"/>
              <w:rPr>
                <w:sz w:val="20"/>
                <w:szCs w:val="20"/>
                <w:color w:val="auto"/>
              </w:rPr>
            </w:pPr>
            <w:r>
              <w:rPr>
                <w:rFonts w:ascii="Arial" w:cs="Arial" w:eastAsia="Arial" w:hAnsi="Arial"/>
                <w:sz w:val="18"/>
                <w:szCs w:val="18"/>
                <w:color w:val="auto"/>
              </w:rPr>
              <w:t>Adjusted for:</w:t>
            </w: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8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expense—net</w:t>
            </w: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3,385</w:t>
            </w:r>
          </w:p>
        </w:tc>
        <w:tc>
          <w:tcPr>
            <w:tcW w:w="3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w:t>
            </w:r>
          </w:p>
        </w:tc>
        <w:tc>
          <w:tcPr>
            <w:tcW w:w="100" w:type="dxa"/>
            <w:vAlign w:val="bottom"/>
            <w:shd w:val="clear" w:color="auto" w:fill="CFF0FC"/>
          </w:tcPr>
          <w:p>
            <w:pPr>
              <w:spacing w:after="0"/>
              <w:rPr>
                <w:sz w:val="21"/>
                <w:szCs w:val="21"/>
                <w:color w:val="auto"/>
              </w:rPr>
            </w:pPr>
          </w:p>
        </w:tc>
      </w:tr>
      <w:tr>
        <w:trPr>
          <w:trHeight w:val="237"/>
        </w:trPr>
        <w:tc>
          <w:tcPr>
            <w:tcW w:w="6880" w:type="dxa"/>
            <w:vAlign w:val="bottom"/>
          </w:tcPr>
          <w:p>
            <w:pPr>
              <w:ind w:left="180"/>
              <w:spacing w:after="0"/>
              <w:rPr>
                <w:sz w:val="20"/>
                <w:szCs w:val="20"/>
                <w:color w:val="auto"/>
              </w:rPr>
            </w:pPr>
            <w:r>
              <w:rPr>
                <w:rFonts w:ascii="Arial" w:cs="Arial" w:eastAsia="Arial" w:hAnsi="Arial"/>
                <w:sz w:val="18"/>
                <w:szCs w:val="18"/>
                <w:color w:val="auto"/>
              </w:rPr>
              <w:t>Income tax provision (benefit)</w:t>
            </w:r>
          </w:p>
        </w:tc>
        <w:tc>
          <w:tcPr>
            <w:tcW w:w="86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(791 )</w:t>
            </w: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3,285</w:t>
            </w:r>
          </w:p>
        </w:tc>
        <w:tc>
          <w:tcPr>
            <w:tcW w:w="100" w:type="dxa"/>
            <w:vAlign w:val="bottom"/>
          </w:tcPr>
          <w:p>
            <w:pPr>
              <w:spacing w:after="0"/>
              <w:rPr>
                <w:sz w:val="20"/>
                <w:szCs w:val="20"/>
                <w:color w:val="auto"/>
              </w:rPr>
            </w:pPr>
          </w:p>
        </w:tc>
      </w:tr>
      <w:tr>
        <w:trPr>
          <w:trHeight w:val="243"/>
        </w:trPr>
        <w:tc>
          <w:tcPr>
            <w:tcW w:w="68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10,850</w:t>
            </w:r>
          </w:p>
        </w:tc>
        <w:tc>
          <w:tcPr>
            <w:tcW w:w="3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6880" w:type="dxa"/>
            <w:vAlign w:val="bottom"/>
          </w:tcPr>
          <w:p>
            <w:pPr>
              <w:spacing w:after="0"/>
              <w:rPr>
                <w:sz w:val="20"/>
                <w:szCs w:val="20"/>
                <w:color w:val="auto"/>
              </w:rPr>
            </w:pPr>
            <w:r>
              <w:rPr>
                <w:rFonts w:ascii="Arial" w:cs="Arial" w:eastAsia="Arial" w:hAnsi="Arial"/>
                <w:sz w:val="18"/>
                <w:szCs w:val="18"/>
                <w:color w:val="auto"/>
              </w:rPr>
              <w:t>Adjusted EBITDA</w:t>
            </w: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10,213</w:t>
            </w:r>
          </w:p>
        </w:tc>
        <w:tc>
          <w:tcPr>
            <w:tcW w:w="360" w:type="dxa"/>
            <w:vAlign w:val="bottom"/>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29,683</w:t>
            </w:r>
          </w:p>
        </w:tc>
        <w:tc>
          <w:tcPr>
            <w:tcW w:w="100" w:type="dxa"/>
            <w:vAlign w:val="bottom"/>
          </w:tcPr>
          <w:p>
            <w:pPr>
              <w:spacing w:after="0"/>
              <w:rPr>
                <w:sz w:val="21"/>
                <w:szCs w:val="21"/>
                <w:color w:val="auto"/>
              </w:rPr>
            </w:pPr>
          </w:p>
        </w:tc>
      </w:tr>
      <w:tr>
        <w:trPr>
          <w:trHeight w:val="20"/>
        </w:trPr>
        <w:tc>
          <w:tcPr>
            <w:tcW w:w="6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-187960</wp:posOffset>
            </wp:positionV>
            <wp:extent cx="6858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work, for the periods indicated, were as follows:</w:t>
      </w:r>
    </w:p>
    <w:p>
      <w:pPr>
        <w:spacing w:after="0" w:line="149"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2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March 31,</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80" w:type="dxa"/>
            <w:vAlign w:val="bottom"/>
          </w:tcPr>
          <w:p>
            <w:pPr>
              <w:spacing w:after="0"/>
              <w:rPr>
                <w:sz w:val="20"/>
                <w:szCs w:val="20"/>
                <w:color w:val="auto"/>
              </w:rPr>
            </w:pPr>
            <w:r>
              <w:rPr>
                <w:rFonts w:ascii="Arial" w:cs="Arial" w:eastAsia="Arial" w:hAnsi="Arial"/>
                <w:sz w:val="14"/>
                <w:szCs w:val="14"/>
                <w:b w:val="1"/>
                <w:bCs w:val="1"/>
                <w:color w:val="auto"/>
              </w:rPr>
              <w:t>Revenues (in thousands)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6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180"/>
              <w:spacing w:after="0"/>
              <w:rPr>
                <w:sz w:val="20"/>
                <w:szCs w:val="20"/>
                <w:color w:val="auto"/>
              </w:rPr>
            </w:pPr>
            <w:r>
              <w:rPr>
                <w:rFonts w:ascii="Arial" w:cs="Arial" w:eastAsia="Arial" w:hAnsi="Arial"/>
                <w:sz w:val="18"/>
                <w:szCs w:val="18"/>
                <w:color w:val="auto"/>
              </w:rPr>
              <w:t>Capital—U.S.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32,475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101,010</w:t>
            </w:r>
          </w:p>
        </w:tc>
        <w:tc>
          <w:tcPr>
            <w:tcW w:w="2100" w:type="dxa"/>
            <w:vAlign w:val="bottom"/>
            <w:gridSpan w:val="4"/>
          </w:tcPr>
          <w:p>
            <w:pPr>
              <w:jc w:val="right"/>
              <w:spacing w:after="0"/>
              <w:rPr>
                <w:sz w:val="20"/>
                <w:szCs w:val="20"/>
                <w:color w:val="auto"/>
              </w:rPr>
            </w:pPr>
            <w:r>
              <w:rPr>
                <w:rFonts w:ascii="Arial" w:cs="Arial" w:eastAsia="Arial" w:hAnsi="Arial"/>
                <w:sz w:val="18"/>
                <w:szCs w:val="18"/>
                <w:color w:val="auto"/>
              </w:rPr>
              <w:t>(67.8 )%</w:t>
            </w:r>
          </w:p>
        </w:tc>
        <w:tc>
          <w:tcPr>
            <w:tcW w:w="0" w:type="dxa"/>
            <w:vAlign w:val="bottom"/>
          </w:tcPr>
          <w:p>
            <w:pPr>
              <w:spacing w:after="0"/>
              <w:rPr>
                <w:sz w:val="1"/>
                <w:szCs w:val="1"/>
                <w:color w:val="auto"/>
              </w:rPr>
            </w:pPr>
          </w:p>
        </w:tc>
      </w:tr>
      <w:tr>
        <w:trPr>
          <w:trHeight w:val="242"/>
        </w:trPr>
        <w:tc>
          <w:tcPr>
            <w:tcW w:w="2480" w:type="dxa"/>
            <w:vAlign w:val="bottom"/>
          </w:tcPr>
          <w:p>
            <w:pPr>
              <w:ind w:left="180"/>
              <w:spacing w:after="0"/>
              <w:rPr>
                <w:sz w:val="20"/>
                <w:szCs w:val="20"/>
                <w:color w:val="auto"/>
              </w:rPr>
            </w:pPr>
            <w:r>
              <w:rPr>
                <w:rFonts w:ascii="Arial" w:cs="Arial" w:eastAsia="Arial" w:hAnsi="Arial"/>
                <w:sz w:val="18"/>
                <w:szCs w:val="18"/>
                <w:color w:val="auto"/>
              </w:rPr>
              <w:t>Coastal protection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51,305</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71,917</w:t>
            </w:r>
          </w:p>
        </w:tc>
        <w:tc>
          <w:tcPr>
            <w:tcW w:w="2100" w:type="dxa"/>
            <w:vAlign w:val="bottom"/>
            <w:gridSpan w:val="4"/>
          </w:tcPr>
          <w:p>
            <w:pPr>
              <w:jc w:val="right"/>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243"/>
        </w:trPr>
        <w:tc>
          <w:tcPr>
            <w:tcW w:w="248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71,928</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19,812</w:t>
            </w:r>
          </w:p>
        </w:tc>
        <w:tc>
          <w:tcPr>
            <w:tcW w:w="2100" w:type="dxa"/>
            <w:vAlign w:val="bottom"/>
            <w:gridSpan w:val="4"/>
          </w:tcPr>
          <w:p>
            <w:pPr>
              <w:jc w:val="right"/>
              <w:spacing w:after="0"/>
              <w:rPr>
                <w:sz w:val="20"/>
                <w:szCs w:val="20"/>
                <w:color w:val="auto"/>
              </w:rPr>
            </w:pPr>
            <w:r>
              <w:rPr>
                <w:rFonts w:ascii="Arial" w:cs="Arial" w:eastAsia="Arial" w:hAnsi="Arial"/>
                <w:sz w:val="18"/>
                <w:szCs w:val="18"/>
                <w:color w:val="auto"/>
              </w:rPr>
              <w:t>263.0 %</w:t>
            </w:r>
          </w:p>
        </w:tc>
        <w:tc>
          <w:tcPr>
            <w:tcW w:w="0" w:type="dxa"/>
            <w:vAlign w:val="bottom"/>
          </w:tcPr>
          <w:p>
            <w:pPr>
              <w:spacing w:after="0"/>
              <w:rPr>
                <w:sz w:val="1"/>
                <w:szCs w:val="1"/>
                <w:color w:val="auto"/>
              </w:rPr>
            </w:pPr>
          </w:p>
        </w:tc>
      </w:tr>
      <w:tr>
        <w:trPr>
          <w:trHeight w:val="243"/>
        </w:trPr>
        <w:tc>
          <w:tcPr>
            <w:tcW w:w="2480" w:type="dxa"/>
            <w:vAlign w:val="bottom"/>
          </w:tcPr>
          <w:p>
            <w:pPr>
              <w:ind w:left="180"/>
              <w:spacing w:after="0"/>
              <w:rPr>
                <w:sz w:val="20"/>
                <w:szCs w:val="20"/>
                <w:color w:val="auto"/>
              </w:rPr>
            </w:pPr>
            <w:r>
              <w:rPr>
                <w:rFonts w:ascii="Arial" w:cs="Arial" w:eastAsia="Arial" w:hAnsi="Arial"/>
                <w:sz w:val="18"/>
                <w:szCs w:val="18"/>
                <w:color w:val="auto"/>
              </w:rPr>
              <w:t>Rivers &amp; lakes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2,336</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1,610</w:t>
            </w:r>
          </w:p>
        </w:tc>
        <w:tc>
          <w:tcPr>
            <w:tcW w:w="22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45.1 %</w:t>
            </w:r>
          </w:p>
        </w:tc>
        <w:tc>
          <w:tcPr>
            <w:tcW w:w="0" w:type="dxa"/>
            <w:vAlign w:val="bottom"/>
          </w:tcPr>
          <w:p>
            <w:pPr>
              <w:spacing w:after="0"/>
              <w:rPr>
                <w:sz w:val="1"/>
                <w:szCs w:val="1"/>
                <w:color w:val="auto"/>
              </w:rPr>
            </w:pPr>
          </w:p>
        </w:tc>
      </w:tr>
      <w:tr>
        <w:trPr>
          <w:trHeight w:val="27"/>
        </w:trPr>
        <w:tc>
          <w:tcPr>
            <w:tcW w:w="248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3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80" w:type="dxa"/>
            <w:vAlign w:val="bottom"/>
            <w:vMerge w:val="continue"/>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158,044</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194,349</w:t>
            </w:r>
          </w:p>
        </w:tc>
        <w:tc>
          <w:tcPr>
            <w:tcW w:w="22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color w:val="auto"/>
                <w:highlight w:val="white"/>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shd w:val="clear" w:color="auto" w:fill="CFF0FC"/>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FF0FC"/>
              <w:bottom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-650875</wp:posOffset>
            </wp:positionV>
            <wp:extent cx="4989195" cy="651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89195" cy="651510"/>
                    </a:xfrm>
                    <a:prstGeom prst="rect">
                      <a:avLst/>
                    </a:prstGeom>
                    <a:noFill/>
                  </pic:spPr>
                </pic:pic>
              </a:graphicData>
            </a:graphic>
          </wp:anchor>
        </w:drawing>
      </w:r>
    </w:p>
    <w:p>
      <w:pPr>
        <w:spacing w:after="0" w:line="18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Total revenue was $158.0 million for the three months ended March 31, 2023, down $36.3 million, or 19%, from $194.3 million for the same period in the prior year. For the three months ended March 31, 2023, the Company experienced a decrease in domestic capital and coastal protection revenue as compared to the same period in the prior year. This decrease was partially offset by an increase in maintenance, and rivers &amp; lakes revenue during the first quarter of 2023 as compared to the same period in the prior year.</w:t>
      </w:r>
    </w:p>
    <w:p>
      <w:pPr>
        <w:spacing w:after="0" w:line="1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For the three months ended March 31, 2023, domestic capital dredging revenue was $32.5 million, down $68.5 million, or 68%, compared to $101.0 million for the same period in 2022. The decrease in capital dredging revenues for the three months ended March 31, 2023 was mostly due to a decrease in revenue earned on projects in Massachusetts, Florida, South Carolina, Louisiana, New Hampshire, and Alabama in the first quarter of 2023 when compared to the same period in the prior year. This decrease was slightly offset by revenue earned on projects in Virginia in the current year.</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8" w:name="page19"/>
    <w:bookmarkEnd w:id="18"/>
    <w:p>
      <w:pPr>
        <w:ind w:right="20"/>
        <w:spacing w:after="0" w:line="257" w:lineRule="auto"/>
        <w:rPr>
          <w:sz w:val="20"/>
          <w:szCs w:val="20"/>
          <w:color w:val="auto"/>
        </w:rPr>
      </w:pPr>
      <w:r>
        <w:rPr>
          <w:rFonts w:ascii="Arial" w:cs="Arial" w:eastAsia="Arial" w:hAnsi="Arial"/>
          <w:sz w:val="18"/>
          <w:szCs w:val="18"/>
          <w:color w:val="auto"/>
        </w:rPr>
        <w:t>Coastal protection projects involve moving sand from the ocean floor to shoreline locations where erosion threatens shoreline assets. Coastal protection revenue for the quarter ended March 31, 2023 was $51.3 million, a decrease of $20.6 million, or 29%, compared to $71.9 million in the prior year period. The decrease in coastal protection revenues for the three months ended March 31, 2023 was mostly attributable to a decrease in revenue earned on projects in North Carolina and Florida in the current year period when compared to the prior year. This decrease was slightly offset by revenue earned on projects in New York, New Jersey and Virginia in the current year.</w:t>
      </w:r>
    </w:p>
    <w:p>
      <w:pPr>
        <w:spacing w:after="0" w:line="12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first quarter of 2023 was $71.9 million, up $52.1 million, or 263%, from $19.8 million in the same period of 2022. The increase in maintenance revenues for the three months ended March 31, 2023 was mostly attributable to a greater amount of revenue earned on projects in New York, New Jersey, Florida, Georgia, North and South Carolina, Alabama, Texas and Mississippi from the current year. This increase was slightly offset by a decrease in revenue earned on a project in Louisiana in the current year.</w:t>
      </w:r>
    </w:p>
    <w:p>
      <w:pPr>
        <w:spacing w:after="0" w:line="97"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Rivers &amp; lakes dredging and related operations typically consist of lake and river dredging, inland levee and construction dredging, environmental restoration and habitat improvement and other marine construction projects. During the first quarter of 2023, rivers &amp; lakes revenue was $2.3 million, an increase of $0.7 million, or 45%, from $1.6 million during the same period of 2022. The increase in rivers &amp; lakes revenue for the three-months ended March 31, 2023 was mostly attributable to a greater amount of revenue earned on projects in Arkansas from the current year. This increase was partially offset by a decrease in revenue earned on a project in Mississippi in the current year.</w:t>
      </w:r>
    </w:p>
    <w:p>
      <w:pPr>
        <w:spacing w:after="0" w:line="10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Consolidated gross profit for the quarters ended March 31, 2023 decreased by $21.0 million, or 63%, to $12.1 from $33.1 for the quarter ended March 31, 2022. Gross profit margin for the three months ended March 31, 2023 was 7.7% compared to 17.0% in the same period of 2022. Gross profit and gross profit margin declined during the three months ended March 31, 2023 compared to the prior year quarter due to significant decrease in higher margin capital work, weather delays in the Northeast and production impacts caused primarily by weather and differing site conditions among other factors.</w:t>
      </w:r>
    </w:p>
    <w:p>
      <w:pPr>
        <w:spacing w:after="0" w:line="9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During the three months ended March 31, 2023, general and administrative expenses were $13.0 million, a decrease of $1.6 million compared to the same period in the prior year, which totaled $14.6 million. The decrease in general and administrative expenses for the quarter was primarily due to lower consulting, relocation, and recruiting expense in the current year and our continued cost reduction efforts.</w:t>
      </w:r>
    </w:p>
    <w:p>
      <w:pPr>
        <w:spacing w:after="0" w:line="8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Operating loss for the first quarter of 2023 was $0.9 million, down $19.7 million compared to operating income of $18.8 million for the same quarter in 2022. The decrease in operating income for the first quarter of 2023 was as a result of lower gross profit in the current year when compared to the same period in the prior year.</w:t>
      </w:r>
    </w:p>
    <w:p>
      <w:pPr>
        <w:spacing w:after="0" w:line="11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For the three months ended March 31, 2023, net interest expense was $3.4 million, $0.6 million lower compared to $4.0 million for the same period in the prior year. The decrease in net interest expense was primarily due to an increase in capitalized interest related to the extensive new build program, offset partially by current quarter revolver interest expense.</w:t>
      </w:r>
    </w:p>
    <w:p>
      <w:pPr>
        <w:spacing w:after="0" w:line="11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Income tax benefit for the three months ended March 31, 2023 was $0.8 million compared to an income tax provision of $3.3 million for the same period in the prior year. The effective tax rate for the three months ended March 31, 2023 was 19.7%, down 3.2% from the effective tax rate of 22.9% for the same period of 2022. The decrease in tax rate was due to lower nondeductible officer compensation and a larger impact from research and development credits.</w:t>
      </w:r>
    </w:p>
    <w:p>
      <w:pPr>
        <w:spacing w:after="0" w:line="6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Net loss for the quarter ended March 31, 2023 was $3.2 million, down $14.3 million, or 129%, from $11.1 million of net income in the same quarter in the prior year. Diluted loss per share was $0.05 for the three months ended March 31, 2023, compared to $0.17 of diluted earnings per share for the three months ended March 31, 2022. The decrease in net income for the three months ended March 31, 2023 was primarily due to the decrease in operating income in the current year quarter, slightly offset by the greater other income, lower net interest expense and income tax expense in the current quarter compared to the same quarter in the prior year.</w:t>
      </w:r>
    </w:p>
    <w:p>
      <w:pPr>
        <w:spacing w:after="0" w:line="12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Adjusted EBITDA (as defined on page 18) for the quarter ended March 31, 2023 was $10.2 million, down $19.5 million, or 66%, from $29.7 million in the same quarter in the prior year. The decrease in Adjusted EBITDA during the first quarter of 2023 was driven by the decrease in gross profit, excluding depreciation, offset slightly by lower general and administrative expense and higher other income.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Bidding activity and backlog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type of work, the Company’s backlog as of the dates indicated:</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jc w:val="right"/>
              <w:ind w:right="515"/>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ind w:right="395"/>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ind w:right="495"/>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5"/>
                <w:szCs w:val="15"/>
                <w:color w:val="auto"/>
              </w:rPr>
            </w:pPr>
          </w:p>
        </w:tc>
      </w:tr>
      <w:tr>
        <w:trPr>
          <w:trHeight w:val="185"/>
        </w:trPr>
        <w:tc>
          <w:tcPr>
            <w:tcW w:w="2940" w:type="dxa"/>
            <w:vAlign w:val="bottom"/>
          </w:tcPr>
          <w:p>
            <w:pPr>
              <w:spacing w:after="0"/>
              <w:rPr>
                <w:sz w:val="20"/>
                <w:szCs w:val="20"/>
                <w:color w:val="auto"/>
              </w:rPr>
            </w:pPr>
            <w:r>
              <w:rPr>
                <w:rFonts w:ascii="Arial" w:cs="Arial" w:eastAsia="Arial" w:hAnsi="Arial"/>
                <w:sz w:val="14"/>
                <w:szCs w:val="14"/>
                <w:b w:val="1"/>
                <w:bCs w:val="1"/>
                <w:color w:val="auto"/>
              </w:rPr>
              <w:t>Backlog (in thousands)</w:t>
            </w: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Dredging:</w:t>
            </w: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2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Capital - U.S.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118,895</w:t>
            </w:r>
          </w:p>
        </w:tc>
        <w:tc>
          <w:tcPr>
            <w:tcW w:w="5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148,429</w:t>
            </w:r>
          </w:p>
        </w:tc>
        <w:tc>
          <w:tcPr>
            <w:tcW w:w="6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320,352</w:t>
            </w:r>
          </w:p>
        </w:tc>
        <w:tc>
          <w:tcPr>
            <w:tcW w:w="80" w:type="dxa"/>
            <w:vAlign w:val="bottom"/>
            <w:shd w:val="clear" w:color="auto" w:fill="CFF0FC"/>
          </w:tcPr>
          <w:p>
            <w:pPr>
              <w:spacing w:after="0"/>
              <w:rPr>
                <w:sz w:val="21"/>
                <w:szCs w:val="21"/>
                <w:color w:val="auto"/>
              </w:rPr>
            </w:pPr>
          </w:p>
        </w:tc>
      </w:tr>
      <w:tr>
        <w:trPr>
          <w:trHeight w:val="237"/>
        </w:trPr>
        <w:tc>
          <w:tcPr>
            <w:tcW w:w="2940" w:type="dxa"/>
            <w:vAlign w:val="bottom"/>
          </w:tcPr>
          <w:p>
            <w:pPr>
              <w:ind w:left="180"/>
              <w:spacing w:after="0"/>
              <w:rPr>
                <w:sz w:val="20"/>
                <w:szCs w:val="20"/>
                <w:color w:val="auto"/>
              </w:rPr>
            </w:pPr>
            <w:r>
              <w:rPr>
                <w:rFonts w:ascii="Arial" w:cs="Arial" w:eastAsia="Arial" w:hAnsi="Arial"/>
                <w:sz w:val="18"/>
                <w:szCs w:val="18"/>
                <w:color w:val="auto"/>
              </w:rPr>
              <w:t>Coastal protection</w:t>
            </w: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62,051</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97,819</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120,457</w:t>
            </w:r>
          </w:p>
        </w:tc>
        <w:tc>
          <w:tcPr>
            <w:tcW w:w="80" w:type="dxa"/>
            <w:vAlign w:val="bottom"/>
          </w:tcPr>
          <w:p>
            <w:pPr>
              <w:spacing w:after="0"/>
              <w:rPr>
                <w:sz w:val="20"/>
                <w:szCs w:val="20"/>
                <w:color w:val="auto"/>
              </w:rPr>
            </w:pPr>
          </w:p>
        </w:tc>
      </w:tr>
      <w:tr>
        <w:trPr>
          <w:trHeight w:val="249"/>
        </w:trPr>
        <w:tc>
          <w:tcPr>
            <w:tcW w:w="2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Maintenance</w:t>
            </w:r>
          </w:p>
        </w:tc>
        <w:tc>
          <w:tcPr>
            <w:tcW w:w="3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143,131</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125,671</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31,451</w:t>
            </w:r>
          </w:p>
        </w:tc>
        <w:tc>
          <w:tcPr>
            <w:tcW w:w="80" w:type="dxa"/>
            <w:vAlign w:val="bottom"/>
            <w:shd w:val="clear" w:color="auto" w:fill="CFF0FC"/>
          </w:tcPr>
          <w:p>
            <w:pPr>
              <w:spacing w:after="0"/>
              <w:rPr>
                <w:sz w:val="21"/>
                <w:szCs w:val="21"/>
                <w:color w:val="auto"/>
              </w:rPr>
            </w:pPr>
          </w:p>
        </w:tc>
      </w:tr>
      <w:tr>
        <w:trPr>
          <w:trHeight w:val="237"/>
        </w:trPr>
        <w:tc>
          <w:tcPr>
            <w:tcW w:w="2940" w:type="dxa"/>
            <w:vAlign w:val="bottom"/>
          </w:tcPr>
          <w:p>
            <w:pPr>
              <w:ind w:left="180"/>
              <w:spacing w:after="0"/>
              <w:rPr>
                <w:sz w:val="20"/>
                <w:szCs w:val="20"/>
                <w:color w:val="auto"/>
              </w:rPr>
            </w:pPr>
            <w:r>
              <w:rPr>
                <w:rFonts w:ascii="Arial" w:cs="Arial" w:eastAsia="Arial" w:hAnsi="Arial"/>
                <w:sz w:val="18"/>
                <w:szCs w:val="18"/>
                <w:color w:val="auto"/>
              </w:rPr>
              <w:t>Rivers &amp; lakes</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5,221</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80" w:type="dxa"/>
            <w:vAlign w:val="bottom"/>
          </w:tcPr>
          <w:p>
            <w:pPr>
              <w:spacing w:after="0"/>
              <w:rPr>
                <w:sz w:val="20"/>
                <w:szCs w:val="20"/>
                <w:color w:val="auto"/>
              </w:rPr>
            </w:pPr>
          </w:p>
        </w:tc>
      </w:tr>
      <w:tr>
        <w:trPr>
          <w:trHeight w:val="277"/>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backlog</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327,147</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377,140</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473,471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-24765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Total dredging backlog does not include approximately $50 million of performance obligations related to offshore wind contracts. The Company expects to perform on its offshore wind contracts using the inclined fall-pipe vessel for subsea rock installation which is expected to be delivered and operational in 2025.</w:t>
      </w:r>
    </w:p>
    <w:p>
      <w:pPr>
        <w:spacing w:after="0" w:line="1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Also, 46% of the Company’s March 31, 2023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The Company’s backlog includes only those projects for which the Company has obtained a signed contract with the customer. A quarterly increase or decrease of the Company’s backlog does not necessarily result in an improvement or a deterioration of the Company’s business.</w:t>
      </w:r>
    </w:p>
    <w:p>
      <w:pPr>
        <w:spacing w:after="0" w:line="10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29, 2022, the Omnibus Appropriations Bill for fiscal year 2023 was signed into law which included another record budget of $8.66 billion for the U.S. Army Corps of Engineers (the "Corps") civil works program of which $2.32 billion is provided for the Harbor Maintenance Trust Fund to maintain and modernize our nation’s waterways. In addition, the Disaster Relief Supplemental Appropriations Act for fiscal year 2023 was approved which included $1.48 billion for the Corps to make necessary repairs to infrastructure impacted by hurricanes and other natural disasters and to initiate beach renourishment projects that will increase coastal resiliency. This increased budget and additional funding support our expectation for a stronger bid market in 2023.</w:t>
      </w:r>
    </w:p>
    <w:p>
      <w:pPr>
        <w:spacing w:after="0" w:line="1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expects these budgeted appropriations to support the funding of several delayed capital port improvement projects including Sabine, Mobile, Houston, Corpus Christi, San Juan and additional phases of Norfolk. Although the Corps was delayed in bidding capital port deepening projects in 2022, the first four months of 2023 have already seen bids for the port improvement projects for Norfolk and Freeport.</w:t>
      </w:r>
    </w:p>
    <w:p>
      <w:pPr>
        <w:spacing w:after="0" w:line="11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 March 2023, President Biden released the President’s Fiscal Year 2024 executive budget. This is the starting point for negotiations in Congress over what will eventually become the actual Federal spending figures. The proposed amount for the Corps targets $7.4 billion, which is a record amount for a President's budget and we are hopeful that based on recent history, Congress will further increase the Corps' budget for fiscal year 2024 when it is passed.</w:t>
      </w:r>
    </w:p>
    <w:p>
      <w:pPr>
        <w:spacing w:after="0" w:line="8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At the end of 2022, the Water Resources Development Act of 2022, or WRDA 2022, was approved by Congress and signed into law by the President. WRDA 2022 is on a two-year renewal cycle and includes legislation that authorizes the financing of Corps’ projects for flood and hurricane protection, dredging, ecosystem restoration and other construction projects. WRDA 2022 featured among many other things authorization for New York and New Jersey shipping channels to be deepened to 55 feet, estimated at $6 billion, as well as the Coastal Texas Protection and Restoration Program, estimated at $34.4 billion which includes dune and marsh restoration to safeguard the Texas Gulf Coast from hurricane surges. In addition, this legislation includes policy changes that will allow future port, waterways, and coastal projects to be more readily approved and funded.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0" w:name="page21"/>
    <w:bookmarkEnd w:id="20"/>
    <w:p>
      <w:pPr>
        <w:ind w:right="80"/>
        <w:spacing w:after="0" w:line="272" w:lineRule="auto"/>
        <w:rPr>
          <w:sz w:val="20"/>
          <w:szCs w:val="20"/>
          <w:color w:val="auto"/>
        </w:rPr>
      </w:pPr>
      <w:r>
        <w:rPr>
          <w:rFonts w:ascii="Arial" w:cs="Arial" w:eastAsia="Arial" w:hAnsi="Arial"/>
          <w:sz w:val="17"/>
          <w:szCs w:val="17"/>
          <w:color w:val="auto"/>
        </w:rPr>
        <w:t>The domestic dredging bid market for the quarter ended March 31, 2023 was $323.0 million, a $124.8 million increase compared to the same period in the prior year. Total domestic dredging bid market for the current year period included awards for a capital project in Norfolk, maintenance projects in Mobile, Jacksonville, Galveston, New Orleans and Puerto Rico, coastal protection project in Florida, and rivers and lakes projects in US inland. For the contracts awarded in the current year, the Company won, 100.0%, or $9.1 million, of the coastal protection projects and 64.4%, or $93.1 million, of the maintenance projects through March 31, 2023. The Company won 31.7% of the overall domestic bid market for the three months ended March 31, 2023, which is slightly lower than the Company’s prior three-year average of 34.9%. Variability in contract wins from quarter to quarter is not unusual and one quarter’s win rate is generally not indicative of the win rate the Company is likely to achieve for a full year.</w:t>
      </w:r>
    </w:p>
    <w:p>
      <w:pPr>
        <w:spacing w:after="0" w:line="110"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Company’s contracted dredging backlog was $327.1 million at March 31, 2023 compared to $377.1 million of backlog at December 31, 2022. These amounts do not reflect approximately $516.9 million of domestic low bids pending formal award and additional phases (“options”) pending on projects currently in backlog at March 31, 2023. At December 31, 2022 the amount of domestic low bids and options pending award was $584.7 million.</w:t>
      </w:r>
    </w:p>
    <w:p>
      <w:pPr>
        <w:spacing w:after="0" w:line="6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Domestic capital dredging backlog at March 31, 2023 was $29.5 million lower than at December 31, 2022. During the three months ended March 31, 2023, the Company continued to earn revenue on deepening projects in Virginia and Texas, and multiple coastal restoration projects in Louisiana. Government funded projects coming into the pipeline include the Norfolk Harbor deepening, as well as additional phase of Corpus Christi. These deepenings continue the trend of ensuring all East Coast and Gulf of Mexico ports will be able to accommodate the deeper draft vessels currently used on several trade routes. In addition, multiple project phases for port deepenings in Norfolk and the Houston ship channel are expected to continue for the next several years. The nation’s governors continue to show commitment to their respective ports through engagement and funding. Finally, Congress has also shown a commitment to ports and waterways, providing record annual budgets for the Corps for port deepening and channel maintenance. In addition to this port work, a greater amount of coastal restoration and rehabilitation projects are being funded in the Gulf Coast region as the states utilize available monies for ecosystem priorities, a portion of which is allocated to dredging.</w:t>
      </w:r>
    </w:p>
    <w:p>
      <w:pPr>
        <w:spacing w:after="0" w:line="11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Coastal protection dredging backlog decreased $35.8 million from December 31, 2022. In the three months ended March 31, 2023, the Company was awarded one coastal protection project in Florida. During the three months ended March 31, 2023, the Company continued to earn revenue on coastal protection projects in New Jersey, New York, Virginia, and North Carolina which were in backlog at December 31, 2022. Coastal protection and storm impacts continue to provide the major impetus for coastal project investment at federal and state levels. Strong hurricane and storm seasons have resulted in an increase in beach erosion and other damage which adds to the recurring nature of our business and the need for more frequent coastal protection and port maintenance projects. As a result of the extreme storm systems in prior years involving Hurricanes Harvey, Irma, and Maria, the U.S. Congress passed supplemental appropriations for disaster relief and recovery which includes $17.4 billion for the Corps to fund projects that will reduce the risk of future damage from flood and storm events. The Corps is beginning to provide visibility on its plans for this money, and it is expected that approximately $1.8 billion will be allocated to dredging-related work. Most of this work is anticipated to be coastal protection related, but some funding may be provided for channel maintenance. During 2019, an additional $3.3 billion of supplemental appropriations was approved for disaster relief funding as a result of Hurricane Florence and Hurricane Michael.</w:t>
      </w:r>
    </w:p>
    <w:p>
      <w:pPr>
        <w:spacing w:after="0" w:line="11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Maintenance dredging backlog increased $17.5 million from December 31, 2022. During the three months ended March 31, 2023, the Company was awarded one maintenance project of $93.1 million in Puerto Rico. the Company continued to earn revenue on projects in Louisiana, Georgia, South and North Carolina, Florida, and Texas that were in backlog at December 31, 2022. Past WRDA bills called for full use of the HMTF for its intended purpose of maintaining future access to the waterways and ports that support our nation’s economy. On March 27, 2020, the U.S. government enacted the CARES Act which includes a provision that lifts caps on the HMTF, thereby allowing full access to future annual revenues. Through the increased appropriation of HMTF monies, the Company anticipates increased funding for harbor maintenance projects to be let for bid.</w:t>
      </w:r>
    </w:p>
    <w:p>
      <w:pPr>
        <w:spacing w:after="0" w:line="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Rivers &amp; lakes backlog at March 31, 2023 was down $2.2 million compared to backlog at December 31, 2022. For the three months ended March 31, 2023, the Company continued to earn revenue on projects in Tennessee and Arkansas which was in backlog at December 31,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Company’s principal sources of liquidity are net cash flows provided by operating activities, proceeds from previous issuances of long-term debt, and draws on our revolver. The Company’s principal uses of cash are to meet debt service requirements, finance capital expenditures, provide working capital and other general corporate purposes.</w:t>
      </w:r>
    </w:p>
    <w:p>
      <w:pPr>
        <w:spacing w:after="0" w:line="10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Company’s cash provided by operating activities for the three months ended March 31, 2023 and 2022 was $9.3 million and $26.3 million in cash, respectively. Normal increases or decreases in the level of working capital relative to the level of operational activity impact cash flow from operating activities. The decrease in cash provided by operating activities during the three months ended March 31, 2023 compared to the same period in the prior year was due to a decrease in net income as well as an increase in working capital due to an increase in accounts receivable during the current year when compared to the same period in the prior year.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ind w:right="40"/>
        <w:spacing w:after="0" w:line="253" w:lineRule="auto"/>
        <w:rPr>
          <w:sz w:val="20"/>
          <w:szCs w:val="20"/>
          <w:color w:val="auto"/>
        </w:rPr>
      </w:pPr>
      <w:r>
        <w:rPr>
          <w:rFonts w:ascii="Arial" w:cs="Arial" w:eastAsia="Arial" w:hAnsi="Arial"/>
          <w:sz w:val="18"/>
          <w:szCs w:val="18"/>
          <w:color w:val="auto"/>
        </w:rPr>
        <w:t xml:space="preserve">The Company’s cash flows used in investing activities for the three months ended March 31, 2023 and 2022 totaled $33.6 million and $27.8 million, respectively. Investing activities primarily relate to vessel construction and normal course upgrades and capital maintenance of the Company’s dredging fleet. The Company is currently building a 6,500 cubic yard trailing suction hopper dredge, the </w:t>
      </w:r>
      <w:r>
        <w:rPr>
          <w:rFonts w:ascii="Arial" w:cs="Arial" w:eastAsia="Arial" w:hAnsi="Arial"/>
          <w:sz w:val="18"/>
          <w:szCs w:val="18"/>
          <w:i w:val="1"/>
          <w:iCs w:val="1"/>
          <w:color w:val="auto"/>
        </w:rPr>
        <w:t>Galveston Island</w:t>
      </w:r>
      <w:r>
        <w:rPr>
          <w:rFonts w:ascii="Arial" w:cs="Arial" w:eastAsia="Arial" w:hAnsi="Arial"/>
          <w:sz w:val="18"/>
          <w:szCs w:val="18"/>
          <w:color w:val="auto"/>
        </w:rPr>
        <w:t xml:space="preserve">, which is expected to be operational in mid-year 2023, additionally, in June 2022 the Company exercised the contract option with the same builder to build a second 6,500 cubic yard trailing suction hopper dredge, the </w:t>
      </w:r>
      <w:r>
        <w:rPr>
          <w:rFonts w:ascii="Arial" w:cs="Arial" w:eastAsia="Arial" w:hAnsi="Arial"/>
          <w:sz w:val="18"/>
          <w:szCs w:val="18"/>
          <w:i w:val="1"/>
          <w:iCs w:val="1"/>
          <w:color w:val="auto"/>
        </w:rPr>
        <w:t>Amelia Island</w:t>
      </w:r>
      <w:r>
        <w:rPr>
          <w:rFonts w:ascii="Arial" w:cs="Arial" w:eastAsia="Arial" w:hAnsi="Arial"/>
          <w:sz w:val="18"/>
          <w:szCs w:val="18"/>
          <w:color w:val="auto"/>
        </w:rPr>
        <w:t xml:space="preserve">, with expected delivery in 2025. The delivery of the new </w:t>
      </w:r>
      <w:r>
        <w:rPr>
          <w:rFonts w:ascii="Arial" w:cs="Arial" w:eastAsia="Arial" w:hAnsi="Arial"/>
          <w:sz w:val="18"/>
          <w:szCs w:val="18"/>
          <w:i w:val="1"/>
          <w:iCs w:val="1"/>
          <w:color w:val="auto"/>
        </w:rPr>
        <w:t>Galveston Island</w:t>
      </w:r>
      <w:r>
        <w:rPr>
          <w:rFonts w:ascii="Arial" w:cs="Arial" w:eastAsia="Arial" w:hAnsi="Arial"/>
          <w:sz w:val="18"/>
          <w:szCs w:val="18"/>
          <w:color w:val="auto"/>
        </w:rPr>
        <w:t xml:space="preserve"> and </w:t>
      </w:r>
      <w:r>
        <w:rPr>
          <w:rFonts w:ascii="Arial" w:cs="Arial" w:eastAsia="Arial" w:hAnsi="Arial"/>
          <w:sz w:val="18"/>
          <w:szCs w:val="18"/>
          <w:i w:val="1"/>
          <w:iCs w:val="1"/>
          <w:color w:val="auto"/>
        </w:rPr>
        <w:t>Amelia Island</w:t>
      </w:r>
      <w:r>
        <w:rPr>
          <w:rFonts w:ascii="Arial" w:cs="Arial" w:eastAsia="Arial" w:hAnsi="Arial"/>
          <w:sz w:val="18"/>
          <w:szCs w:val="18"/>
          <w:color w:val="auto"/>
        </w:rPr>
        <w:t xml:space="preserve"> hopper dredges will provide the Company with added capacity and the opportunity to potentially retire older dredges. In November 2021, the Company entered into a $197 million contract with Philly Shipyard to build the first U.S. flagged Jones Act compliant, inclined fall-pipe vessel for subsea rock installation for wind turbine foundations to support the new U.S. offshore wind industry, the </w:t>
      </w:r>
      <w:r>
        <w:rPr>
          <w:rFonts w:ascii="Arial" w:cs="Arial" w:eastAsia="Arial" w:hAnsi="Arial"/>
          <w:sz w:val="18"/>
          <w:szCs w:val="18"/>
          <w:i w:val="1"/>
          <w:iCs w:val="1"/>
          <w:color w:val="auto"/>
        </w:rPr>
        <w:t>Acadia</w:t>
      </w:r>
      <w:r>
        <w:rPr>
          <w:rFonts w:ascii="Arial" w:cs="Arial" w:eastAsia="Arial" w:hAnsi="Arial"/>
          <w:sz w:val="18"/>
          <w:szCs w:val="18"/>
          <w:color w:val="auto"/>
        </w:rPr>
        <w:t xml:space="preserve">, which is expected to be delivered and operational in the first half of 2025. In July 2021, the Company announced a contract to build two multifunctional all-purpose vessels (“multicats”). During the three months ended March 31, 2023, the Company invested $9.6 million in the </w:t>
      </w:r>
      <w:r>
        <w:rPr>
          <w:rFonts w:ascii="Arial" w:cs="Arial" w:eastAsia="Arial" w:hAnsi="Arial"/>
          <w:sz w:val="18"/>
          <w:szCs w:val="18"/>
          <w:i w:val="1"/>
          <w:iCs w:val="1"/>
          <w:color w:val="auto"/>
        </w:rPr>
        <w:t>Galveston Island</w:t>
      </w:r>
      <w:r>
        <w:rPr>
          <w:rFonts w:ascii="Arial" w:cs="Arial" w:eastAsia="Arial" w:hAnsi="Arial"/>
          <w:sz w:val="18"/>
          <w:szCs w:val="18"/>
          <w:color w:val="auto"/>
        </w:rPr>
        <w:t xml:space="preserve">, $10.4 million in the </w:t>
      </w:r>
      <w:r>
        <w:rPr>
          <w:rFonts w:ascii="Arial" w:cs="Arial" w:eastAsia="Arial" w:hAnsi="Arial"/>
          <w:sz w:val="18"/>
          <w:szCs w:val="18"/>
          <w:i w:val="1"/>
          <w:iCs w:val="1"/>
          <w:color w:val="auto"/>
        </w:rPr>
        <w:t>Amelia Island</w:t>
      </w:r>
      <w:r>
        <w:rPr>
          <w:rFonts w:ascii="Arial" w:cs="Arial" w:eastAsia="Arial" w:hAnsi="Arial"/>
          <w:sz w:val="18"/>
          <w:szCs w:val="18"/>
          <w:color w:val="auto"/>
        </w:rPr>
        <w:t xml:space="preserve">, $4.3 million in the </w:t>
      </w:r>
      <w:r>
        <w:rPr>
          <w:rFonts w:ascii="Arial" w:cs="Arial" w:eastAsia="Arial" w:hAnsi="Arial"/>
          <w:sz w:val="18"/>
          <w:szCs w:val="18"/>
          <w:i w:val="1"/>
          <w:iCs w:val="1"/>
          <w:color w:val="auto"/>
        </w:rPr>
        <w:t>Acadia</w:t>
      </w:r>
      <w:r>
        <w:rPr>
          <w:rFonts w:ascii="Arial" w:cs="Arial" w:eastAsia="Arial" w:hAnsi="Arial"/>
          <w:sz w:val="18"/>
          <w:szCs w:val="18"/>
          <w:color w:val="auto"/>
        </w:rPr>
        <w:t>, and $2.8 million in the multicats.</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cash flows provided by financing activities for the three months ended March 31, 2023 totaled $50.2 million compared to cash flows used by financing activities of $1.4 million for the three months ended March 31, 2022. The increase in net cash flows provided by financing activities is primarily due to net borrowings on the Company’s revolver during the first three months of 2023 of $50 million, compared to zero net borrowings for the same period in the prior year.</w:t>
      </w:r>
    </w:p>
    <w:p>
      <w:pPr>
        <w:spacing w:after="0" w:line="10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expects to spend approximately $175 million on capital expenditures in 2023 which is comprised of vessels in our new build program and maintenance capital expenditures. As of March 31, 2023, the Company has drawn $50 million on the Amended Credit Agreement to support payments related to the new build program. In January 2023, the Company applied with the Maritime Administration or MARAD, which is a unit of the U.S. Department of Transportation, for Title XI financing. If approved, we could borrow a portion of the acquisition cost of the subsea rock installation vessel with repayment terms of up to 25 years at rates tied to U.S. Treasury rates. MARAD announced in 2022 that they want to facilitate more offshore wind construction and have designated vessels like our subsea rock installation ship, “Vessels of National Interest” which will prioritize our application for review and funding through Title XI. The review and approval process is expected to be completed later in 2023. The Company anticipates that remaining new build program payments will be made with cash on hand, future cash flows generated from operations, revolver availability and potential new sources of financing.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contingencies and liquidity matters</w:t>
      </w:r>
    </w:p>
    <w:p>
      <w:pPr>
        <w:spacing w:after="0" w:line="15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Refer to Note 4, Long-term debt, in the Notes to Condensed Consolidated Financial Statements for discussion of the Company’s Amended Credit Agreement and 2029 Notes. Additionally, refer to Note 8, Commitments and contingencies, in the Notes to Condensed Consolidated Financial Statements for discussion of the Company’s surety agreements.</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March 2023, the Company’s corporate credit ratings were downgraded by S&amp;P Global Ratings and Moody’s Investors Service to CCC+ and B2, respectively. In addition, both firms placed the Company’s credit rating on a negative outlook. These credit ratings continue to be below investment grade and could adversely affect its ability to renew the existing credit facility, obtain access to new credit facilities or otherwise issue debt in the future and could increase the cost of such debt.</w:t>
      </w:r>
    </w:p>
    <w:p>
      <w:pPr>
        <w:spacing w:after="0" w:line="1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Amended Credit Agreement and bonding agreements, depends on its future operating performance and cash flows, which in turn, are subject to prevailing economic conditions and to financial, business and other factors, some of which are beyond the Company’s control.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preparing its consolidated financial statements, the Company follows GAAP, which is described in Note 1, Basis of presentation, to the Company’s December 31, 2022 Consolidated Financial Statements included in the Company’s Annual Report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Except as noted in Note 1, Basis of presentation, of the Company’s financial statements, there have been no material changes in the Company’s critical accounting policies or estimates since December 31, 2022.</w:t>
      </w:r>
    </w:p>
    <w:p>
      <w:pPr>
        <w:spacing w:after="0" w:line="1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market risk of the Company’s financial instruments as of March 31, 2023 has not materially changed since December 31, 2022. The market risk profile of the Company on December 31, 2022 is disclosed in Item 7A. “Quantitative and Qualitative Disclosures about Market Risk” of the Company’s Annual Report on Form 10-K for the year ended December 31, 2022.</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5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March 31, 2023.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as of March 31, 2023 in providing such a reasonable assurance.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5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under the Exchange Act) during the fiscal quarter ended March 31, 2023 that have materially affected, or are reasonably likely to materially affect, our internal control over financial reporting.</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sectPr>
      </w:pPr>
    </w:p>
    <w:bookmarkStart w:id="23" w:name="page24"/>
    <w:bookmarkEnd w:id="23"/>
    <w:p>
      <w:pPr>
        <w:jc w:val="center"/>
        <w:ind w:right="-159"/>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See Note 8, Commitments and contingencies, in the Notes to Condensed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during the three months ended March 31, 2023 to the risk factors previously disclosed in Item 1A. “Risk Factors” in the Company’s Annual Report on Form 10-K for the year ended December 31, 2022.</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234"/>
        </w:trPr>
        <w:tc>
          <w:tcPr>
            <w:tcW w:w="7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gridSpan w:val="10"/>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426"/>
        </w:trPr>
        <w:tc>
          <w:tcPr>
            <w:tcW w:w="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6"/>
              </w:rPr>
              <w:t>Number</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gridSpan w:val="6"/>
          </w:tcPr>
          <w:p>
            <w:pPr>
              <w:ind w:left="2040"/>
              <w:spacing w:after="0"/>
              <w:rPr>
                <w:sz w:val="20"/>
                <w:szCs w:val="20"/>
                <w:color w:val="auto"/>
              </w:rPr>
            </w:pPr>
            <w:r>
              <w:rPr>
                <w:rFonts w:ascii="Arial" w:cs="Arial" w:eastAsia="Arial" w:hAnsi="Arial"/>
                <w:sz w:val="18"/>
                <w:szCs w:val="18"/>
                <w:b w:val="1"/>
                <w:bCs w:val="1"/>
                <w:color w:val="auto"/>
              </w:rPr>
              <w:t>Document Description</w:t>
            </w:r>
          </w:p>
        </w:tc>
      </w:tr>
      <w:tr>
        <w:trPr>
          <w:trHeight w:val="229"/>
        </w:trPr>
        <w:tc>
          <w:tcPr>
            <w:tcW w:w="360" w:type="dxa"/>
            <w:vAlign w:val="bottom"/>
            <w:gridSpan w:val="2"/>
          </w:tcPr>
          <w:p>
            <w:pPr>
              <w:ind w:left="20"/>
              <w:spacing w:after="0"/>
              <w:rPr>
                <w:rFonts w:ascii="Arial" w:cs="Arial" w:eastAsia="Arial" w:hAnsi="Arial"/>
                <w:sz w:val="18"/>
                <w:szCs w:val="18"/>
                <w:color w:val="0000FF"/>
              </w:rPr>
            </w:pPr>
            <w:hyperlink r:id="rId122">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8"/>
          </w:tcPr>
          <w:p>
            <w:pPr>
              <w:spacing w:after="0"/>
              <w:rPr>
                <w:rFonts w:ascii="Arial" w:cs="Arial" w:eastAsia="Arial" w:hAnsi="Arial"/>
                <w:sz w:val="18"/>
                <w:szCs w:val="18"/>
                <w:color w:val="0000FF"/>
                <w:w w:val="91"/>
              </w:rPr>
            </w:pPr>
            <w:hyperlink r:id="rId122">
              <w:r>
                <w:rPr>
                  <w:rFonts w:ascii="Arial" w:cs="Arial" w:eastAsia="Arial" w:hAnsi="Arial"/>
                  <w:sz w:val="18"/>
                  <w:szCs w:val="18"/>
                  <w:color w:val="0000FF"/>
                  <w:w w:val="91"/>
                </w:rPr>
                <w:t>Second Amended and Restated Bylaws of Great Lakes Dredge &amp; Dock Corporation, dated as of January 12, 2023. (Incorporated by reference</w:t>
              </w:r>
            </w:hyperlink>
          </w:p>
        </w:tc>
      </w:tr>
      <w:tr>
        <w:trPr>
          <w:trHeight w:val="196"/>
        </w:trPr>
        <w:tc>
          <w:tcPr>
            <w:tcW w:w="24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122">
              <w:r>
                <w:rPr>
                  <w:rFonts w:ascii="Arial" w:cs="Arial" w:eastAsia="Arial" w:hAnsi="Arial"/>
                  <w:sz w:val="18"/>
                  <w:szCs w:val="18"/>
                  <w:color w:val="0000FF"/>
                  <w:w w:val="91"/>
                </w:rPr>
                <w:t>to Great Lakes Dredge &amp; Dock Corporation’s Current Report on Form 8-K filed with the Commission on January 19, 2023).</w:t>
              </w:r>
            </w:hyperlink>
          </w:p>
        </w:tc>
        <w:tc>
          <w:tcPr>
            <w:tcW w:w="1280" w:type="dxa"/>
            <w:vAlign w:val="bottom"/>
            <w:tcBorders>
              <w:top w:val="single" w:sz="8" w:color="0000FF"/>
            </w:tcBorders>
            <w:gridSpan w:val="4"/>
          </w:tcPr>
          <w:p>
            <w:pPr>
              <w:spacing w:after="0"/>
              <w:rPr>
                <w:sz w:val="17"/>
                <w:szCs w:val="17"/>
                <w:color w:val="auto"/>
              </w:rPr>
            </w:pPr>
          </w:p>
        </w:tc>
        <w:tc>
          <w:tcPr>
            <w:tcW w:w="60" w:type="dxa"/>
            <w:vAlign w:val="bottom"/>
          </w:tcPr>
          <w:p>
            <w:pPr>
              <w:spacing w:after="0"/>
              <w:rPr>
                <w:sz w:val="17"/>
                <w:szCs w:val="17"/>
                <w:color w:val="auto"/>
              </w:rPr>
            </w:pPr>
          </w:p>
        </w:tc>
      </w:tr>
      <w:tr>
        <w:trPr>
          <w:trHeight w:val="344"/>
        </w:trPr>
        <w:tc>
          <w:tcPr>
            <w:tcW w:w="360" w:type="dxa"/>
            <w:vAlign w:val="bottom"/>
            <w:gridSpan w:val="2"/>
          </w:tcPr>
          <w:p>
            <w:pPr>
              <w:ind w:left="20"/>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8"/>
          </w:tcPr>
          <w:p>
            <w:pPr>
              <w:spacing w:after="0"/>
              <w:rPr>
                <w:sz w:val="20"/>
                <w:szCs w:val="20"/>
                <w:color w:val="auto"/>
              </w:rPr>
            </w:pPr>
            <w:r>
              <w:rPr>
                <w:rFonts w:ascii="Arial" w:cs="Arial" w:eastAsia="Arial" w:hAnsi="Arial"/>
                <w:sz w:val="18"/>
                <w:szCs w:val="18"/>
                <w:color w:val="0000FF"/>
                <w:w w:val="96"/>
              </w:rPr>
              <w:t>Consulting Agreement between Great Lakes Dredge &amp; Dock Company, LLC and David E. Simonelli, dated as of December 1, 2022. *†</w:t>
            </w:r>
          </w:p>
        </w:tc>
      </w:tr>
      <w:tr>
        <w:trPr>
          <w:trHeight w:val="20"/>
        </w:trPr>
        <w:tc>
          <w:tcPr>
            <w:tcW w:w="3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7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345"/>
        </w:trPr>
        <w:tc>
          <w:tcPr>
            <w:tcW w:w="36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Certification Pursuant to Rules 13a-14 and 15d-14 under the Securities Exchange Act of 1934, as Adopted Pursuant to Section 302 of the</w:t>
            </w:r>
          </w:p>
        </w:tc>
        <w:tc>
          <w:tcPr>
            <w:tcW w:w="380" w:type="dxa"/>
            <w:vAlign w:val="bottom"/>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1"/>
              </w:rPr>
              <w:t>Sarbanes-Oxley Act of 2002. *</w:t>
            </w:r>
          </w:p>
        </w:tc>
        <w:tc>
          <w:tcPr>
            <w:tcW w:w="8080" w:type="dxa"/>
            <w:vAlign w:val="bottom"/>
            <w:gridSpan w:val="7"/>
          </w:tcPr>
          <w:p>
            <w:pPr>
              <w:spacing w:after="0"/>
              <w:rPr>
                <w:sz w:val="17"/>
                <w:szCs w:val="17"/>
                <w:color w:val="auto"/>
              </w:rPr>
            </w:pPr>
          </w:p>
        </w:tc>
      </w:tr>
      <w:tr>
        <w:trPr>
          <w:trHeight w:val="344"/>
        </w:trPr>
        <w:tc>
          <w:tcPr>
            <w:tcW w:w="36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Certification Pursuant to Rules 13a-14 and 15d-14 under the Securities Exchange Act of 1934, as Adopted Pursuant to Section 302 of the</w:t>
            </w:r>
          </w:p>
        </w:tc>
        <w:tc>
          <w:tcPr>
            <w:tcW w:w="380" w:type="dxa"/>
            <w:vAlign w:val="bottom"/>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1"/>
              </w:rPr>
              <w:t>Sarbanes-Oxley Act of 2002. *</w:t>
            </w:r>
          </w:p>
        </w:tc>
        <w:tc>
          <w:tcPr>
            <w:tcW w:w="20" w:type="dxa"/>
            <w:vAlign w:val="bottom"/>
            <w:tcBorders>
              <w:bottom w:val="single" w:sz="8" w:color="0000EE"/>
            </w:tcBorders>
          </w:tcPr>
          <w:p>
            <w:pPr>
              <w:spacing w:after="0"/>
              <w:rPr>
                <w:sz w:val="17"/>
                <w:szCs w:val="17"/>
                <w:color w:val="auto"/>
              </w:rPr>
            </w:pPr>
          </w:p>
        </w:tc>
        <w:tc>
          <w:tcPr>
            <w:tcW w:w="8060" w:type="dxa"/>
            <w:vAlign w:val="bottom"/>
            <w:gridSpan w:val="6"/>
          </w:tcPr>
          <w:p>
            <w:pPr>
              <w:spacing w:after="0"/>
              <w:rPr>
                <w:sz w:val="17"/>
                <w:szCs w:val="17"/>
                <w:color w:val="auto"/>
              </w:rPr>
            </w:pPr>
          </w:p>
        </w:tc>
      </w:tr>
      <w:tr>
        <w:trPr>
          <w:trHeight w:val="344"/>
        </w:trPr>
        <w:tc>
          <w:tcPr>
            <w:tcW w:w="36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Certification Pursuant to 18 U.S.C. Section 1350, as Adopted Pursuant to Section 906 of the Sarbanes-Oxley Act of 2002. **</w:t>
            </w:r>
          </w:p>
        </w:tc>
        <w:tc>
          <w:tcPr>
            <w:tcW w:w="1300" w:type="dxa"/>
            <w:vAlign w:val="bottom"/>
            <w:gridSpan w:val="4"/>
          </w:tcPr>
          <w:p>
            <w:pPr>
              <w:spacing w:after="0"/>
              <w:rPr>
                <w:sz w:val="24"/>
                <w:szCs w:val="24"/>
                <w:color w:val="auto"/>
              </w:rPr>
            </w:pPr>
          </w:p>
        </w:tc>
      </w:tr>
      <w:tr>
        <w:trPr>
          <w:trHeight w:val="344"/>
        </w:trPr>
        <w:tc>
          <w:tcPr>
            <w:tcW w:w="36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Certification Pursuant to 18 U.S.C. Section 1350, as Adopted Pursuant to Section 906 of the Sarbanes-Oxley Act of 2002. **</w:t>
            </w:r>
          </w:p>
        </w:tc>
        <w:tc>
          <w:tcPr>
            <w:tcW w:w="1300" w:type="dxa"/>
            <w:vAlign w:val="bottom"/>
            <w:gridSpan w:val="4"/>
          </w:tcPr>
          <w:p>
            <w:pPr>
              <w:spacing w:after="0"/>
              <w:rPr>
                <w:sz w:val="24"/>
                <w:szCs w:val="24"/>
                <w:color w:val="auto"/>
              </w:rPr>
            </w:pPr>
          </w:p>
        </w:tc>
      </w:tr>
      <w:tr>
        <w:trPr>
          <w:trHeight w:val="385"/>
        </w:trPr>
        <w:tc>
          <w:tcPr>
            <w:tcW w:w="360" w:type="dxa"/>
            <w:vAlign w:val="bottom"/>
            <w:gridSpan w:val="2"/>
          </w:tcPr>
          <w:p>
            <w:pPr>
              <w:ind w:left="20"/>
              <w:spacing w:after="0"/>
              <w:rPr>
                <w:sz w:val="20"/>
                <w:szCs w:val="20"/>
                <w:color w:val="auto"/>
              </w:rPr>
            </w:pPr>
            <w:r>
              <w:rPr>
                <w:rFonts w:ascii="Arial" w:cs="Arial" w:eastAsia="Arial" w:hAnsi="Arial"/>
                <w:sz w:val="18"/>
                <w:szCs w:val="18"/>
                <w:color w:val="auto"/>
                <w:w w:val="99"/>
              </w:rPr>
              <w:t>101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8"/>
          </w:tcPr>
          <w:p>
            <w:pPr>
              <w:spacing w:after="0"/>
              <w:rPr>
                <w:sz w:val="20"/>
                <w:szCs w:val="20"/>
                <w:color w:val="auto"/>
              </w:rPr>
            </w:pPr>
            <w:r>
              <w:rPr>
                <w:rFonts w:ascii="Arial" w:cs="Arial" w:eastAsia="Arial" w:hAnsi="Arial"/>
                <w:sz w:val="18"/>
                <w:szCs w:val="18"/>
                <w:color w:val="auto"/>
                <w:w w:val="93"/>
              </w:rPr>
              <w:t>Interactive Data Files pursuant to Rule 405 of Regulation S-T formatted in Inline Extensible Business Reporting Language ("Inline XBRL") *</w:t>
            </w:r>
          </w:p>
        </w:tc>
      </w:tr>
    </w:tbl>
    <w:p>
      <w:pPr>
        <w:spacing w:after="0" w:line="350" w:lineRule="exact"/>
        <w:rPr>
          <w:sz w:val="20"/>
          <w:szCs w:val="20"/>
          <w:color w:val="auto"/>
        </w:rPr>
      </w:pPr>
    </w:p>
    <w:p>
      <w:pPr>
        <w:ind w:right="3660" w:firstLine="21"/>
        <w:spacing w:after="0" w:line="524" w:lineRule="auto"/>
        <w:tabs>
          <w:tab w:leader="none" w:pos="918"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 * * Filed herewith</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Compensatory plan or arrangement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Great Lakes Dredge &amp; Dock Corporation</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(registrant)</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w:t>
      </w:r>
    </w:p>
    <w:p>
      <w:pPr>
        <w:spacing w:after="0" w:line="12" w:lineRule="exact"/>
        <w:rPr>
          <w:sz w:val="20"/>
          <w:szCs w:val="20"/>
          <w:color w:val="auto"/>
        </w:rPr>
      </w:pPr>
    </w:p>
    <w:p>
      <w:pPr>
        <w:ind w:left="6780"/>
        <w:spacing w:after="0"/>
        <w:tabs>
          <w:tab w:leader="none" w:pos="8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 S</w:t>
      </w:r>
      <w:r>
        <w:rPr>
          <w:rFonts w:ascii="Arial" w:cs="Arial" w:eastAsia="Arial" w:hAnsi="Arial"/>
          <w:sz w:val="12"/>
          <w:szCs w:val="12"/>
          <w:color w:val="auto"/>
        </w:rPr>
        <w:t>cott</w:t>
      </w:r>
      <w:r>
        <w:rPr>
          <w:rFonts w:ascii="Arial" w:cs="Arial" w:eastAsia="Arial" w:hAnsi="Arial"/>
          <w:sz w:val="18"/>
          <w:szCs w:val="18"/>
          <w:color w:val="auto"/>
        </w:rPr>
        <w:t xml:space="preserve"> K</w:t>
      </w:r>
      <w:r>
        <w:rPr>
          <w:rFonts w:ascii="Arial" w:cs="Arial" w:eastAsia="Arial" w:hAnsi="Arial"/>
          <w:sz w:val="12"/>
          <w:szCs w:val="12"/>
          <w:color w:val="auto"/>
        </w:rPr>
        <w:t>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13335</wp:posOffset>
            </wp:positionV>
            <wp:extent cx="26231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5" w:lineRule="exact"/>
        <w:rPr>
          <w:sz w:val="20"/>
          <w:szCs w:val="20"/>
          <w:color w:val="auto"/>
        </w:rPr>
      </w:pPr>
    </w:p>
    <w:p>
      <w:pPr>
        <w:jc w:val="center"/>
        <w:ind w:left="7080"/>
        <w:spacing w:after="0"/>
        <w:rPr>
          <w:sz w:val="20"/>
          <w:szCs w:val="20"/>
          <w:color w:val="auto"/>
        </w:rPr>
      </w:pPr>
      <w:r>
        <w:rPr>
          <w:rFonts w:ascii="Arial" w:cs="Arial" w:eastAsia="Arial" w:hAnsi="Arial"/>
          <w:sz w:val="13"/>
          <w:szCs w:val="13"/>
          <w:b w:val="1"/>
          <w:bCs w:val="1"/>
          <w:color w:val="auto"/>
        </w:rPr>
        <w:t>Scott Kornblau</w:t>
      </w:r>
    </w:p>
    <w:p>
      <w:pPr>
        <w:spacing w:after="0" w:line="26" w:lineRule="exact"/>
        <w:rPr>
          <w:sz w:val="20"/>
          <w:szCs w:val="20"/>
          <w:color w:val="auto"/>
        </w:rPr>
      </w:pPr>
    </w:p>
    <w:p>
      <w:pPr>
        <w:jc w:val="center"/>
        <w:ind w:left="7080"/>
        <w:spacing w:after="0"/>
        <w:rPr>
          <w:sz w:val="20"/>
          <w:szCs w:val="20"/>
          <w:color w:val="auto"/>
        </w:rPr>
      </w:pPr>
      <w:r>
        <w:rPr>
          <w:rFonts w:ascii="Arial" w:cs="Arial" w:eastAsia="Arial" w:hAnsi="Arial"/>
          <w:sz w:val="13"/>
          <w:szCs w:val="13"/>
          <w:b w:val="1"/>
          <w:bCs w:val="1"/>
          <w:color w:val="auto"/>
        </w:rPr>
        <w:t>Senior Vice President, Chief Financial Officer and Treasurer</w:t>
      </w:r>
    </w:p>
    <w:p>
      <w:pPr>
        <w:spacing w:after="0" w:line="26" w:lineRule="exact"/>
        <w:rPr>
          <w:sz w:val="20"/>
          <w:szCs w:val="20"/>
          <w:color w:val="auto"/>
        </w:rPr>
      </w:pPr>
    </w:p>
    <w:p>
      <w:pPr>
        <w:jc w:val="center"/>
        <w:ind w:left="7080"/>
        <w:spacing w:after="0"/>
        <w:rPr>
          <w:sz w:val="20"/>
          <w:szCs w:val="20"/>
          <w:color w:val="auto"/>
        </w:rPr>
      </w:pPr>
      <w:r>
        <w:rPr>
          <w:rFonts w:ascii="Arial" w:cs="Arial" w:eastAsia="Arial" w:hAnsi="Arial"/>
          <w:sz w:val="13"/>
          <w:szCs w:val="13"/>
          <w:b w:val="1"/>
          <w:bCs w:val="1"/>
          <w:color w:val="auto"/>
        </w:rPr>
        <w:t>(Principal Financial Officer and Duly Authorized Officer)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2, 2023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10.1</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LP 21679688.4 \ 41803-111193</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CONSULTING AGREEMENT</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CONSULTING AGREEMENT (“Agreement”) is made and entered into as of the 1st day of December, 2022 (the “Effective Date”), by and between Great Lakes Dredge &amp; Dock Company, LLC, the (“Company”), and David E. Simonelli, an individual (“Consultant”).</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SECTION 1. Engagement.</w:t>
      </w:r>
      <w:r>
        <w:rPr>
          <w:rFonts w:ascii="Arial" w:cs="Arial" w:eastAsia="Arial" w:hAnsi="Arial"/>
          <w:sz w:val="22"/>
          <w:szCs w:val="22"/>
          <w:color w:val="auto"/>
        </w:rPr>
        <w:t xml:space="preserve"> During the Consulting Term (as defined below), the Company engages Consultant, and Consultant agrees to provide to the Company the Services described in Section 2.</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2. Consulting Services.</w:t>
      </w:r>
    </w:p>
    <w:p>
      <w:pPr>
        <w:spacing w:after="0" w:line="233" w:lineRule="exact"/>
        <w:rPr>
          <w:sz w:val="20"/>
          <w:szCs w:val="20"/>
          <w:color w:val="auto"/>
        </w:rPr>
      </w:pPr>
    </w:p>
    <w:p>
      <w:pPr>
        <w:jc w:val="both"/>
        <w:ind w:firstLine="8"/>
        <w:spacing w:after="0" w:line="245" w:lineRule="auto"/>
        <w:tabs>
          <w:tab w:leader="none" w:pos="303" w:val="left"/>
        </w:tabs>
        <w:numPr>
          <w:ilvl w:val="0"/>
          <w:numId w:val="13"/>
        </w:numPr>
        <w:rPr>
          <w:rFonts w:ascii="Arial" w:cs="Arial" w:eastAsia="Arial" w:hAnsi="Arial"/>
          <w:sz w:val="21"/>
          <w:szCs w:val="21"/>
          <w:color w:val="auto"/>
        </w:rPr>
      </w:pPr>
      <w:r>
        <w:rPr>
          <w:rFonts w:ascii="Arial" w:cs="Arial" w:eastAsia="Arial" w:hAnsi="Arial"/>
          <w:sz w:val="21"/>
          <w:szCs w:val="21"/>
          <w:color w:val="auto"/>
        </w:rPr>
        <w:t xml:space="preserve">Consultant shall provide Consulting Services to the Company as may be designated by the Company </w:t>
      </w:r>
      <w:r>
        <w:rPr>
          <w:rFonts w:ascii="Arial" w:cs="Arial" w:eastAsia="Arial" w:hAnsi="Arial"/>
          <w:sz w:val="21"/>
          <w:szCs w:val="21"/>
          <w:u w:val="single" w:color="auto"/>
          <w:color w:val="auto"/>
        </w:rPr>
        <w:t>in writing</w:t>
      </w:r>
      <w:r>
        <w:rPr>
          <w:rFonts w:ascii="Arial" w:cs="Arial" w:eastAsia="Arial" w:hAnsi="Arial"/>
          <w:sz w:val="21"/>
          <w:szCs w:val="21"/>
          <w:color w:val="auto"/>
        </w:rPr>
        <w:t xml:space="preserve"> from time to time such as but not limited to services of a general nature including providing guidance and advisory services to Operations, Project Services &amp; Fleet Engineering focusing on safety and operational challenges, performing consulting projects to be approved by the CEO, and conducting a check-in with CEO or CHRAO one time per month (“the Services”). The term of Consultant’s engagement under this Consulting Agreement shall commence on the Effective Date and shall continue for a period of (12) months (“Initial Term”). This Consulting Agreement may be renewed for successive six (6) month terms upon written notice from the Company at least ten (10) days prior to the end of the Initial Term or any subsequent renewal term (each a “Subsequent Term”). If not renewed, this Consulting Agreement shall automatically terminate upon the conclusion of the then applicable Initial Term or Subsequent Term. The Initial Term and any Subsequent Term shall be collectively referred to as the “Consulting Term.”</w:t>
      </w:r>
    </w:p>
    <w:p>
      <w:pPr>
        <w:spacing w:after="0" w:line="18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Consultant shall devote such time, effort, and attention to providing the Services as may be required to fully, timely and professionally perform the Services.</w:t>
      </w:r>
    </w:p>
    <w:p>
      <w:pPr>
        <w:spacing w:after="0" w:line="175" w:lineRule="exact"/>
        <w:rPr>
          <w:sz w:val="20"/>
          <w:szCs w:val="20"/>
          <w:color w:val="auto"/>
        </w:rPr>
      </w:pPr>
    </w:p>
    <w:p>
      <w:pPr>
        <w:ind w:left="360" w:hanging="298"/>
        <w:spacing w:after="0"/>
        <w:tabs>
          <w:tab w:leader="none" w:pos="360" w:val="left"/>
        </w:tabs>
        <w:numPr>
          <w:ilvl w:val="1"/>
          <w:numId w:val="14"/>
        </w:numPr>
        <w:rPr>
          <w:rFonts w:ascii="Arial" w:cs="Arial" w:eastAsia="Arial" w:hAnsi="Arial"/>
          <w:sz w:val="19"/>
          <w:szCs w:val="19"/>
          <w:color w:val="auto"/>
        </w:rPr>
      </w:pPr>
      <w:r>
        <w:rPr>
          <w:rFonts w:ascii="Arial" w:cs="Arial" w:eastAsia="Arial" w:hAnsi="Arial"/>
          <w:sz w:val="19"/>
          <w:szCs w:val="19"/>
          <w:color w:val="auto"/>
        </w:rPr>
        <w:t>Consultant shall provide the Services at such times and at such locations as may be reasonably requested by the Company.</w:t>
      </w:r>
    </w:p>
    <w:p>
      <w:pPr>
        <w:spacing w:after="0" w:line="267" w:lineRule="exact"/>
        <w:rPr>
          <w:rFonts w:ascii="Arial" w:cs="Arial" w:eastAsia="Arial" w:hAnsi="Arial"/>
          <w:sz w:val="19"/>
          <w:szCs w:val="19"/>
          <w:color w:val="auto"/>
        </w:rPr>
      </w:pPr>
    </w:p>
    <w:p>
      <w:pPr>
        <w:jc w:val="both"/>
        <w:ind w:firstLine="8"/>
        <w:spacing w:after="0" w:line="238" w:lineRule="auto"/>
        <w:tabs>
          <w:tab w:leader="none" w:pos="322" w:val="left"/>
        </w:tabs>
        <w:numPr>
          <w:ilvl w:val="0"/>
          <w:numId w:val="15"/>
        </w:numPr>
        <w:rPr>
          <w:rFonts w:ascii="Arial" w:cs="Arial" w:eastAsia="Arial" w:hAnsi="Arial"/>
          <w:sz w:val="22"/>
          <w:szCs w:val="22"/>
          <w:color w:val="auto"/>
        </w:rPr>
      </w:pPr>
      <w:r>
        <w:rPr>
          <w:rFonts w:ascii="Arial" w:cs="Arial" w:eastAsia="Arial" w:hAnsi="Arial"/>
          <w:sz w:val="22"/>
          <w:szCs w:val="22"/>
          <w:color w:val="auto"/>
        </w:rPr>
        <w:t>Consultant shall not engage in any activity that would interfere with the timely and faithful performance of the Services. However, Consultant is not prevented from accepting other consulting engagements or engaging in additional activities in connection with personal or business investments and community affairs, so long as such engagements and activities are not inconsistent with and do not interfere with the performance of the Services.</w:t>
      </w:r>
    </w:p>
    <w:p>
      <w:pPr>
        <w:spacing w:after="0" w:line="211" w:lineRule="exact"/>
        <w:rPr>
          <w:rFonts w:ascii="Arial" w:cs="Arial" w:eastAsia="Arial" w:hAnsi="Arial"/>
          <w:sz w:val="22"/>
          <w:szCs w:val="22"/>
          <w:color w:val="auto"/>
        </w:rPr>
      </w:pPr>
    </w:p>
    <w:p>
      <w:pPr>
        <w:jc w:val="both"/>
        <w:ind w:firstLine="8"/>
        <w:spacing w:after="0"/>
        <w:tabs>
          <w:tab w:leader="none" w:pos="306" w:val="left"/>
        </w:tabs>
        <w:numPr>
          <w:ilvl w:val="0"/>
          <w:numId w:val="15"/>
        </w:numPr>
        <w:rPr>
          <w:rFonts w:ascii="Arial" w:cs="Arial" w:eastAsia="Arial" w:hAnsi="Arial"/>
          <w:sz w:val="22"/>
          <w:szCs w:val="22"/>
          <w:color w:val="auto"/>
        </w:rPr>
      </w:pPr>
      <w:r>
        <w:rPr>
          <w:rFonts w:ascii="Arial" w:cs="Arial" w:eastAsia="Arial" w:hAnsi="Arial"/>
          <w:sz w:val="22"/>
          <w:szCs w:val="22"/>
          <w:color w:val="auto"/>
        </w:rPr>
        <w:t>Consultant shall devote such time and diligent effort to the Services as required to fully discharge his responsibilities and shall perform the Services in a competent and professional manner, consistent with generally accepted standards of decorum, conduct and sound business practices.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3. Payment.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ind w:firstLine="8"/>
        <w:spacing w:after="0" w:line="250" w:lineRule="auto"/>
        <w:tabs>
          <w:tab w:leader="none" w:pos="299"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 full payment and satisfaction for Consultant’s provision of Consulting Services pursuant to this Consulting Agreement, the Company shall pay Consultant the following rates:</w:t>
      </w:r>
    </w:p>
    <w:p>
      <w:pPr>
        <w:spacing w:after="0" w:line="201" w:lineRule="exact"/>
        <w:rPr>
          <w:rFonts w:ascii="Arial" w:cs="Arial" w:eastAsia="Arial" w:hAnsi="Arial"/>
          <w:sz w:val="22"/>
          <w:szCs w:val="22"/>
          <w:color w:val="auto"/>
        </w:rPr>
      </w:pPr>
    </w:p>
    <w:p>
      <w:pPr>
        <w:jc w:val="both"/>
        <w:ind w:left="760" w:hanging="3"/>
        <w:spacing w:after="0"/>
        <w:tabs>
          <w:tab w:leader="none" w:pos="1192" w:val="left"/>
        </w:tabs>
        <w:numPr>
          <w:ilvl w:val="1"/>
          <w:numId w:val="16"/>
        </w:numPr>
        <w:rPr>
          <w:rFonts w:ascii="Arial" w:cs="Arial" w:eastAsia="Arial" w:hAnsi="Arial"/>
          <w:sz w:val="22"/>
          <w:szCs w:val="22"/>
          <w:color w:val="auto"/>
        </w:rPr>
      </w:pPr>
      <w:r>
        <w:rPr>
          <w:rFonts w:ascii="Arial" w:cs="Arial" w:eastAsia="Arial" w:hAnsi="Arial"/>
          <w:sz w:val="22"/>
          <w:szCs w:val="22"/>
          <w:color w:val="auto"/>
        </w:rPr>
        <w:t>Twelve Thousand Eight Hundred Sixty-Four Dollars and Zero Cents ($12,864.00) per month of consulting Services. Any approved hours over 48 hours per month will be paid at a rate of Two Hundred Sixty-Eight Dollars and Zero Cents ($268.00).</w:t>
      </w:r>
    </w:p>
    <w:p>
      <w:pPr>
        <w:spacing w:after="0" w:line="213" w:lineRule="exact"/>
        <w:rPr>
          <w:rFonts w:ascii="Arial" w:cs="Arial" w:eastAsia="Arial" w:hAnsi="Arial"/>
          <w:sz w:val="22"/>
          <w:szCs w:val="22"/>
          <w:color w:val="auto"/>
        </w:rPr>
      </w:pPr>
    </w:p>
    <w:p>
      <w:pPr>
        <w:ind w:left="760" w:right="60" w:hanging="3"/>
        <w:spacing w:after="0" w:line="250" w:lineRule="auto"/>
        <w:tabs>
          <w:tab w:leader="none" w:pos="1192" w:val="left"/>
        </w:tabs>
        <w:numPr>
          <w:ilvl w:val="1"/>
          <w:numId w:val="16"/>
        </w:numPr>
        <w:rPr>
          <w:rFonts w:ascii="Arial" w:cs="Arial" w:eastAsia="Arial" w:hAnsi="Arial"/>
          <w:sz w:val="22"/>
          <w:szCs w:val="22"/>
          <w:color w:val="auto"/>
        </w:rPr>
      </w:pPr>
      <w:r>
        <w:rPr>
          <w:rFonts w:ascii="Arial" w:cs="Arial" w:eastAsia="Arial" w:hAnsi="Arial"/>
          <w:sz w:val="22"/>
          <w:szCs w:val="22"/>
          <w:color w:val="auto"/>
        </w:rPr>
        <w:t>Actual/Reasonable expenses and in accordance with Client Travel Policy for each day of domestic travel in connection with the Consulting Services</w:t>
      </w:r>
    </w:p>
    <w:p>
      <w:pPr>
        <w:spacing w:after="0" w:line="201" w:lineRule="exact"/>
        <w:rPr>
          <w:rFonts w:ascii="Arial" w:cs="Arial" w:eastAsia="Arial" w:hAnsi="Arial"/>
          <w:sz w:val="22"/>
          <w:szCs w:val="22"/>
          <w:color w:val="auto"/>
        </w:rPr>
      </w:pPr>
    </w:p>
    <w:p>
      <w:pPr>
        <w:ind w:left="1180" w:hanging="423"/>
        <w:spacing w:after="0"/>
        <w:tabs>
          <w:tab w:leader="none" w:pos="1180" w:val="left"/>
        </w:tabs>
        <w:numPr>
          <w:ilvl w:val="1"/>
          <w:numId w:val="16"/>
        </w:numPr>
        <w:rPr>
          <w:rFonts w:ascii="Arial" w:cs="Arial" w:eastAsia="Arial" w:hAnsi="Arial"/>
          <w:sz w:val="22"/>
          <w:szCs w:val="22"/>
          <w:color w:val="auto"/>
        </w:rPr>
      </w:pPr>
      <w:r>
        <w:rPr>
          <w:rFonts w:ascii="Arial" w:cs="Arial" w:eastAsia="Arial" w:hAnsi="Arial"/>
          <w:sz w:val="22"/>
          <w:szCs w:val="22"/>
          <w:color w:val="auto"/>
        </w:rPr>
        <w:t>Your consulting services are compensation on retainer at $12,864.00 per month.</w:t>
      </w:r>
    </w:p>
    <w:p>
      <w:pPr>
        <w:spacing w:after="0" w:line="206" w:lineRule="exact"/>
        <w:rPr>
          <w:rFonts w:ascii="Arial" w:cs="Arial" w:eastAsia="Arial" w:hAnsi="Arial"/>
          <w:sz w:val="22"/>
          <w:szCs w:val="22"/>
          <w:color w:val="auto"/>
        </w:rPr>
      </w:pPr>
    </w:p>
    <w:p>
      <w:pPr>
        <w:ind w:left="760" w:right="20" w:hanging="3"/>
        <w:spacing w:after="0" w:line="250" w:lineRule="auto"/>
        <w:tabs>
          <w:tab w:leader="none" w:pos="1192" w:val="left"/>
        </w:tabs>
        <w:numPr>
          <w:ilvl w:val="1"/>
          <w:numId w:val="16"/>
        </w:numPr>
        <w:rPr>
          <w:rFonts w:ascii="Arial" w:cs="Arial" w:eastAsia="Arial" w:hAnsi="Arial"/>
          <w:sz w:val="22"/>
          <w:szCs w:val="22"/>
          <w:color w:val="auto"/>
        </w:rPr>
      </w:pPr>
      <w:r>
        <w:rPr>
          <w:rFonts w:ascii="Arial" w:cs="Arial" w:eastAsia="Arial" w:hAnsi="Arial"/>
          <w:sz w:val="22"/>
          <w:szCs w:val="22"/>
          <w:color w:val="auto"/>
        </w:rPr>
        <w:t>You shall be reimbursed a one-time lump sum amount for actual and reasonable general consulting start-up costs. Start-up costs not to exceed $8,500. Receipts required for reimbursement.</w:t>
      </w:r>
    </w:p>
    <w:p>
      <w:pPr>
        <w:spacing w:after="0" w:line="174" w:lineRule="exact"/>
        <w:rPr>
          <w:rFonts w:ascii="Arial" w:cs="Arial" w:eastAsia="Arial" w:hAnsi="Arial"/>
          <w:sz w:val="22"/>
          <w:szCs w:val="22"/>
          <w:color w:val="auto"/>
        </w:rPr>
      </w:pPr>
    </w:p>
    <w:p>
      <w:pPr>
        <w:ind w:left="760" w:right="20" w:hanging="3"/>
        <w:spacing w:after="0" w:line="250" w:lineRule="auto"/>
        <w:tabs>
          <w:tab w:leader="none" w:pos="1192" w:val="left"/>
        </w:tabs>
        <w:numPr>
          <w:ilvl w:val="1"/>
          <w:numId w:val="16"/>
        </w:numPr>
        <w:rPr>
          <w:rFonts w:ascii="Arial" w:cs="Arial" w:eastAsia="Arial" w:hAnsi="Arial"/>
          <w:sz w:val="22"/>
          <w:szCs w:val="22"/>
          <w:color w:val="auto"/>
        </w:rPr>
      </w:pPr>
      <w:r>
        <w:rPr>
          <w:rFonts w:ascii="Arial" w:cs="Arial" w:eastAsia="Arial" w:hAnsi="Arial"/>
          <w:sz w:val="22"/>
          <w:szCs w:val="22"/>
          <w:color w:val="auto"/>
        </w:rPr>
        <w:t>Consultant shall invoice the Company on a monthly basis including a summary of Consultant Services performed and the time engaged on each matter.</w:t>
      </w:r>
    </w:p>
    <w:p>
      <w:pPr>
        <w:spacing w:after="0" w:line="174" w:lineRule="exact"/>
        <w:rPr>
          <w:rFonts w:ascii="Arial" w:cs="Arial" w:eastAsia="Arial" w:hAnsi="Arial"/>
          <w:sz w:val="22"/>
          <w:szCs w:val="22"/>
          <w:color w:val="auto"/>
        </w:rPr>
      </w:pPr>
    </w:p>
    <w:p>
      <w:pPr>
        <w:jc w:val="both"/>
        <w:ind w:firstLine="8"/>
        <w:spacing w:after="0" w:line="252" w:lineRule="auto"/>
        <w:tabs>
          <w:tab w:leader="none" w:pos="321" w:val="left"/>
        </w:tabs>
        <w:numPr>
          <w:ilvl w:val="0"/>
          <w:numId w:val="16"/>
        </w:numPr>
        <w:rPr>
          <w:rFonts w:ascii="Arial" w:cs="Arial" w:eastAsia="Arial" w:hAnsi="Arial"/>
          <w:sz w:val="21"/>
          <w:szCs w:val="21"/>
          <w:color w:val="auto"/>
        </w:rPr>
      </w:pPr>
      <w:r>
        <w:rPr>
          <w:rFonts w:ascii="Arial" w:cs="Arial" w:eastAsia="Arial" w:hAnsi="Arial"/>
          <w:sz w:val="21"/>
          <w:szCs w:val="21"/>
          <w:color w:val="auto"/>
        </w:rPr>
        <w:t>Expenses. Consultant shall be solely responsible for all costs and expenses incurred in connection with the provision of the Services; provided, however, the Company will reimburse for pre-approved reasonable and necessary travel and business expenses of Consultant pursuant to the Company’s policy on reimbursement that is applicable to employees of the Company, and so long as receipts for the amount of such expenses are submitted and approved by the Company.</w:t>
      </w:r>
    </w:p>
    <w:p>
      <w:pPr>
        <w:spacing w:after="0" w:line="200" w:lineRule="exact"/>
        <w:rPr>
          <w:rFonts w:ascii="Arial" w:cs="Arial" w:eastAsia="Arial" w:hAnsi="Arial"/>
          <w:sz w:val="21"/>
          <w:szCs w:val="21"/>
          <w:color w:val="auto"/>
        </w:rPr>
      </w:pPr>
    </w:p>
    <w:p>
      <w:pPr>
        <w:jc w:val="both"/>
        <w:ind w:firstLine="8"/>
        <w:spacing w:after="0" w:line="238" w:lineRule="auto"/>
        <w:tabs>
          <w:tab w:leader="none" w:pos="304" w:val="left"/>
        </w:tabs>
        <w:numPr>
          <w:ilvl w:val="0"/>
          <w:numId w:val="16"/>
        </w:numPr>
        <w:rPr>
          <w:rFonts w:ascii="Arial" w:cs="Arial" w:eastAsia="Arial" w:hAnsi="Arial"/>
          <w:sz w:val="22"/>
          <w:szCs w:val="22"/>
          <w:color w:val="auto"/>
        </w:rPr>
      </w:pPr>
      <w:r>
        <w:rPr>
          <w:rFonts w:ascii="Arial" w:cs="Arial" w:eastAsia="Arial" w:hAnsi="Arial"/>
          <w:sz w:val="22"/>
          <w:szCs w:val="22"/>
          <w:color w:val="auto"/>
        </w:rPr>
        <w:t>Benefits. Consultant will not be entitled to any remuneration for the Services except as specifically set forth in Sections 3(a) and 3(b). Consultant will not be entitled to receive any insurance of any kind from or through the Company and will not be entitled to participate in any pension, retirement, deferred compensation or other benefit plans, or any other employee benefits generally provided by the Company to their respective employees.</w:t>
      </w:r>
    </w:p>
    <w:p>
      <w:pPr>
        <w:spacing w:after="0" w:line="211" w:lineRule="exact"/>
        <w:rPr>
          <w:rFonts w:ascii="Arial" w:cs="Arial" w:eastAsia="Arial" w:hAnsi="Arial"/>
          <w:sz w:val="22"/>
          <w:szCs w:val="22"/>
          <w:color w:val="auto"/>
        </w:rPr>
      </w:pPr>
    </w:p>
    <w:p>
      <w:pPr>
        <w:ind w:right="20" w:firstLine="8"/>
        <w:spacing w:after="0" w:line="250" w:lineRule="auto"/>
        <w:tabs>
          <w:tab w:leader="none" w:pos="309" w:val="left"/>
        </w:tabs>
        <w:numPr>
          <w:ilvl w:val="0"/>
          <w:numId w:val="16"/>
        </w:numPr>
        <w:rPr>
          <w:rFonts w:ascii="Arial" w:cs="Arial" w:eastAsia="Arial" w:hAnsi="Arial"/>
          <w:sz w:val="22"/>
          <w:szCs w:val="22"/>
          <w:color w:val="auto"/>
        </w:rPr>
      </w:pPr>
      <w:r>
        <w:rPr>
          <w:rFonts w:ascii="Arial" w:cs="Arial" w:eastAsia="Arial" w:hAnsi="Arial"/>
          <w:sz w:val="22"/>
          <w:szCs w:val="22"/>
          <w:color w:val="auto"/>
        </w:rPr>
        <w:t>Acknowledgment. The parties acknowledge that the compensation provided in this Agreement was negotiated at arm’s-length and represents the fair market value for the Services provided by Consultant hereunder.</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SECTION 4. Independent Contractor Relationship.</w:t>
      </w:r>
      <w:r>
        <w:rPr>
          <w:rFonts w:ascii="Arial" w:cs="Arial" w:eastAsia="Arial" w:hAnsi="Arial"/>
          <w:sz w:val="19"/>
          <w:szCs w:val="19"/>
          <w:color w:val="auto"/>
        </w:rPr>
        <w:t xml:space="preserve"> In performance of the Services, Consultant at all times will act and perform</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solely as an independent contractor and not an employee of the Company. Notwithstanding any other provision of this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Agreement, this Agreement shall not be deemed to represent or evidence the hiring of Consultant by any party as an employee,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nor does it constitute a contract of employment. No acts or assistance given to Consultant by the Company shall be construed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alter their independent contractor relationship, and nothing contained in this Agreement shall be construed to place the parties in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 relationship of partners, joint venturers, principal and agent or franchisor and franchisee. Consultant will make no</w:t>
      </w:r>
    </w:p>
    <w:p>
      <w:pPr>
        <w:spacing w:after="0"/>
        <w:rPr>
          <w:sz w:val="20"/>
          <w:szCs w:val="20"/>
          <w:color w:val="auto"/>
        </w:rPr>
      </w:pPr>
      <w:r>
        <w:rPr>
          <w:rFonts w:ascii="Arial" w:cs="Arial" w:eastAsia="Arial" w:hAnsi="Arial"/>
          <w:sz w:val="19"/>
          <w:szCs w:val="19"/>
          <w:color w:val="auto"/>
        </w:rPr>
        <w:t>representations to third parties inconsistent with the relationship established by this Agreement. All amounts payable hereunder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to Consultant shall be paid without any reduction by the Company for any taxes, including but not limited to foreign or federal,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state or local income, employment, self-employment or withholding taxes, it being the intention of the parties that Consultant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shall be solely responsible</w:t>
      </w: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 w:name="page29"/>
    <w:bookmarkEnd w:id="28"/>
    <w:p>
      <w:pPr>
        <w:ind w:right="20"/>
        <w:spacing w:after="0" w:line="250" w:lineRule="auto"/>
        <w:rPr>
          <w:sz w:val="20"/>
          <w:szCs w:val="20"/>
          <w:color w:val="auto"/>
        </w:rPr>
      </w:pPr>
      <w:r>
        <w:rPr>
          <w:rFonts w:ascii="Arial" w:cs="Arial" w:eastAsia="Arial" w:hAnsi="Arial"/>
          <w:sz w:val="22"/>
          <w:szCs w:val="22"/>
          <w:color w:val="auto"/>
        </w:rPr>
        <w:t>for the payment of all taxes, fines, penalties or assessments imposed on or related to Consultant’s activities pursuant to this Agreement.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5. Termination.</w:t>
      </w:r>
    </w:p>
    <w:p>
      <w:pPr>
        <w:spacing w:after="0" w:line="233" w:lineRule="exact"/>
        <w:rPr>
          <w:sz w:val="20"/>
          <w:szCs w:val="20"/>
          <w:color w:val="auto"/>
        </w:rPr>
      </w:pPr>
    </w:p>
    <w:p>
      <w:pPr>
        <w:ind w:right="20" w:firstLine="8"/>
        <w:spacing w:after="0" w:line="274" w:lineRule="auto"/>
        <w:tabs>
          <w:tab w:leader="none" w:pos="306" w:val="left"/>
        </w:tabs>
        <w:numPr>
          <w:ilvl w:val="0"/>
          <w:numId w:val="17"/>
        </w:numPr>
        <w:rPr>
          <w:rFonts w:ascii="Arial" w:cs="Arial" w:eastAsia="Arial" w:hAnsi="Arial"/>
          <w:sz w:val="21"/>
          <w:szCs w:val="21"/>
          <w:color w:val="auto"/>
        </w:rPr>
      </w:pPr>
      <w:r>
        <w:rPr>
          <w:rFonts w:ascii="Arial" w:cs="Arial" w:eastAsia="Arial" w:hAnsi="Arial"/>
          <w:sz w:val="21"/>
          <w:szCs w:val="21"/>
          <w:color w:val="auto"/>
        </w:rPr>
        <w:t>Termination for Cause. Either Company or Consultant may terminate this Agreement immediately in the event of a material breach of the Agreement which is not cured within seven (7) days of written notice to the other of such breach.</w:t>
      </w:r>
    </w:p>
    <w:p>
      <w:pPr>
        <w:spacing w:after="0" w:line="177" w:lineRule="exact"/>
        <w:rPr>
          <w:rFonts w:ascii="Arial" w:cs="Arial" w:eastAsia="Arial" w:hAnsi="Arial"/>
          <w:sz w:val="21"/>
          <w:szCs w:val="21"/>
          <w:color w:val="auto"/>
        </w:rPr>
      </w:pPr>
    </w:p>
    <w:p>
      <w:pPr>
        <w:ind w:firstLine="8"/>
        <w:spacing w:after="0" w:line="250" w:lineRule="auto"/>
        <w:tabs>
          <w:tab w:leader="none" w:pos="314" w:val="left"/>
        </w:tabs>
        <w:numPr>
          <w:ilvl w:val="0"/>
          <w:numId w:val="17"/>
        </w:numPr>
        <w:rPr>
          <w:rFonts w:ascii="Arial" w:cs="Arial" w:eastAsia="Arial" w:hAnsi="Arial"/>
          <w:sz w:val="22"/>
          <w:szCs w:val="22"/>
          <w:color w:val="auto"/>
        </w:rPr>
      </w:pPr>
      <w:r>
        <w:rPr>
          <w:rFonts w:ascii="Arial" w:cs="Arial" w:eastAsia="Arial" w:hAnsi="Arial"/>
          <w:sz w:val="22"/>
          <w:szCs w:val="22"/>
          <w:color w:val="auto"/>
        </w:rPr>
        <w:t>Termination for Convenience. Either Company or Consultant may terminate this Agreement for convenience with thirty (30) days prior written notice.</w:t>
      </w:r>
    </w:p>
    <w:p>
      <w:pPr>
        <w:spacing w:after="0" w:line="201" w:lineRule="exact"/>
        <w:rPr>
          <w:rFonts w:ascii="Arial" w:cs="Arial" w:eastAsia="Arial" w:hAnsi="Arial"/>
          <w:sz w:val="22"/>
          <w:szCs w:val="22"/>
          <w:color w:val="auto"/>
        </w:rPr>
      </w:pPr>
    </w:p>
    <w:p>
      <w:pPr>
        <w:jc w:val="both"/>
        <w:ind w:firstLine="8"/>
        <w:spacing w:after="0"/>
        <w:tabs>
          <w:tab w:leader="none" w:pos="316" w:val="left"/>
        </w:tabs>
        <w:numPr>
          <w:ilvl w:val="0"/>
          <w:numId w:val="17"/>
        </w:numPr>
        <w:rPr>
          <w:rFonts w:ascii="Arial" w:cs="Arial" w:eastAsia="Arial" w:hAnsi="Arial"/>
          <w:sz w:val="22"/>
          <w:szCs w:val="22"/>
          <w:color w:val="auto"/>
        </w:rPr>
      </w:pPr>
      <w:r>
        <w:rPr>
          <w:rFonts w:ascii="Arial" w:cs="Arial" w:eastAsia="Arial" w:hAnsi="Arial"/>
          <w:sz w:val="22"/>
          <w:szCs w:val="22"/>
          <w:color w:val="auto"/>
        </w:rPr>
        <w:t>Termination by Mutual Agreement; Death. The engagement of Consultant pursuant to Section 1 may be terminated at any time by mutual agreement of the parties. The engagement of Consultant pursuant to Section 1 will automatically terminate if Consultant dies during the Consulting Term.</w:t>
      </w:r>
    </w:p>
    <w:p>
      <w:pPr>
        <w:spacing w:after="0" w:line="213" w:lineRule="exact"/>
        <w:rPr>
          <w:rFonts w:ascii="Arial" w:cs="Arial" w:eastAsia="Arial" w:hAnsi="Arial"/>
          <w:sz w:val="22"/>
          <w:szCs w:val="22"/>
          <w:color w:val="auto"/>
        </w:rPr>
      </w:pPr>
    </w:p>
    <w:p>
      <w:pPr>
        <w:jc w:val="both"/>
        <w:ind w:firstLine="8"/>
        <w:spacing w:after="0" w:line="248" w:lineRule="auto"/>
        <w:tabs>
          <w:tab w:leader="none" w:pos="358" w:val="left"/>
        </w:tabs>
        <w:numPr>
          <w:ilvl w:val="0"/>
          <w:numId w:val="17"/>
        </w:numPr>
        <w:rPr>
          <w:rFonts w:ascii="Arial" w:cs="Arial" w:eastAsia="Arial" w:hAnsi="Arial"/>
          <w:sz w:val="21"/>
          <w:szCs w:val="21"/>
          <w:color w:val="auto"/>
        </w:rPr>
      </w:pPr>
      <w:r>
        <w:rPr>
          <w:rFonts w:ascii="Arial" w:cs="Arial" w:eastAsia="Arial" w:hAnsi="Arial"/>
          <w:sz w:val="21"/>
          <w:szCs w:val="21"/>
          <w:color w:val="auto"/>
        </w:rPr>
        <w:t>Rights and Obligations upon Termination. Upon any termination of the engagement of Consultant, the obligations of Consultant to provide the Services, and the obligations of the Company to continue to pay Consultant pursuant to Section 3, shall terminate immediately upon any such event, and neither party will have any further rights against or owe any further obligations to the other party, except for (i) rights or obligations arising out of a breach of the terms hereof, (ii) rights to the compensation due and payable under Section 3 through the date of termination of the engagement of Consultant, and (iii) the rights and obligations of the parties under Section 6 and Section 7 of this Agreement.</w:t>
      </w:r>
    </w:p>
    <w:p>
      <w:pPr>
        <w:spacing w:after="0" w:line="204" w:lineRule="exact"/>
        <w:rPr>
          <w:sz w:val="20"/>
          <w:szCs w:val="20"/>
          <w:color w:val="auto"/>
        </w:rPr>
      </w:pPr>
    </w:p>
    <w:p>
      <w:pPr>
        <w:spacing w:after="0" w:line="250" w:lineRule="auto"/>
        <w:rPr>
          <w:sz w:val="20"/>
          <w:szCs w:val="20"/>
          <w:color w:val="auto"/>
        </w:rPr>
      </w:pPr>
      <w:r>
        <w:rPr>
          <w:rFonts w:ascii="Arial" w:cs="Arial" w:eastAsia="Arial" w:hAnsi="Arial"/>
          <w:sz w:val="22"/>
          <w:szCs w:val="22"/>
          <w:u w:val="single" w:color="auto"/>
          <w:color w:val="auto"/>
        </w:rPr>
        <w:t>SECTION 6. Non-Competition, Non-Solicitation and Confidentiality.</w:t>
      </w:r>
      <w:r>
        <w:rPr>
          <w:rFonts w:ascii="Arial" w:cs="Arial" w:eastAsia="Arial" w:hAnsi="Arial"/>
          <w:sz w:val="22"/>
          <w:szCs w:val="22"/>
          <w:color w:val="auto"/>
        </w:rPr>
        <w:t xml:space="preserve"> The obligations of Consultant pursuant to Sections 6 and 7 shall survive termination of this Agreement.</w:t>
      </w:r>
    </w:p>
    <w:p>
      <w:pPr>
        <w:spacing w:after="0" w:line="202" w:lineRule="exact"/>
        <w:rPr>
          <w:sz w:val="20"/>
          <w:szCs w:val="20"/>
          <w:color w:val="auto"/>
        </w:rPr>
      </w:pPr>
    </w:p>
    <w:p>
      <w:pPr>
        <w:jc w:val="both"/>
        <w:ind w:firstLine="8"/>
        <w:spacing w:after="0" w:line="245" w:lineRule="auto"/>
        <w:tabs>
          <w:tab w:leader="none" w:pos="307" w:val="left"/>
        </w:tabs>
        <w:numPr>
          <w:ilvl w:val="0"/>
          <w:numId w:val="18"/>
        </w:numPr>
        <w:rPr>
          <w:rFonts w:ascii="Arial" w:cs="Arial" w:eastAsia="Arial" w:hAnsi="Arial"/>
          <w:sz w:val="21"/>
          <w:szCs w:val="21"/>
          <w:color w:val="auto"/>
        </w:rPr>
      </w:pPr>
      <w:r>
        <w:rPr>
          <w:rFonts w:ascii="Arial" w:cs="Arial" w:eastAsia="Arial" w:hAnsi="Arial"/>
          <w:sz w:val="21"/>
          <w:szCs w:val="21"/>
          <w:color w:val="auto"/>
        </w:rPr>
        <w:t xml:space="preserve">Non-Competition. From the Effective Date through the term of this Agreement (the “Restricted Period”), Consultant hereby covenants and agrees with the Company that Consultant shall not, directly or indirectly, for himself or on behalf of or in conjunction with any individual, company, partnership, limited liability company, corporation, joint venture, strategic alliance or business or other entity of whatever nature (each, a “Person”), engage in the business of, or own, manage, operate, join, control, lend money or other assistance to, or participate in or otherwise be connected with (as an individual, officer, director, manager, employee, partner, trustee, proprietor, joint venturer, consultant, member, agent or otherwise), any Person that is, directly or indirectly, involved in the business of dredging within the United States or any other country in which the Company has worked in the past three years; </w:t>
      </w:r>
      <w:r>
        <w:rPr>
          <w:rFonts w:ascii="Arial" w:cs="Arial" w:eastAsia="Arial" w:hAnsi="Arial"/>
          <w:sz w:val="21"/>
          <w:szCs w:val="21"/>
          <w:i w:val="1"/>
          <w:iCs w:val="1"/>
          <w:color w:val="auto"/>
        </w:rPr>
        <w:t>provided, however</w:t>
      </w:r>
      <w:r>
        <w:rPr>
          <w:rFonts w:ascii="Arial" w:cs="Arial" w:eastAsia="Arial" w:hAnsi="Arial"/>
          <w:sz w:val="21"/>
          <w:szCs w:val="21"/>
          <w:color w:val="auto"/>
        </w:rPr>
        <w:t>, that this restriction shall not prohibit Consultant from passive beneficial ownership of less than three percent of any class of securities of a publicly-held corporation whose stock is traded on a U.S. national securities exchange or traded in the over-the-counter market.</w:t>
      </w:r>
    </w:p>
    <w:p>
      <w:pPr>
        <w:spacing w:after="0" w:line="207" w:lineRule="exact"/>
        <w:rPr>
          <w:rFonts w:ascii="Arial" w:cs="Arial" w:eastAsia="Arial" w:hAnsi="Arial"/>
          <w:sz w:val="21"/>
          <w:szCs w:val="21"/>
          <w:color w:val="auto"/>
        </w:rPr>
      </w:pPr>
    </w:p>
    <w:p>
      <w:pPr>
        <w:jc w:val="both"/>
        <w:ind w:firstLine="8"/>
        <w:spacing w:after="0" w:line="234" w:lineRule="auto"/>
        <w:tabs>
          <w:tab w:leader="none" w:pos="326" w:val="left"/>
        </w:tabs>
        <w:numPr>
          <w:ilvl w:val="0"/>
          <w:numId w:val="18"/>
        </w:numPr>
        <w:rPr>
          <w:rFonts w:ascii="Arial" w:cs="Arial" w:eastAsia="Arial" w:hAnsi="Arial"/>
          <w:sz w:val="22"/>
          <w:szCs w:val="22"/>
          <w:color w:val="auto"/>
        </w:rPr>
      </w:pPr>
      <w:r>
        <w:rPr>
          <w:rFonts w:ascii="Arial" w:cs="Arial" w:eastAsia="Arial" w:hAnsi="Arial"/>
          <w:sz w:val="22"/>
          <w:szCs w:val="22"/>
          <w:color w:val="auto"/>
        </w:rPr>
        <w:t>Non-Solicitation. During the Restricted Period, Consultant hereby covenants and agrees with the Company that Consultant shall not, directly or indirectly (as an individual, officer, director, member, manager, partner, shareholder, employee, trustee, proprietor, joint venturer, consultant, agent or in any other capacity whatsoever), (i) interfere with the contractual relationship of the</w:t>
      </w:r>
    </w:p>
    <w:p>
      <w:pPr>
        <w:spacing w:after="0" w:line="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 w:name="page30"/>
    <w:bookmarkEnd w:id="29"/>
    <w:p>
      <w:pPr>
        <w:jc w:val="both"/>
        <w:spacing w:after="0" w:line="236" w:lineRule="auto"/>
        <w:rPr>
          <w:sz w:val="20"/>
          <w:szCs w:val="20"/>
          <w:color w:val="auto"/>
        </w:rPr>
      </w:pPr>
      <w:r>
        <w:rPr>
          <w:rFonts w:ascii="Arial" w:cs="Arial" w:eastAsia="Arial" w:hAnsi="Arial"/>
          <w:sz w:val="22"/>
          <w:szCs w:val="22"/>
          <w:color w:val="auto"/>
        </w:rPr>
        <w:t>Company with any of the Customers (as defined below) of the Company, (ii) hire, employ or attempt to hire or employ any person who is an employee of the Company or any of its Affiliates at any time prior to or during the Restricted Period, or otherwise interfere with the relationship between any such person and the Company. “Customer” of the Company shall mean any Person which, within the twelve (12) month period immediately preceding the date in question, used or purchased, or contracted to use or purchase, any services of the Company.</w:t>
      </w:r>
    </w:p>
    <w:p>
      <w:pPr>
        <w:spacing w:after="0" w:line="214" w:lineRule="exact"/>
        <w:rPr>
          <w:sz w:val="20"/>
          <w:szCs w:val="20"/>
          <w:color w:val="auto"/>
        </w:rPr>
      </w:pPr>
    </w:p>
    <w:p>
      <w:pPr>
        <w:jc w:val="both"/>
        <w:ind w:firstLine="8"/>
        <w:spacing w:after="0" w:line="273" w:lineRule="auto"/>
        <w:tabs>
          <w:tab w:leader="none" w:pos="294" w:val="left"/>
        </w:tabs>
        <w:numPr>
          <w:ilvl w:val="0"/>
          <w:numId w:val="19"/>
        </w:numPr>
        <w:rPr>
          <w:rFonts w:ascii="Arial" w:cs="Arial" w:eastAsia="Arial" w:hAnsi="Arial"/>
          <w:sz w:val="19"/>
          <w:szCs w:val="19"/>
          <w:color w:val="auto"/>
        </w:rPr>
      </w:pPr>
      <w:r>
        <w:rPr>
          <w:rFonts w:ascii="Arial" w:cs="Arial" w:eastAsia="Arial" w:hAnsi="Arial"/>
          <w:sz w:val="19"/>
          <w:szCs w:val="19"/>
          <w:color w:val="auto"/>
        </w:rPr>
        <w:t>Confidentiality. Consultant acknowledges that during his affiliation with the Company, both during his time as an employee of Company and as a consultant, he has been given access to or become acquainted with certain confidential information relating to the organization, business, properties, operation and condition of the Company, including, but not limited to, financial, managerial, operational, legal and other corporate and business information and records of the Company (collectively, “Confidential Information”). Confidential Information also includes any information, documents, formulas, patterns, devices, secret inventions, processes, compilations of information, records, specifications, files, documents, drawings, equipment, financial data, customer lists special agreements, marketing information, marketing and/or promotional techniques and methods, pricing information and procedures, purchasing information and procedures sales policies and procedures, employee lists, store and office policies and procedure manuals, books and publications, business records, computer records, computer printouts, Company “know how”, plans and programs and sources of supplies and inventory, and knowledge with respect to prior or pending litigation and other legal matters, to the extent they relate to the Company, and,</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Consultant agrees that he will hold the Confidential Information in strict confidence and will not disclose, publish, sell or license any Confidential Information to any third party, nor use the Confidential Information in any manner. Consultant also agrees not to disclose to third parties any of Consultant’s work product related to or that becomes part of the Confidential Information, or the fact that any similarity exists between the Confidential Information and information independently developed by another person or entity. The prohibition against Consultant’s use of the Confidential Information includes, but is not limited to, the exploitation of any products or services that embody or are derived from the Confidential Information and the exercise of judgment or the performance of analysis based upon knowledge of the Confidential Information, if otherwise permitted, would be to the benefit of any third party. The prohibition against Consultant’s use of Confidential Information also includes the disclosure of any information relating to prior or pending litigation and matters pertaining to the Company.</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Furthermore, Consultant acknowledges the return of all documents containing and Confidential Information, and is not in possession of any files, papers, materials, notes, computer records, or documents, written or electronic, of any kind containing any Confidential Information except those that are necessary for the Consulting Services. Consultant agrees that if, in the event of any breach of this provision, the Company will suffer immediate and irreparable harm which cannot adequately be measured or calculated in terms of monetary damages, and that immediate temporary and permanent injunctive relief shall be appropriate, in addition to any other legal or equitable remedies available under applicable law, and also reasonable expenses, including attorneys' fees incurred in the enforcement of this provision.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0" w:name="page31"/>
    <w:bookmarkEnd w:id="30"/>
    <w:p>
      <w:pPr>
        <w:jc w:val="both"/>
        <w:spacing w:after="0"/>
        <w:rPr>
          <w:sz w:val="20"/>
          <w:szCs w:val="20"/>
          <w:color w:val="auto"/>
        </w:rPr>
      </w:pPr>
      <w:r>
        <w:rPr>
          <w:rFonts w:ascii="Arial" w:cs="Arial" w:eastAsia="Arial" w:hAnsi="Arial"/>
          <w:sz w:val="22"/>
          <w:szCs w:val="22"/>
          <w:color w:val="auto"/>
        </w:rPr>
        <w:t>Confidential Information does not include information that, at the time of disclosure is in the public domain or thereafter becomes part of the public domain without any act or omission of the Consultant; or, as proven by Consultant, has been acquired from a third party who has not breached a fiduciary obligation to Company.</w:t>
      </w:r>
    </w:p>
    <w:p>
      <w:pPr>
        <w:spacing w:after="0" w:line="213" w:lineRule="exact"/>
        <w:rPr>
          <w:sz w:val="20"/>
          <w:szCs w:val="20"/>
          <w:color w:val="auto"/>
        </w:rPr>
      </w:pPr>
    </w:p>
    <w:p>
      <w:pPr>
        <w:jc w:val="both"/>
        <w:ind w:firstLine="8"/>
        <w:spacing w:after="0" w:line="275" w:lineRule="auto"/>
        <w:tabs>
          <w:tab w:leader="none" w:pos="367" w:val="left"/>
        </w:tabs>
        <w:numPr>
          <w:ilvl w:val="0"/>
          <w:numId w:val="20"/>
        </w:numPr>
        <w:rPr>
          <w:rFonts w:ascii="Arial" w:cs="Arial" w:eastAsia="Arial" w:hAnsi="Arial"/>
          <w:sz w:val="19"/>
          <w:szCs w:val="19"/>
          <w:color w:val="auto"/>
        </w:rPr>
      </w:pPr>
      <w:r>
        <w:rPr>
          <w:rFonts w:ascii="Arial" w:cs="Arial" w:eastAsia="Arial" w:hAnsi="Arial"/>
          <w:sz w:val="19"/>
          <w:szCs w:val="19"/>
          <w:color w:val="auto"/>
        </w:rPr>
        <w:t>Non-Disclosure of Terms. The Parties shall not at any time communicate or divulge any information regarding the circumstances surrounding this Agreement, or the terms and conditions or amounts payable under this Agreement, to any other Person; provided, however, that nothing in this Section 6(d) shall prevent Consultant from sharing with his legal, accounting and financial advisors on a confidential basis any legal or financial information regarding this Agreement or from disclosing to those with whom Consultant is working at the Company that he is a consultant. However, if the Company determines that this Agreement is deemed to be material and, therefore, subject to disclosure by the Company pursuant to various legal requirements, this clause will be deemed void in its entirety and will not be considered a breach of this Agreement upon the Company filing this Agreement or otherwise making this agreement public.</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SECTION 7. Non-Disparagement.</w:t>
      </w:r>
      <w:r>
        <w:rPr>
          <w:rFonts w:ascii="Arial" w:cs="Arial" w:eastAsia="Arial" w:hAnsi="Arial"/>
          <w:sz w:val="22"/>
          <w:szCs w:val="22"/>
          <w:color w:val="auto"/>
        </w:rPr>
        <w:t xml:space="preserve"> The Parties agree that they will not make any disparaging or derogatory remarks or statements about each other. The obligations of Consultant pursuant to this Section shall survive termination of the engagement and indefinitely thereafter.</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u w:val="single" w:color="auto"/>
          <w:color w:val="auto"/>
        </w:rPr>
        <w:t>SECTION 8. Reasonableness of Terms.</w:t>
      </w:r>
      <w:r>
        <w:rPr>
          <w:rFonts w:ascii="Arial" w:cs="Arial" w:eastAsia="Arial" w:hAnsi="Arial"/>
          <w:sz w:val="21"/>
          <w:szCs w:val="21"/>
          <w:color w:val="auto"/>
        </w:rPr>
        <w:t xml:space="preserve"> Consultant agrees that the restrictions contained in Section 6 and in Section 7 are reasonable and necessary to protect the goodwill, trade secrets, proprietary interests and other legitimate business interests of the Company. Each of the covenants set forth in those Sections are severable and separate. In the event that any court of competent jurisdiction later determines that any of the restrictions in those Sections are not reasonable and/or are too broad to be enforceable, the parties agree that the court may reasonably restrict the scope of those Sections, so long as such restriction is no broader than that contained in the applicable covenant.</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u w:val="single" w:color="auto"/>
          <w:color w:val="auto"/>
        </w:rPr>
        <w:t>SECTION 9. Injunctive Relief.</w:t>
      </w:r>
      <w:r>
        <w:rPr>
          <w:rFonts w:ascii="Arial" w:cs="Arial" w:eastAsia="Arial" w:hAnsi="Arial"/>
          <w:sz w:val="22"/>
          <w:szCs w:val="22"/>
          <w:color w:val="auto"/>
        </w:rPr>
        <w:t xml:space="preserve"> Consultant agrees that the disclosure of any Confidential Information would cause irreparable harm to Company’s competitiveness and further agrees that Company shall be entitled to an injunction, without the posting of bond, against the disclosure or use of Confidential Information prohibited by this Agreement. In addition, either Party shall be entitled to its reasonable attorneys' fees in the enforcing this Agreement and all damages and other remedies provided by law or in equity, which shall be cumulative.</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u w:val="single" w:color="auto"/>
          <w:color w:val="auto"/>
        </w:rPr>
        <w:t>SECTION 10. Taxes and Compliance with Laws.</w:t>
      </w:r>
      <w:r>
        <w:rPr>
          <w:rFonts w:ascii="Arial" w:cs="Arial" w:eastAsia="Arial" w:hAnsi="Arial"/>
          <w:sz w:val="19"/>
          <w:szCs w:val="19"/>
          <w:color w:val="auto"/>
        </w:rPr>
        <w:t xml:space="preserve"> Consultant shall be solely responsible for compliance with all state, local and federal laws, orders, codes and ordinances applicable to the performance of Consultant’s obligations under this Agreement or the compensation paid to Consultant pursuant to this Agreement. Consultant shall indemnify, defend and hold harmless the Company, and each of their respective officers, directors, representatives, agents and employees, from and against any and all liabilities which the Company may incur as a result of any failure by Consultant to pay any local, state or federal income, employment, self-employment or withholding tax, including without limitation any failure to timely pay any estimated tax.</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11. Insurance; Indemnification; Limitation on Liability.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1" w:name="page32"/>
    <w:bookmarkEnd w:id="31"/>
    <w:p>
      <w:pPr>
        <w:jc w:val="both"/>
        <w:ind w:left="760" w:hanging="3"/>
        <w:spacing w:after="0" w:line="287" w:lineRule="auto"/>
        <w:tabs>
          <w:tab w:leader="none" w:pos="1192" w:val="left"/>
        </w:tabs>
        <w:numPr>
          <w:ilvl w:val="0"/>
          <w:numId w:val="21"/>
        </w:numPr>
        <w:rPr>
          <w:rFonts w:ascii="Arial" w:cs="Arial" w:eastAsia="Arial" w:hAnsi="Arial"/>
          <w:sz w:val="19"/>
          <w:szCs w:val="19"/>
          <w:color w:val="auto"/>
        </w:rPr>
      </w:pPr>
      <w:r>
        <w:rPr>
          <w:rFonts w:ascii="Arial" w:cs="Arial" w:eastAsia="Arial" w:hAnsi="Arial"/>
          <w:sz w:val="19"/>
          <w:szCs w:val="19"/>
          <w:color w:val="auto"/>
        </w:rPr>
        <w:t>Consultant shall defend, indemnify and hold Company harmless from any and all causes of action, claims, damages, injuries (whether to personal property or to persons), penalties, judgments or any liability of any kind arising from or related to Consultant’s intentional acts or gross negligence; provided, however, that Consultant’s obligations (beyond amounts covered by insurance) shall be capped at the amounts paid to Consultant under the terms hereunder.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ind w:left="1180" w:hanging="423"/>
        <w:spacing w:after="0"/>
        <w:tabs>
          <w:tab w:leader="none" w:pos="11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Consultant agrees to maintain the following insurance while performing the Consulting Services:</w:t>
      </w:r>
    </w:p>
    <w:p>
      <w:pPr>
        <w:spacing w:after="0" w:line="233" w:lineRule="exact"/>
        <w:rPr>
          <w:rFonts w:ascii="Arial" w:cs="Arial" w:eastAsia="Arial" w:hAnsi="Arial"/>
          <w:sz w:val="22"/>
          <w:szCs w:val="22"/>
          <w:color w:val="auto"/>
        </w:rPr>
      </w:pPr>
    </w:p>
    <w:p>
      <w:pPr>
        <w:jc w:val="both"/>
        <w:ind w:left="1500" w:hanging="369"/>
        <w:spacing w:after="0" w:line="271" w:lineRule="auto"/>
        <w:tabs>
          <w:tab w:leader="none" w:pos="1500" w:val="left"/>
        </w:tabs>
        <w:numPr>
          <w:ilvl w:val="1"/>
          <w:numId w:val="21"/>
        </w:numPr>
        <w:rPr>
          <w:rFonts w:ascii="Arial" w:cs="Arial" w:eastAsia="Arial" w:hAnsi="Arial"/>
          <w:sz w:val="19"/>
          <w:szCs w:val="19"/>
          <w:color w:val="auto"/>
        </w:rPr>
      </w:pPr>
      <w:r>
        <w:rPr>
          <w:rFonts w:ascii="Arial" w:cs="Arial" w:eastAsia="Arial" w:hAnsi="Arial"/>
          <w:sz w:val="19"/>
          <w:szCs w:val="19"/>
          <w:color w:val="auto"/>
        </w:rPr>
        <w:t>Employer's Liability insurance with limits of not less than $1,000,000 per occurrence or accident, including Maritime Employer’s Liability &amp; Jones Act and U.S. Longshore &amp; Harbor Workers Act coverage, if applicable. All such policies shall contain an Alternate Employer and/or Borrowed Servant endorsement naming GLDD as alternate employer, and a copy of such endorsement shall be attached to all certificates of insurance.</w:t>
      </w:r>
    </w:p>
    <w:p>
      <w:pPr>
        <w:spacing w:after="0" w:line="3" w:lineRule="exact"/>
        <w:rPr>
          <w:rFonts w:ascii="Arial" w:cs="Arial" w:eastAsia="Arial" w:hAnsi="Arial"/>
          <w:sz w:val="19"/>
          <w:szCs w:val="19"/>
          <w:color w:val="auto"/>
        </w:rPr>
      </w:pPr>
    </w:p>
    <w:p>
      <w:pPr>
        <w:jc w:val="both"/>
        <w:ind w:left="1500" w:hanging="369"/>
        <w:spacing w:after="0" w:line="230" w:lineRule="auto"/>
        <w:tabs>
          <w:tab w:leader="none" w:pos="1500" w:val="left"/>
        </w:tabs>
        <w:numPr>
          <w:ilvl w:val="1"/>
          <w:numId w:val="21"/>
        </w:numPr>
        <w:rPr>
          <w:rFonts w:ascii="Arial" w:cs="Arial" w:eastAsia="Arial" w:hAnsi="Arial"/>
          <w:sz w:val="22"/>
          <w:szCs w:val="22"/>
          <w:color w:val="auto"/>
        </w:rPr>
      </w:pPr>
      <w:r>
        <w:rPr>
          <w:rFonts w:ascii="Arial" w:cs="Arial" w:eastAsia="Arial" w:hAnsi="Arial"/>
          <w:sz w:val="22"/>
          <w:szCs w:val="22"/>
          <w:color w:val="auto"/>
        </w:rPr>
        <w:t>If Consultant retains employees during the Term of the Agreement, Worker’s Compensation insurance covering all liabilities owed for compensation and other benefits by the workers’ compensation laws of any state or federal government, including, but not limited to, the Longshore and Harbor Workers’ Compensation Act, the Outer Continental Shelf Lands Act, the workers’ compensation law of any state, and employer’s liability insurance as prescribed by applicable law;</w:t>
      </w:r>
    </w:p>
    <w:p>
      <w:pPr>
        <w:spacing w:after="0" w:line="2" w:lineRule="exact"/>
        <w:rPr>
          <w:rFonts w:ascii="Arial" w:cs="Arial" w:eastAsia="Arial" w:hAnsi="Arial"/>
          <w:sz w:val="22"/>
          <w:szCs w:val="22"/>
          <w:color w:val="auto"/>
        </w:rPr>
      </w:pPr>
    </w:p>
    <w:p>
      <w:pPr>
        <w:jc w:val="both"/>
        <w:ind w:left="1500" w:hanging="369"/>
        <w:spacing w:after="0" w:line="230" w:lineRule="auto"/>
        <w:tabs>
          <w:tab w:leader="none" w:pos="1500" w:val="left"/>
        </w:tabs>
        <w:numPr>
          <w:ilvl w:val="1"/>
          <w:numId w:val="21"/>
        </w:numPr>
        <w:rPr>
          <w:rFonts w:ascii="Arial" w:cs="Arial" w:eastAsia="Arial" w:hAnsi="Arial"/>
          <w:sz w:val="22"/>
          <w:szCs w:val="22"/>
          <w:color w:val="auto"/>
        </w:rPr>
      </w:pPr>
      <w:r>
        <w:rPr>
          <w:rFonts w:ascii="Arial" w:cs="Arial" w:eastAsia="Arial" w:hAnsi="Arial"/>
          <w:sz w:val="22"/>
          <w:szCs w:val="22"/>
          <w:color w:val="auto"/>
        </w:rPr>
        <w:t>Commercial General Liability insurance based on Insurance Services Office form CG 00 01 or equivalent, with limits of not less than $1,000,000 per occurrence and $2,000,000 annual aggregate and include coverage for bodily injury, property damage, contractual liability coverage, including coverage for insured contracts and tort liability of another assumed by CONSULTANT;</w:t>
      </w:r>
    </w:p>
    <w:p>
      <w:pPr>
        <w:spacing w:after="0" w:line="2" w:lineRule="exact"/>
        <w:rPr>
          <w:rFonts w:ascii="Arial" w:cs="Arial" w:eastAsia="Arial" w:hAnsi="Arial"/>
          <w:sz w:val="22"/>
          <w:szCs w:val="22"/>
          <w:color w:val="auto"/>
        </w:rPr>
      </w:pPr>
    </w:p>
    <w:p>
      <w:pPr>
        <w:jc w:val="both"/>
        <w:ind w:left="1500" w:hanging="369"/>
        <w:spacing w:after="0" w:line="230" w:lineRule="auto"/>
        <w:tabs>
          <w:tab w:leader="none" w:pos="1500" w:val="left"/>
        </w:tabs>
        <w:numPr>
          <w:ilvl w:val="1"/>
          <w:numId w:val="21"/>
        </w:numPr>
        <w:rPr>
          <w:rFonts w:ascii="Arial" w:cs="Arial" w:eastAsia="Arial" w:hAnsi="Arial"/>
          <w:sz w:val="22"/>
          <w:szCs w:val="22"/>
          <w:color w:val="auto"/>
        </w:rPr>
      </w:pPr>
      <w:r>
        <w:rPr>
          <w:rFonts w:ascii="Arial" w:cs="Arial" w:eastAsia="Arial" w:hAnsi="Arial"/>
          <w:sz w:val="22"/>
          <w:szCs w:val="22"/>
          <w:color w:val="auto"/>
        </w:rPr>
        <w:t>If CONSULTANT uses any vehicle in performing the Services, Commercial Automobile Liability insurance providing coverage bodily injury or property damage for any auto (owned, hired, non-owned) with limits of not less than $1,000,000 per accident;</w:t>
      </w:r>
    </w:p>
    <w:p>
      <w:pPr>
        <w:spacing w:after="0" w:line="1" w:lineRule="exact"/>
        <w:rPr>
          <w:rFonts w:ascii="Arial" w:cs="Arial" w:eastAsia="Arial" w:hAnsi="Arial"/>
          <w:sz w:val="22"/>
          <w:szCs w:val="22"/>
          <w:color w:val="auto"/>
        </w:rPr>
      </w:pPr>
    </w:p>
    <w:p>
      <w:pPr>
        <w:jc w:val="both"/>
        <w:ind w:left="1500" w:hanging="369"/>
        <w:spacing w:after="0" w:line="234" w:lineRule="auto"/>
        <w:tabs>
          <w:tab w:leader="none" w:pos="1500" w:val="left"/>
        </w:tabs>
        <w:numPr>
          <w:ilvl w:val="1"/>
          <w:numId w:val="21"/>
        </w:numPr>
        <w:rPr>
          <w:rFonts w:ascii="Arial" w:cs="Arial" w:eastAsia="Arial" w:hAnsi="Arial"/>
          <w:sz w:val="22"/>
          <w:szCs w:val="22"/>
          <w:color w:val="auto"/>
        </w:rPr>
      </w:pPr>
      <w:r>
        <w:rPr>
          <w:rFonts w:ascii="Arial" w:cs="Arial" w:eastAsia="Arial" w:hAnsi="Arial"/>
          <w:sz w:val="22"/>
          <w:szCs w:val="22"/>
          <w:color w:val="auto"/>
        </w:rPr>
        <w:t>Umbrella/Excess Liability insurance following form of underlying Commercial General Liability, Commercial Automobile Liability and Employer’s Liability policies on an excess basis with limits of not less than $1,000,000;</w:t>
      </w:r>
    </w:p>
    <w:p>
      <w:pPr>
        <w:spacing w:after="0" w:line="214" w:lineRule="exact"/>
        <w:rPr>
          <w:rFonts w:ascii="Arial" w:cs="Arial" w:eastAsia="Arial" w:hAnsi="Arial"/>
          <w:sz w:val="22"/>
          <w:szCs w:val="22"/>
          <w:color w:val="auto"/>
        </w:rPr>
      </w:pPr>
    </w:p>
    <w:p>
      <w:pPr>
        <w:jc w:val="both"/>
        <w:ind w:left="1500" w:hanging="369"/>
        <w:spacing w:after="0" w:line="243" w:lineRule="auto"/>
        <w:tabs>
          <w:tab w:leader="none" w:pos="1500" w:val="left"/>
        </w:tabs>
        <w:numPr>
          <w:ilvl w:val="1"/>
          <w:numId w:val="21"/>
        </w:numPr>
        <w:rPr>
          <w:rFonts w:ascii="Arial" w:cs="Arial" w:eastAsia="Arial" w:hAnsi="Arial"/>
          <w:sz w:val="21"/>
          <w:szCs w:val="21"/>
          <w:color w:val="auto"/>
        </w:rPr>
      </w:pPr>
      <w:r>
        <w:rPr>
          <w:rFonts w:ascii="Arial" w:cs="Arial" w:eastAsia="Arial" w:hAnsi="Arial"/>
          <w:sz w:val="21"/>
          <w:szCs w:val="21"/>
          <w:color w:val="auto"/>
        </w:rPr>
        <w:t>All deductibles or self-insured retentions under any of CONSULTANT’s policies of insurance shall be the sole responsibility of CONSULTANT and shall be stated on all certificates of insurance. The Commercial General Liability, Commercial Automobile Liability and Umbrella/Excess Liability insurance shall include GLDD, its affiliates, subsidiaries, officers, directors, employees and agents as additional insured on a primary and noncontributory basis. CONSULTANT may use any combination of primary and excess insurance to satisfy the required limits. Prior to the start of any Services with respect to this Agreement CONSULTANT will provide GLDD with a certificate of insurance evidencing the required insurance along with copies of the additional insured, primary and noncontributory, waiver of subrogation and notice of cancellation endorsements or policy wording,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2" w:name="page33"/>
    <w:bookmarkEnd w:id="32"/>
    <w:p>
      <w:pPr>
        <w:jc w:val="both"/>
        <w:ind w:left="1500"/>
        <w:spacing w:after="0" w:line="235" w:lineRule="auto"/>
        <w:rPr>
          <w:sz w:val="20"/>
          <w:szCs w:val="20"/>
          <w:color w:val="auto"/>
        </w:rPr>
      </w:pPr>
      <w:r>
        <w:rPr>
          <w:rFonts w:ascii="Arial" w:cs="Arial" w:eastAsia="Arial" w:hAnsi="Arial"/>
          <w:sz w:val="22"/>
          <w:szCs w:val="22"/>
          <w:color w:val="auto"/>
        </w:rPr>
        <w:t>which shall be updated upon renewal of the policies but no less than annually. CONSULTANT or its insurer shall provide GLDD with at least thirty days’ prior written notice of cancellation, nonrenewal, any change in coverages and/or limits which no longer satisfy the minimum requirements herein. To the extent allowed by law, CONSULTANT shall waive, and shall require its insurers to endorse or include policy wording in the policies, to waive any right of recovery, under subrogation or otherwise, in favor of GLDD, its affiliates, subsidiaries, officers, directors, employees and agents.</w:t>
      </w:r>
    </w:p>
    <w:p>
      <w:pPr>
        <w:spacing w:after="0" w:line="215" w:lineRule="exact"/>
        <w:rPr>
          <w:sz w:val="20"/>
          <w:szCs w:val="20"/>
          <w:color w:val="auto"/>
        </w:rPr>
      </w:pPr>
    </w:p>
    <w:p>
      <w:pPr>
        <w:ind w:left="760" w:right="880" w:hanging="3"/>
        <w:spacing w:after="0" w:line="250" w:lineRule="auto"/>
        <w:tabs>
          <w:tab w:leader="none" w:pos="1192" w:val="left"/>
        </w:tabs>
        <w:numPr>
          <w:ilvl w:val="0"/>
          <w:numId w:val="22"/>
        </w:numPr>
        <w:rPr>
          <w:rFonts w:ascii="Arial" w:cs="Arial" w:eastAsia="Arial" w:hAnsi="Arial"/>
          <w:sz w:val="22"/>
          <w:szCs w:val="22"/>
          <w:color w:val="auto"/>
        </w:rPr>
      </w:pPr>
      <w:r>
        <w:rPr>
          <w:rFonts w:ascii="Arial" w:cs="Arial" w:eastAsia="Arial" w:hAnsi="Arial"/>
          <w:sz w:val="22"/>
          <w:szCs w:val="22"/>
          <w:color w:val="auto"/>
        </w:rPr>
        <w:t>Consultant agrees, when requested by Company, to furnish certificates acceptable to Company evidencing applicable insurance coverage as required herein.</w:t>
      </w:r>
    </w:p>
    <w:p>
      <w:pPr>
        <w:spacing w:after="0" w:line="201" w:lineRule="exact"/>
        <w:rPr>
          <w:rFonts w:ascii="Arial" w:cs="Arial" w:eastAsia="Arial" w:hAnsi="Arial"/>
          <w:sz w:val="22"/>
          <w:szCs w:val="22"/>
          <w:color w:val="auto"/>
        </w:rPr>
      </w:pPr>
    </w:p>
    <w:p>
      <w:pPr>
        <w:jc w:val="both"/>
        <w:ind w:left="760" w:right="20" w:hanging="3"/>
        <w:spacing w:after="0" w:line="276" w:lineRule="auto"/>
        <w:tabs>
          <w:tab w:leader="none" w:pos="1192" w:val="left"/>
        </w:tabs>
        <w:numPr>
          <w:ilvl w:val="0"/>
          <w:numId w:val="22"/>
        </w:numPr>
        <w:rPr>
          <w:rFonts w:ascii="Arial" w:cs="Arial" w:eastAsia="Arial" w:hAnsi="Arial"/>
          <w:sz w:val="19"/>
          <w:szCs w:val="19"/>
          <w:color w:val="auto"/>
        </w:rPr>
      </w:pPr>
      <w:r>
        <w:rPr>
          <w:rFonts w:ascii="Arial" w:cs="Arial" w:eastAsia="Arial" w:hAnsi="Arial"/>
          <w:sz w:val="19"/>
          <w:szCs w:val="19"/>
          <w:color w:val="auto"/>
        </w:rPr>
        <w:t>Company shall defend, indemnify and hold Consultant harmless from any claims arising out of or relating to the services provided by Consultant hereunder other than claims for which Consultant is responsible pursuant to subsection</w:t>
      </w:r>
    </w:p>
    <w:p>
      <w:pPr>
        <w:spacing w:after="0" w:line="1"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(a) and claims covered by Consultant’s insurance.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12. Nonassignability, Binding Agreement.</w:t>
      </w:r>
    </w:p>
    <w:p>
      <w:pPr>
        <w:spacing w:after="0" w:line="233" w:lineRule="exact"/>
        <w:rPr>
          <w:sz w:val="20"/>
          <w:szCs w:val="20"/>
          <w:color w:val="auto"/>
        </w:rPr>
      </w:pPr>
    </w:p>
    <w:p>
      <w:pPr>
        <w:ind w:right="20" w:firstLine="8"/>
        <w:spacing w:after="0" w:line="250" w:lineRule="auto"/>
        <w:tabs>
          <w:tab w:leader="none" w:pos="307" w:val="left"/>
        </w:tabs>
        <w:numPr>
          <w:ilvl w:val="0"/>
          <w:numId w:val="23"/>
        </w:numPr>
        <w:rPr>
          <w:rFonts w:ascii="Arial" w:cs="Arial" w:eastAsia="Arial" w:hAnsi="Arial"/>
          <w:sz w:val="22"/>
          <w:szCs w:val="22"/>
          <w:color w:val="auto"/>
        </w:rPr>
      </w:pPr>
      <w:r>
        <w:rPr>
          <w:rFonts w:ascii="Arial" w:cs="Arial" w:eastAsia="Arial" w:hAnsi="Arial"/>
          <w:sz w:val="22"/>
          <w:szCs w:val="22"/>
          <w:color w:val="auto"/>
        </w:rPr>
        <w:t>By Consultant. Consultant shall not assign or delegate this Agreement or any right or interest under this Agreement without the Company’s prior written consent.</w:t>
      </w:r>
    </w:p>
    <w:p>
      <w:pPr>
        <w:spacing w:after="0" w:line="201" w:lineRule="exact"/>
        <w:rPr>
          <w:rFonts w:ascii="Arial" w:cs="Arial" w:eastAsia="Arial" w:hAnsi="Arial"/>
          <w:sz w:val="22"/>
          <w:szCs w:val="22"/>
          <w:color w:val="auto"/>
        </w:rPr>
      </w:pPr>
    </w:p>
    <w:p>
      <w:pPr>
        <w:jc w:val="both"/>
        <w:ind w:firstLine="8"/>
        <w:spacing w:after="0" w:line="236" w:lineRule="auto"/>
        <w:tabs>
          <w:tab w:leader="none" w:pos="346" w:val="left"/>
        </w:tabs>
        <w:numPr>
          <w:ilvl w:val="0"/>
          <w:numId w:val="23"/>
        </w:numPr>
        <w:rPr>
          <w:rFonts w:ascii="Arial" w:cs="Arial" w:eastAsia="Arial" w:hAnsi="Arial"/>
          <w:sz w:val="22"/>
          <w:szCs w:val="22"/>
          <w:color w:val="auto"/>
        </w:rPr>
      </w:pPr>
      <w:r>
        <w:rPr>
          <w:rFonts w:ascii="Arial" w:cs="Arial" w:eastAsia="Arial" w:hAnsi="Arial"/>
          <w:sz w:val="22"/>
          <w:szCs w:val="22"/>
          <w:color w:val="auto"/>
        </w:rPr>
        <w:t>By the Company. The Company may assign, delegate, or transfer this Agreement and all of the Company’s rights and obligations under this Agreement to any of its affiliates or to any business entity that by merger, consolidation or otherwise acquires all or substantially all of the assets of the Company or to which the Company transfers all or substantially all of its assets. Upon assignment, delegation, or transfer to any business entity, such entity shall be deemed to be substituted for the Company for all purposes of this Agreement.</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u w:val="single" w:color="auto"/>
          <w:color w:val="auto"/>
        </w:rPr>
        <w:t>SECTION 13. Severability.</w:t>
      </w:r>
      <w:r>
        <w:rPr>
          <w:rFonts w:ascii="Arial" w:cs="Arial" w:eastAsia="Arial" w:hAnsi="Arial"/>
          <w:sz w:val="21"/>
          <w:szCs w:val="21"/>
          <w:color w:val="auto"/>
        </w:rPr>
        <w:t xml:space="preserve"> If a court of competent jurisdiction makes a final determination that any term or provision of this Agreement is invalid or unenforceable, the remaining terms and provisions shall be unimpaired and the invalid or unenforceable term or provision shall be deemed replaced by a term or provision that is valid and enforceable and that most closely approximates the intention of the parties with respect to the invalid or unenforceable term or provision, as evidenced by the remaining valid and enforceable terms and conditions of this Agreement.</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SECTION 14. Amendment.</w:t>
      </w:r>
      <w:r>
        <w:rPr>
          <w:rFonts w:ascii="Arial" w:cs="Arial" w:eastAsia="Arial" w:hAnsi="Arial"/>
          <w:sz w:val="22"/>
          <w:szCs w:val="22"/>
          <w:color w:val="auto"/>
        </w:rPr>
        <w:t xml:space="preserve"> This Agreement may not be modified, amended or waived in any manner except by an instrument in writing signed by both parties to this Agreement.</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u w:val="single" w:color="auto"/>
          <w:color w:val="auto"/>
        </w:rPr>
        <w:t>SECTION 15. Waiver.</w:t>
      </w:r>
      <w:r>
        <w:rPr>
          <w:rFonts w:ascii="Arial" w:cs="Arial" w:eastAsia="Arial" w:hAnsi="Arial"/>
          <w:sz w:val="22"/>
          <w:szCs w:val="22"/>
          <w:color w:val="auto"/>
        </w:rPr>
        <w:t xml:space="preserve"> The waiver by either party of compliance by the other party with any provision of this Agreement shall not operate or be construed as a waiver of any other provision of this Agreement (whether or not similar), or a continuing waiver or a waiver of any subsequent breach by a party of a provision of this Agreement. Performance by either of the parties of any act not required of it under the terms and conditions of this Agreement shall not constitute a waiver of the limitations on its obligations under this Agreement, and no performance shall estop that party from asserting those limitations as to any further or future performance of its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3" w:name="page34"/>
    <w:bookmarkEnd w:id="33"/>
    <w:p>
      <w:pPr>
        <w:jc w:val="both"/>
        <w:spacing w:after="0" w:line="246" w:lineRule="auto"/>
        <w:rPr>
          <w:sz w:val="20"/>
          <w:szCs w:val="20"/>
          <w:color w:val="auto"/>
        </w:rPr>
      </w:pPr>
      <w:r>
        <w:rPr>
          <w:rFonts w:ascii="Arial" w:cs="Arial" w:eastAsia="Arial" w:hAnsi="Arial"/>
          <w:sz w:val="21"/>
          <w:szCs w:val="21"/>
          <w:u w:val="single" w:color="auto"/>
          <w:color w:val="auto"/>
        </w:rPr>
        <w:t>SECTION 16. Governing Law and Jurisdiction.</w:t>
      </w:r>
      <w:r>
        <w:rPr>
          <w:rFonts w:ascii="Arial" w:cs="Arial" w:eastAsia="Arial" w:hAnsi="Arial"/>
          <w:sz w:val="21"/>
          <w:szCs w:val="21"/>
          <w:color w:val="auto"/>
        </w:rPr>
        <w:t xml:space="preserve"> This Consulting Agreement shall be governed by and construed in accordance with the internal laws of the State of Texas, without regard to its conflict of law principles. For the purposes of any suit, action, or other proceeding arising out of this Consulting Agreement or with respect to Consultant's services hereunder, the parties: (i) agree to submit to the exclusive jurisdiction of the federal courts located in the Southern District of Texas or state courts located in Harris County, Texas; (ii) waive any objection to personal jurisdiction or venue in such jurisdiction, and agree not to plead or claim </w:t>
      </w:r>
      <w:r>
        <w:rPr>
          <w:rFonts w:ascii="Arial" w:cs="Arial" w:eastAsia="Arial" w:hAnsi="Arial"/>
          <w:sz w:val="21"/>
          <w:szCs w:val="21"/>
          <w:i w:val="1"/>
          <w:iCs w:val="1"/>
          <w:color w:val="auto"/>
        </w:rPr>
        <w:t>forum non conveniens;</w:t>
      </w:r>
      <w:r>
        <w:rPr>
          <w:rFonts w:ascii="Arial" w:cs="Arial" w:eastAsia="Arial" w:hAnsi="Arial"/>
          <w:sz w:val="21"/>
          <w:szCs w:val="21"/>
          <w:color w:val="auto"/>
        </w:rPr>
        <w:t xml:space="preserve"> and (iii) waive their respective rights to a jury trial of any claims and causes of action, and agree to have any matter heard and decided solely by the court.</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SECTION 17. Notices.</w:t>
      </w:r>
      <w:r>
        <w:rPr>
          <w:rFonts w:ascii="Arial" w:cs="Arial" w:eastAsia="Arial" w:hAnsi="Arial"/>
          <w:sz w:val="22"/>
          <w:szCs w:val="22"/>
          <w:color w:val="auto"/>
        </w:rPr>
        <w:t xml:space="preserve"> Any notice or other communication required shall be in writing and sent by U.S. Certified Mail addressed, return receipt requested, or to such other addresses as each party shall specify in writing.</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9"/>
          <w:szCs w:val="19"/>
          <w:color w:val="auto"/>
        </w:rPr>
        <w:t>If to Consultant, to the address listed on the signature page or the last address on file in the records of the Company.</w:t>
      </w:r>
    </w:p>
    <w:p>
      <w:pPr>
        <w:spacing w:after="0" w:line="24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If to the Company:</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Great Lakes Dredge &amp; Dock Corporation</w:t>
      </w:r>
    </w:p>
    <w:p>
      <w:pPr>
        <w:ind w:left="1500"/>
        <w:spacing w:after="0" w:line="238" w:lineRule="auto"/>
        <w:rPr>
          <w:sz w:val="20"/>
          <w:szCs w:val="20"/>
          <w:color w:val="auto"/>
        </w:rPr>
      </w:pPr>
      <w:r>
        <w:rPr>
          <w:rFonts w:ascii="Arial" w:cs="Arial" w:eastAsia="Arial" w:hAnsi="Arial"/>
          <w:sz w:val="22"/>
          <w:szCs w:val="22"/>
          <w:color w:val="auto"/>
        </w:rPr>
        <w:t>9811 Katy Fwy</w:t>
      </w:r>
    </w:p>
    <w:p>
      <w:pPr>
        <w:ind w:left="1500"/>
        <w:spacing w:after="0" w:line="230" w:lineRule="auto"/>
        <w:rPr>
          <w:sz w:val="20"/>
          <w:szCs w:val="20"/>
          <w:color w:val="auto"/>
        </w:rPr>
      </w:pPr>
      <w:r>
        <w:rPr>
          <w:rFonts w:ascii="Arial" w:cs="Arial" w:eastAsia="Arial" w:hAnsi="Arial"/>
          <w:sz w:val="22"/>
          <w:szCs w:val="22"/>
          <w:color w:val="auto"/>
        </w:rPr>
        <w:t>Suite 1200</w:t>
      </w:r>
    </w:p>
    <w:p>
      <w:pPr>
        <w:ind w:left="1500"/>
        <w:spacing w:after="0" w:line="231" w:lineRule="auto"/>
        <w:rPr>
          <w:sz w:val="20"/>
          <w:szCs w:val="20"/>
          <w:color w:val="auto"/>
        </w:rPr>
      </w:pPr>
      <w:r>
        <w:rPr>
          <w:rFonts w:ascii="Arial" w:cs="Arial" w:eastAsia="Arial" w:hAnsi="Arial"/>
          <w:sz w:val="22"/>
          <w:szCs w:val="22"/>
          <w:color w:val="auto"/>
        </w:rPr>
        <w:t>Houston, TX 77024</w:t>
      </w:r>
    </w:p>
    <w:p>
      <w:pPr>
        <w:ind w:left="1500"/>
        <w:spacing w:after="0" w:line="235" w:lineRule="auto"/>
        <w:rPr>
          <w:sz w:val="20"/>
          <w:szCs w:val="20"/>
          <w:color w:val="auto"/>
        </w:rPr>
      </w:pPr>
      <w:r>
        <w:rPr>
          <w:rFonts w:ascii="Arial" w:cs="Arial" w:eastAsia="Arial" w:hAnsi="Arial"/>
          <w:sz w:val="22"/>
          <w:szCs w:val="22"/>
          <w:color w:val="auto"/>
        </w:rPr>
        <w:t>Attn: Chief HR &amp; Administrative Officer</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(346) 359-1010</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SECTION 18. Prior Agreements.</w:t>
      </w:r>
      <w:r>
        <w:rPr>
          <w:rFonts w:ascii="Arial" w:cs="Arial" w:eastAsia="Arial" w:hAnsi="Arial"/>
          <w:sz w:val="22"/>
          <w:szCs w:val="22"/>
          <w:color w:val="auto"/>
        </w:rPr>
        <w:t xml:space="preserve"> This Agreement contains the entire agreement between the parties with respect to the subject matter hereof and supersedes any and all prior oral or written agreements.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SECTION 19. Headings.</w:t>
      </w:r>
      <w:r>
        <w:rPr>
          <w:rFonts w:ascii="Arial" w:cs="Arial" w:eastAsia="Arial" w:hAnsi="Arial"/>
          <w:sz w:val="22"/>
          <w:szCs w:val="22"/>
          <w:color w:val="auto"/>
        </w:rPr>
        <w:t xml:space="preserve"> The headings of the Sections of this Agreement are inserted for convenience only and shall not be deemed to constitute part of this Agreement or to affect the construction of this Agreement.</w:t>
      </w:r>
    </w:p>
    <w:p>
      <w:pPr>
        <w:spacing w:after="0" w:line="20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u w:val="single" w:color="auto"/>
          <w:color w:val="auto"/>
        </w:rPr>
        <w:t>SECTION 20. Remedies.</w:t>
      </w:r>
      <w:r>
        <w:rPr>
          <w:rFonts w:ascii="Arial" w:cs="Arial" w:eastAsia="Arial" w:hAnsi="Arial"/>
          <w:sz w:val="19"/>
          <w:szCs w:val="19"/>
          <w:color w:val="auto"/>
        </w:rPr>
        <w:t xml:space="preserve"> All remedies specified in this Agreement shall be cumulative and not exclusive of any other rights or remedies, and either party may pursue all rights and remedies available at law or in equity for a breach of this Agreement.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4" w:name="page35"/>
    <w:bookmarkEnd w:id="34"/>
    <w:p>
      <w:pPr>
        <w:spacing w:after="0"/>
        <w:rPr>
          <w:sz w:val="20"/>
          <w:szCs w:val="20"/>
          <w:color w:val="auto"/>
        </w:rPr>
      </w:pPr>
      <w:r>
        <w:rPr>
          <w:rFonts w:ascii="Arial" w:cs="Arial" w:eastAsia="Arial" w:hAnsi="Arial"/>
          <w:sz w:val="19"/>
          <w:szCs w:val="19"/>
          <w:color w:val="auto"/>
        </w:rPr>
        <w:t>IN WITNESS WHEREOF, the parties hereto have executed this Agreement as of the Effective Date.</w:t>
      </w:r>
    </w:p>
    <w:p>
      <w:pPr>
        <w:spacing w:after="0" w:line="262"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Great Lakes Dredge &amp; Dock Company, LLC</w:t>
      </w: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By: /s/ JAMES TASTARD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2614930</wp:posOffset>
            </wp:positionH>
            <wp:positionV relativeFrom="paragraph">
              <wp:posOffset>-17780</wp:posOffset>
            </wp:positionV>
            <wp:extent cx="14135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spacing w:after="0" w:line="213" w:lineRule="exact"/>
        <w:rPr>
          <w:sz w:val="20"/>
          <w:szCs w:val="20"/>
          <w:color w:val="auto"/>
        </w:rPr>
      </w:pPr>
    </w:p>
    <w:p>
      <w:pPr>
        <w:jc w:val="center"/>
        <w:ind w:left="1560"/>
        <w:spacing w:after="0"/>
        <w:tabs>
          <w:tab w:leader="none" w:pos="3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James Tastard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-17780</wp:posOffset>
            </wp:positionV>
            <wp:extent cx="10058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005840" cy="8255"/>
                    </a:xfrm>
                    <a:prstGeom prst="rect">
                      <a:avLst/>
                    </a:prstGeom>
                    <a:noFill/>
                  </pic:spPr>
                </pic:pic>
              </a:graphicData>
            </a:graphic>
          </wp:anchor>
        </w:drawing>
      </w:r>
    </w:p>
    <w:p>
      <w:pPr>
        <w:spacing w:after="0" w:line="213" w:lineRule="exact"/>
        <w:rPr>
          <w:sz w:val="20"/>
          <w:szCs w:val="20"/>
          <w:color w:val="auto"/>
        </w:rPr>
      </w:pPr>
    </w:p>
    <w:p>
      <w:pPr>
        <w:jc w:val="center"/>
        <w:ind w:left="1560"/>
        <w:spacing w:after="0"/>
        <w:tabs>
          <w:tab w:leader="none" w:pos="4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u w:val="single" w:color="auto"/>
          <w:color w:val="auto"/>
        </w:rPr>
        <w:t>SVP, CHRAO</w:t>
      </w:r>
    </w:p>
    <w:p>
      <w:pPr>
        <w:spacing w:after="0" w:line="200" w:lineRule="exact"/>
        <w:rPr>
          <w:sz w:val="20"/>
          <w:szCs w:val="20"/>
          <w:color w:val="auto"/>
        </w:rPr>
      </w:pPr>
    </w:p>
    <w:p>
      <w:pPr>
        <w:spacing w:after="0" w:line="270"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David E. Simonelli</w:t>
      </w: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 DAVID E. SIMONELLI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2442210</wp:posOffset>
            </wp:positionH>
            <wp:positionV relativeFrom="paragraph">
              <wp:posOffset>-17780</wp:posOffset>
            </wp:positionV>
            <wp:extent cx="16459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Lasse J. Petterson, certify that:</w:t>
      </w:r>
    </w:p>
    <w:p>
      <w:pPr>
        <w:spacing w:after="0" w:line="144" w:lineRule="exact"/>
        <w:rPr>
          <w:sz w:val="20"/>
          <w:szCs w:val="20"/>
          <w:color w:val="auto"/>
        </w:rPr>
      </w:pPr>
    </w:p>
    <w:p>
      <w:pPr>
        <w:ind w:left="440" w:hanging="432"/>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44" w:lineRule="exact"/>
        <w:rPr>
          <w:rFonts w:ascii="Arial" w:cs="Arial" w:eastAsia="Arial" w:hAnsi="Arial"/>
          <w:sz w:val="18"/>
          <w:szCs w:val="18"/>
          <w:color w:val="auto"/>
        </w:rPr>
      </w:pPr>
    </w:p>
    <w:p>
      <w:pPr>
        <w:ind w:left="520" w:right="280" w:hanging="512"/>
        <w:spacing w:after="0" w:line="263" w:lineRule="auto"/>
        <w:tabs>
          <w:tab w:leader="none" w:pos="4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520" w:right="300" w:hanging="512"/>
        <w:spacing w:after="0" w:line="308" w:lineRule="auto"/>
        <w:tabs>
          <w:tab w:leader="none" w:pos="443"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520" w:right="260" w:hanging="512"/>
        <w:spacing w:after="0" w:line="263" w:lineRule="auto"/>
        <w:tabs>
          <w:tab w:leader="none" w:pos="4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jc w:val="both"/>
        <w:ind w:left="1020" w:right="60" w:hanging="479"/>
        <w:spacing w:after="0" w:line="263" w:lineRule="auto"/>
        <w:tabs>
          <w:tab w:leader="none" w:pos="96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1020" w:right="320" w:hanging="479"/>
        <w:spacing w:after="0" w:line="263" w:lineRule="auto"/>
        <w:tabs>
          <w:tab w:leader="none" w:pos="96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ind w:left="1020" w:right="480" w:hanging="479"/>
        <w:spacing w:after="0" w:line="342" w:lineRule="auto"/>
        <w:tabs>
          <w:tab w:leader="none" w:pos="967"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1020" w:right="60" w:hanging="479"/>
        <w:spacing w:after="0" w:line="263" w:lineRule="auto"/>
        <w:tabs>
          <w:tab w:leader="none" w:pos="96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520" w:right="220" w:hanging="512"/>
        <w:spacing w:after="0" w:line="308" w:lineRule="auto"/>
        <w:tabs>
          <w:tab w:leader="none" w:pos="443"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020" w:right="780" w:hanging="479"/>
        <w:spacing w:after="0" w:line="342" w:lineRule="auto"/>
        <w:tabs>
          <w:tab w:leader="none" w:pos="967"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6"/>
          <w:szCs w:val="16"/>
          <w:color w:val="auto"/>
        </w:rPr>
      </w:pPr>
    </w:p>
    <w:p>
      <w:pPr>
        <w:ind w:left="1020" w:right="480" w:hanging="479"/>
        <w:spacing w:after="0" w:line="277" w:lineRule="auto"/>
        <w:tabs>
          <w:tab w:leader="none" w:pos="967"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 2023</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Lasse J. Petterson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Kornblau, certify that:</w:t>
      </w:r>
    </w:p>
    <w:p>
      <w:pPr>
        <w:spacing w:after="0" w:line="144"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44" w:lineRule="exact"/>
        <w:rPr>
          <w:rFonts w:ascii="Arial" w:cs="Arial" w:eastAsia="Arial" w:hAnsi="Arial"/>
          <w:sz w:val="18"/>
          <w:szCs w:val="18"/>
          <w:color w:val="auto"/>
        </w:rPr>
      </w:pPr>
    </w:p>
    <w:p>
      <w:pPr>
        <w:ind w:left="520" w:right="280" w:hanging="512"/>
        <w:spacing w:after="0" w:line="263" w:lineRule="auto"/>
        <w:tabs>
          <w:tab w:leader="none" w:pos="4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520" w:right="300" w:hanging="512"/>
        <w:spacing w:after="0" w:line="308" w:lineRule="auto"/>
        <w:tabs>
          <w:tab w:leader="none" w:pos="443"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520" w:right="260" w:hanging="512"/>
        <w:spacing w:after="0" w:line="263" w:lineRule="auto"/>
        <w:tabs>
          <w:tab w:leader="none" w:pos="4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jc w:val="both"/>
        <w:ind w:left="1020" w:right="60" w:hanging="479"/>
        <w:spacing w:after="0" w:line="263" w:lineRule="auto"/>
        <w:tabs>
          <w:tab w:leader="none" w:pos="96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1020" w:right="320" w:hanging="479"/>
        <w:spacing w:after="0" w:line="263" w:lineRule="auto"/>
        <w:tabs>
          <w:tab w:leader="none" w:pos="96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ind w:left="1020" w:right="480" w:hanging="479"/>
        <w:spacing w:after="0" w:line="342" w:lineRule="auto"/>
        <w:tabs>
          <w:tab w:leader="none" w:pos="967"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1020" w:right="60" w:hanging="479"/>
        <w:spacing w:after="0" w:line="263" w:lineRule="auto"/>
        <w:tabs>
          <w:tab w:leader="none" w:pos="96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520" w:right="220" w:hanging="512"/>
        <w:spacing w:after="0" w:line="308" w:lineRule="auto"/>
        <w:tabs>
          <w:tab w:leader="none" w:pos="44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020" w:right="780" w:hanging="479"/>
        <w:spacing w:after="0" w:line="342" w:lineRule="auto"/>
        <w:tabs>
          <w:tab w:leader="none" w:pos="967"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6"/>
          <w:szCs w:val="16"/>
          <w:color w:val="auto"/>
        </w:rPr>
      </w:pPr>
    </w:p>
    <w:p>
      <w:pPr>
        <w:ind w:left="1020" w:right="480" w:hanging="479"/>
        <w:spacing w:after="0" w:line="277" w:lineRule="auto"/>
        <w:tabs>
          <w:tab w:leader="none" w:pos="96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 2023</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Scott Kornblau</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Great Lakes Dredge &amp; Dock Corporation (the “Company”) on Form 10-Q for the period ended March 31, 2023, as filed with the Securities and Exchange Commission on the date hereof (the “Report”), I, Lasse J. Petterson, President and Chief Executive Officer of the Company, certify pursuant to 18 U.S.C. Section 1350, as adopted pursuant to Section 906 of the Sarbanes-Oxley Act of 2002, that:</w:t>
      </w:r>
    </w:p>
    <w:p>
      <w:pPr>
        <w:spacing w:after="0" w:line="84" w:lineRule="exact"/>
        <w:rPr>
          <w:sz w:val="20"/>
          <w:szCs w:val="20"/>
          <w:color w:val="auto"/>
        </w:rPr>
      </w:pPr>
    </w:p>
    <w:p>
      <w:pPr>
        <w:ind w:left="980" w:hanging="439"/>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7" w:lineRule="exact"/>
        <w:rPr>
          <w:rFonts w:ascii="Arial" w:cs="Arial" w:eastAsia="Arial" w:hAnsi="Arial"/>
          <w:sz w:val="16"/>
          <w:szCs w:val="16"/>
          <w:color w:val="auto"/>
        </w:rPr>
      </w:pPr>
    </w:p>
    <w:p>
      <w:pPr>
        <w:ind w:left="1020" w:right="600" w:hanging="479"/>
        <w:spacing w:after="0" w:line="277" w:lineRule="auto"/>
        <w:tabs>
          <w:tab w:leader="none" w:pos="9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Lasse J. Petterson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2, 2023</w:t>
      </w:r>
    </w:p>
    <w:p>
      <w:pPr>
        <w:spacing w:after="0" w:line="2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March 31, 2023 as filed with the Securities and Exchange Commission on the date hereof (the “Report”), I, Scott Kornblau, Senior Vice President, Chief Financial Officer and Treasurer of the Company, certify pursuant to 18 U.S.C. Section 1350, as adopted pursuant to Section 906 of the Sarbanes-Oxley Act of 2002, that:</w:t>
      </w:r>
    </w:p>
    <w:p>
      <w:pPr>
        <w:spacing w:after="0" w:line="68" w:lineRule="exact"/>
        <w:rPr>
          <w:sz w:val="20"/>
          <w:szCs w:val="20"/>
          <w:color w:val="auto"/>
        </w:rPr>
      </w:pPr>
    </w:p>
    <w:p>
      <w:pPr>
        <w:ind w:left="980" w:hanging="439"/>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7" w:lineRule="exact"/>
        <w:rPr>
          <w:rFonts w:ascii="Arial" w:cs="Arial" w:eastAsia="Arial" w:hAnsi="Arial"/>
          <w:sz w:val="16"/>
          <w:szCs w:val="16"/>
          <w:color w:val="auto"/>
        </w:rPr>
      </w:pPr>
    </w:p>
    <w:p>
      <w:pPr>
        <w:ind w:left="1020" w:right="600" w:hanging="479"/>
        <w:spacing w:after="0" w:line="277" w:lineRule="auto"/>
        <w:tabs>
          <w:tab w:leader="none" w:pos="9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3515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Scott Kornblau</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2, 2023</w:t>
      </w:r>
    </w:p>
    <w:p>
      <w:pPr>
        <w:spacing w:after="0" w:line="2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5"/>
    </w:lvl>
  </w:abstractNum>
  <w:abstractNum w:abstractNumId="6">
    <w:nsid w:val="25E45D32"/>
    <w:multiLevelType w:val="hybridMultilevel"/>
    <w:lvl w:ilvl="0">
      <w:lvlJc w:val="left"/>
      <w:lvlText w:val="%1."/>
      <w:numFmt w:val="decimal"/>
      <w:start w:val="6"/>
    </w:lvl>
  </w:abstractNum>
  <w:abstractNum w:abstractNumId="7">
    <w:nsid w:val="519B500D"/>
    <w:multiLevelType w:val="hybridMultilevel"/>
    <w:lvl w:ilvl="0">
      <w:lvlJc w:val="left"/>
      <w:lvlText w:val="%1."/>
      <w:numFmt w:val="decimal"/>
      <w:start w:val="7"/>
    </w:lvl>
  </w:abstractNum>
  <w:abstractNum w:abstractNumId="8">
    <w:nsid w:val="431BD7B7"/>
    <w:multiLevelType w:val="hybridMultilevel"/>
    <w:lvl w:ilvl="0">
      <w:lvlJc w:val="left"/>
      <w:lvlText w:val="%1."/>
      <w:numFmt w:val="decimal"/>
      <w:start w:val="8"/>
    </w:lvl>
  </w:abstractNum>
  <w:abstractNum w:abstractNumId="9">
    <w:nsid w:val="3F2DBA31"/>
    <w:multiLevelType w:val="hybridMultilevel"/>
    <w:lvl w:ilvl="0">
      <w:lvlJc w:val="left"/>
      <w:lvlText w:val="*"/>
      <w:numFmt w:val="bullet"/>
      <w:start w:val="1"/>
    </w:lvl>
    <w:lvl w:ilvl="1">
      <w:lvlJc w:val="left"/>
      <w:lvlText w:val="%2"/>
      <w:numFmt w:val="decimal"/>
      <w:start w:val="104"/>
    </w:lvl>
  </w:abstractNum>
  <w:abstractNum w:abstractNumId="10">
    <w:nsid w:val="7C83E458"/>
    <w:multiLevelType w:val="hybridMultilevel"/>
    <w:lvl w:ilvl="0">
      <w:lvlJc w:val="left"/>
      <w:lvlText w:val="**"/>
      <w:numFmt w:val="bullet"/>
      <w:start w:val="1"/>
    </w:lvl>
    <w:lvl w:ilvl="1">
      <w:lvlJc w:val="left"/>
      <w:lvlText w:val="%2"/>
      <w:numFmt w:val="decimal"/>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1"/>
    </w:lvl>
    <w:lvl w:ilvl="1">
      <w:lvlJc w:val="left"/>
      <w:lvlText w:val="(%2)"/>
      <w:numFmt w:val="lowerLetter"/>
      <w:start w:val="2"/>
    </w:lvl>
  </w:abstractNum>
  <w:abstractNum w:abstractNumId="14">
    <w:nsid w:val="628C895D"/>
    <w:multiLevelType w:val="hybridMultilevel"/>
    <w:lvl w:ilvl="0">
      <w:lvlJc w:val="left"/>
      <w:lvlText w:val="(%1)"/>
      <w:numFmt w:val="lowerLetter"/>
      <w:start w:val="3"/>
    </w:lvl>
    <w:lvl w:ilvl="1">
      <w:lvlJc w:val="left"/>
      <w:lvlText w:val="%2"/>
      <w:numFmt w:val="lowerLetter"/>
      <w:start w:val="1"/>
    </w:lvl>
  </w:abstractNum>
  <w:abstractNum w:abstractNumId="15">
    <w:nsid w:val="333AB105"/>
    <w:multiLevelType w:val="hybridMultilevel"/>
    <w:lvl w:ilvl="0">
      <w:lvlJc w:val="left"/>
      <w:lvlText w:val="(%1)"/>
      <w:numFmt w:val="lowerLetter"/>
      <w:start w:val="1"/>
    </w:lvl>
    <w:lvl w:ilvl="1">
      <w:lvlJc w:val="left"/>
      <w:lvlText w:val="%2."/>
      <w:numFmt w:val="decimal"/>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3"/>
    </w:lvl>
  </w:abstractNum>
  <w:abstractNum w:abstractNumId="19">
    <w:nsid w:val="6763845E"/>
    <w:multiLevelType w:val="hybridMultilevel"/>
    <w:lvl w:ilvl="0">
      <w:lvlJc w:val="left"/>
      <w:lvlText w:val="(%1)"/>
      <w:numFmt w:val="lowerLetter"/>
      <w:start w:val="4"/>
    </w:lvl>
  </w:abstractNum>
  <w:abstractNum w:abstractNumId="20">
    <w:nsid w:val="75A2A8D4"/>
    <w:multiLevelType w:val="hybridMultilevel"/>
    <w:lvl w:ilvl="0">
      <w:lvlJc w:val="left"/>
      <w:lvlText w:val="%1."/>
      <w:numFmt w:val="lowerLetter"/>
      <w:start w:val="1"/>
    </w:lvl>
    <w:lvl w:ilvl="1">
      <w:lvlJc w:val="left"/>
      <w:lvlText w:val="%2."/>
      <w:numFmt w:val="decimal"/>
      <w:start w:val="1"/>
    </w:lvl>
  </w:abstractNum>
  <w:abstractNum w:abstractNumId="21">
    <w:nsid w:val="8EDBDAB"/>
    <w:multiLevelType w:val="hybridMultilevel"/>
    <w:lvl w:ilvl="0">
      <w:lvlJc w:val="left"/>
      <w:lvlText w:val="%1."/>
      <w:numFmt w:val="lowerLetter"/>
      <w:start w:val="3"/>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22" Type="http://schemas.openxmlformats.org/officeDocument/2006/relationships/hyperlink" Target="https://www.sec.gov/Archives/edgar/data/1372020/000095017023000932/gldd-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2023-05-02T15:17:03Z</dcterms:created>
  <dcterms:modified xsi:type="dcterms:W3CDTF">2023-05-02T15:17:03Z</dcterms:modified>
</cp:coreProperties>
</file>