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ind w:left="480" w:right="260" w:hanging="459"/>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80" w:right="260" w:hanging="459"/>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88265</wp:posOffset>
            </wp:positionV>
            <wp:extent cx="779780" cy="779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9780" cy="779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51"/>
        </w:trPr>
        <w:tc>
          <w:tcPr>
            <w:tcW w:w="6760" w:type="dxa"/>
            <w:vAlign w:val="bottom"/>
          </w:tcPr>
          <w:p>
            <w:pPr>
              <w:jc w:val="center"/>
              <w:ind w:right="323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9"/>
              </w:rPr>
              <w:t>9811 Katy Freeway, Suite 1200, Houston, TX</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3"/>
        </w:trPr>
        <w:tc>
          <w:tcPr>
            <w:tcW w:w="676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4"/>
        </w:trPr>
        <w:tc>
          <w:tcPr>
            <w:tcW w:w="6760" w:type="dxa"/>
            <w:vAlign w:val="bottom"/>
          </w:tcPr>
          <w:p>
            <w:pPr>
              <w:jc w:val="right"/>
              <w:ind w:right="1538"/>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260" w:type="dxa"/>
            <w:vAlign w:val="bottom"/>
          </w:tcPr>
          <w:p>
            <w:pPr>
              <w:spacing w:after="0"/>
              <w:rPr>
                <w:sz w:val="21"/>
                <w:szCs w:val="21"/>
                <w:color w:val="auto"/>
              </w:rPr>
            </w:pPr>
          </w:p>
        </w:tc>
      </w:tr>
      <w:tr>
        <w:trPr>
          <w:trHeight w:val="238"/>
        </w:trPr>
        <w:tc>
          <w:tcPr>
            <w:tcW w:w="676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98"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1"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3, 2024, 67,009,319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040" w:type="dxa"/>
            <w:vAlign w:val="bottom"/>
            <w:gridSpan w:val="10"/>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March 31,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March 31, 2024 and</w:t>
            </w:r>
          </w:p>
        </w:tc>
        <w:tc>
          <w:tcPr>
            <w:tcW w:w="8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7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for the Three Months Ended March 31, 2024 and 2023</w:t>
            </w:r>
          </w:p>
        </w:tc>
        <w:tc>
          <w:tcPr>
            <w:tcW w:w="188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2"/>
        </w:trPr>
        <w:tc>
          <w:tcPr>
            <w:tcW w:w="1140" w:type="dxa"/>
            <w:vAlign w:val="bottom"/>
          </w:tcPr>
          <w:p>
            <w:pPr>
              <w:spacing w:after="0"/>
              <w:rPr>
                <w:sz w:val="24"/>
                <w:szCs w:val="24"/>
                <w:color w:val="auto"/>
              </w:rPr>
            </w:pPr>
          </w:p>
        </w:tc>
        <w:tc>
          <w:tcPr>
            <w:tcW w:w="77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152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114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20" w:type="dxa"/>
            <w:vAlign w:val="bottom"/>
            <w:gridSpan w:val="9"/>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6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6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42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71"/>
        </w:trPr>
        <w:tc>
          <w:tcPr>
            <w:tcW w:w="1140" w:type="dxa"/>
            <w:vAlign w:val="bottom"/>
          </w:tcPr>
          <w:p>
            <w:pPr>
              <w:spacing w:after="0"/>
              <w:rPr>
                <w:sz w:val="24"/>
                <w:szCs w:val="24"/>
                <w:color w:val="auto"/>
              </w:rPr>
            </w:pP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8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8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0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00" w:type="dxa"/>
            <w:vAlign w:val="bottom"/>
            <w:gridSpan w:val="1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14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480" w:type="dxa"/>
            <w:vAlign w:val="bottom"/>
            <w:gridSpan w:val="1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830"/>
        </w:trPr>
        <w:tc>
          <w:tcPr>
            <w:tcW w:w="114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5340" w:type="dxa"/>
            <w:vAlign w:val="bottom"/>
            <w:gridSpan w:val="13"/>
          </w:tcPr>
          <w:p>
            <w:pPr>
              <w:jc w:val="right"/>
              <w:ind w:right="156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receivable—net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44,544</w:t>
            </w:r>
          </w:p>
        </w:tc>
        <w:tc>
          <w:tcPr>
            <w:tcW w:w="100" w:type="dxa"/>
            <w:vAlign w:val="bottom"/>
          </w:tcPr>
          <w:p>
            <w:pPr>
              <w:spacing w:after="0"/>
              <w:rPr>
                <w:sz w:val="20"/>
                <w:szCs w:val="20"/>
                <w:color w:val="auto"/>
              </w:rPr>
            </w:pPr>
          </w:p>
        </w:tc>
      </w:tr>
      <w:tr>
        <w:trPr>
          <w:trHeight w:val="241"/>
        </w:trPr>
        <w:tc>
          <w:tcPr>
            <w:tcW w:w="75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211,178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shd w:val="clear" w:color="auto" w:fill="CFF0FC"/>
          </w:tcPr>
          <w:p>
            <w:pPr>
              <w:spacing w:after="0"/>
              <w:rPr>
                <w:sz w:val="20"/>
                <w:szCs w:val="20"/>
                <w:color w:val="auto"/>
              </w:rPr>
            </w:pPr>
          </w:p>
        </w:tc>
      </w:tr>
      <w:tr>
        <w:trPr>
          <w:trHeight w:val="243"/>
        </w:trPr>
        <w:tc>
          <w:tcPr>
            <w:tcW w:w="7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613,116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614,608</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INVENTORIES—Noncurrent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1,095,088</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89,601</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83,835</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168,499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179,443</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412,070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62,232</w:t>
            </w:r>
          </w:p>
        </w:tc>
        <w:tc>
          <w:tcPr>
            <w:tcW w:w="10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686,048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725,292</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stock—$.0001 par value; 90,000 authorized, 66,941 and 66,623 shares issued and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March 31, 2024 and December 31, 2023, respectively.</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50"/>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318,517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100" w:type="dxa"/>
            <w:vAlign w:val="bottom"/>
            <w:shd w:val="clear" w:color="auto" w:fill="CFF0FC"/>
          </w:tcPr>
          <w:p>
            <w:pPr>
              <w:spacing w:after="0"/>
              <w:rPr>
                <w:sz w:val="21"/>
                <w:szCs w:val="21"/>
                <w:color w:val="auto"/>
              </w:rPr>
            </w:pPr>
          </w:p>
        </w:tc>
      </w:tr>
      <w:tr>
        <w:trPr>
          <w:trHeight w:val="239"/>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100" w:type="dxa"/>
            <w:vAlign w:val="bottom"/>
          </w:tcPr>
          <w:p>
            <w:pPr>
              <w:spacing w:after="0"/>
              <w:rPr>
                <w:sz w:val="20"/>
                <w:szCs w:val="20"/>
                <w:color w:val="auto"/>
              </w:rPr>
            </w:pPr>
          </w:p>
        </w:tc>
      </w:tr>
      <w:tr>
        <w:trPr>
          <w:trHeight w:val="247"/>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(727 )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(2,015 )</w:t>
            </w:r>
          </w:p>
        </w:tc>
      </w:tr>
      <w:tr>
        <w:trPr>
          <w:trHeight w:val="232"/>
        </w:trPr>
        <w:tc>
          <w:tcPr>
            <w:tcW w:w="7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409,040</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tcPr>
          <w:p>
            <w:pPr>
              <w:spacing w:after="0"/>
              <w:rPr>
                <w:sz w:val="20"/>
                <w:szCs w:val="20"/>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1,095,088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-3933825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-2665095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-1731010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-363855</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-363855</wp:posOffset>
            </wp:positionV>
            <wp:extent cx="939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100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158,044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153,086</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145,909</w:t>
            </w:r>
          </w:p>
        </w:tc>
        <w:tc>
          <w:tcPr>
            <w:tcW w:w="100" w:type="dxa"/>
            <w:vAlign w:val="bottom"/>
          </w:tcPr>
          <w:p>
            <w:pPr>
              <w:spacing w:after="0"/>
              <w:rPr>
                <w:sz w:val="20"/>
                <w:szCs w:val="20"/>
                <w:color w:val="auto"/>
              </w:rPr>
            </w:pPr>
          </w:p>
        </w:tc>
      </w:tr>
      <w:tr>
        <w:trPr>
          <w:trHeight w:val="241"/>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45,574</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gains</w:t>
            </w: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(2,016 )</w:t>
            </w:r>
          </w:p>
        </w:tc>
        <w:tc>
          <w:tcPr>
            <w:tcW w:w="5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76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31,479</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(864 )</w:t>
            </w: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10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(3,891 )</w:t>
            </w:r>
          </w:p>
        </w:tc>
        <w:tc>
          <w:tcPr>
            <w:tcW w:w="5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(3,385 )</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r>
      <w:tr>
        <w:trPr>
          <w:trHeight w:val="241"/>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(4,022 )</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(6,989 )</w:t>
            </w: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28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(3,231 )</w:t>
            </w:r>
          </w:p>
        </w:tc>
      </w:tr>
      <w:tr>
        <w:trPr>
          <w:trHeight w:val="223"/>
        </w:trPr>
        <w:tc>
          <w:tcPr>
            <w:tcW w:w="760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000" w:type="dxa"/>
            <w:vAlign w:val="bottom"/>
            <w:shd w:val="clear" w:color="auto" w:fill="CFF0FC"/>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66,729</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66,264</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0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-1902460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-950595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8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8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(3,231 )</w:t>
            </w: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hedges—net of tax (1)</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(1,409 )</w:t>
            </w:r>
          </w:p>
        </w:tc>
      </w:tr>
      <w:tr>
        <w:trPr>
          <w:trHeight w:val="20"/>
        </w:trPr>
        <w:tc>
          <w:tcPr>
            <w:tcW w:w="78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22,312</w:t>
            </w:r>
          </w:p>
        </w:tc>
        <w:tc>
          <w:tcPr>
            <w:tcW w:w="28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(4,640 )</w:t>
            </w:r>
          </w:p>
        </w:tc>
      </w:tr>
      <w:tr>
        <w:trPr>
          <w:trHeight w:val="20"/>
        </w:trPr>
        <w:tc>
          <w:tcPr>
            <w:tcW w:w="78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180" w:right="1740" w:hanging="3172"/>
        <w:spacing w:after="0" w:line="532" w:lineRule="auto"/>
        <w:tabs>
          <w:tab w:leader="none" w:pos="5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benefit of $(435) and $476 for the three months ended March 31, 2024 and 2023, respectively. See notes to unaudited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(681 )</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(681 )</w:t>
            </w:r>
          </w:p>
        </w:tc>
        <w:tc>
          <w:tcPr>
            <w:tcW w:w="0" w:type="dxa"/>
            <w:vAlign w:val="bottom"/>
          </w:tcPr>
          <w:p>
            <w:pPr>
              <w:spacing w:after="0"/>
              <w:rPr>
                <w:sz w:val="1"/>
                <w:szCs w:val="1"/>
                <w:color w:val="auto"/>
              </w:rPr>
            </w:pPr>
          </w:p>
        </w:tc>
      </w:tr>
      <w:tr>
        <w:trPr>
          <w:trHeight w:val="21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options and purchases from employee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66,941</w:t>
            </w: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318,517</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91,244</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-24765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1" w:lineRule="exact"/>
        <w:rPr>
          <w:sz w:val="20"/>
          <w:szCs w:val="20"/>
          <w:color w:val="auto"/>
        </w:rPr>
      </w:pPr>
    </w:p>
    <w:p>
      <w:pPr>
        <w:ind w:left="200" w:right="1580" w:hanging="179"/>
        <w:spacing w:after="0" w:line="281" w:lineRule="auto"/>
        <w:rPr>
          <w:sz w:val="20"/>
          <w:szCs w:val="20"/>
          <w:color w:val="auto"/>
        </w:rPr>
      </w:pPr>
      <w:r>
        <w:rPr>
          <w:rFonts w:ascii="Times New Roman" w:cs="Times New Roman" w:eastAsia="Times New Roman" w:hAnsi="Times New Roman"/>
          <w:sz w:val="18"/>
          <w:szCs w:val="18"/>
          <w:color w:val="auto"/>
        </w:rPr>
        <w:t>BALANCE—January 1, 2023 Share-based compensation</w:t>
      </w:r>
    </w:p>
    <w:p>
      <w:pPr>
        <w:spacing w:after="0" w:line="1" w:lineRule="exact"/>
        <w:rPr>
          <w:sz w:val="20"/>
          <w:szCs w:val="20"/>
          <w:color w:val="auto"/>
        </w:rPr>
      </w:pPr>
    </w:p>
    <w:p>
      <w:pPr>
        <w:ind w:left="200" w:right="280"/>
        <w:spacing w:after="0" w:line="266" w:lineRule="auto"/>
        <w:rPr>
          <w:sz w:val="20"/>
          <w:szCs w:val="20"/>
          <w:color w:val="auto"/>
        </w:rPr>
      </w:pPr>
      <w:r>
        <w:rPr>
          <w:rFonts w:ascii="Times New Roman" w:cs="Times New Roman" w:eastAsia="Times New Roman" w:hAnsi="Times New Roman"/>
          <w:sz w:val="18"/>
          <w:szCs w:val="18"/>
          <w:color w:val="auto"/>
        </w:rPr>
        <w:t>Vesting of restricted stock units and impact of shares withheld for taxes</w:t>
      </w:r>
    </w:p>
    <w:p>
      <w:pPr>
        <w:ind w:left="200"/>
        <w:spacing w:after="0" w:line="266" w:lineRule="auto"/>
        <w:rPr>
          <w:sz w:val="20"/>
          <w:szCs w:val="20"/>
          <w:color w:val="auto"/>
        </w:rPr>
      </w:pPr>
      <w:r>
        <w:rPr>
          <w:rFonts w:ascii="Times New Roman" w:cs="Times New Roman" w:eastAsia="Times New Roman" w:hAnsi="Times New Roman"/>
          <w:sz w:val="18"/>
          <w:szCs w:val="18"/>
          <w:color w:val="auto"/>
        </w:rPr>
        <w:t>Exercise of options and purchases from employee stock plans</w:t>
      </w:r>
    </w:p>
    <w:p>
      <w:pP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BALANCE—March 31,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312,091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(335 )</w:t>
            </w:r>
          </w:p>
        </w:tc>
        <w:tc>
          <w:tcPr>
            <w:tcW w:w="320" w:type="dxa"/>
            <w:vAlign w:val="bottom"/>
          </w:tcPr>
          <w:p>
            <w:pPr>
              <w:spacing w:after="0"/>
              <w:rPr>
                <w:sz w:val="24"/>
                <w:szCs w:val="24"/>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0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0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(3,231 )</w:t>
            </w:r>
          </w:p>
        </w:tc>
        <w:tc>
          <w:tcPr>
            <w:tcW w:w="380" w:type="dxa"/>
            <w:vAlign w:val="bottom"/>
          </w:tcPr>
          <w:p>
            <w:pPr>
              <w:spacing w:after="0"/>
              <w:rPr>
                <w:sz w:val="21"/>
                <w:szCs w:val="21"/>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(3,231 )</w:t>
            </w:r>
          </w:p>
        </w:tc>
        <w:tc>
          <w:tcPr>
            <w:tcW w:w="0" w:type="dxa"/>
            <w:vAlign w:val="bottom"/>
          </w:tcPr>
          <w:p>
            <w:pPr>
              <w:spacing w:after="0"/>
              <w:rPr>
                <w:sz w:val="1"/>
                <w:szCs w:val="1"/>
                <w:color w:val="auto"/>
              </w:rPr>
            </w:pPr>
          </w:p>
        </w:tc>
      </w:tr>
      <w:tr>
        <w:trPr>
          <w:trHeight w:val="250"/>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(1,409 )</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(1,409 )</w:t>
            </w:r>
          </w:p>
        </w:tc>
        <w:tc>
          <w:tcPr>
            <w:tcW w:w="0" w:type="dxa"/>
            <w:vAlign w:val="bottom"/>
          </w:tcPr>
          <w:p>
            <w:pPr>
              <w:spacing w:after="0"/>
              <w:rPr>
                <w:sz w:val="1"/>
                <w:szCs w:val="1"/>
                <w:color w:val="auto"/>
              </w:rPr>
            </w:pPr>
          </w:p>
        </w:tc>
      </w:tr>
      <w:tr>
        <w:trPr>
          <w:trHeight w:val="239"/>
        </w:trPr>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66,416</w:t>
            </w: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312,533</w:t>
            </w: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53,083</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-1388110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-1079500</wp:posOffset>
            </wp:positionV>
            <wp:extent cx="713232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-496570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-179070</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240"/>
            <w:col w:w="7220"/>
          </w:cols>
          <w:pgMar w:left="320" w:top="981" w:right="339" w:bottom="1440" w:gutter="0" w:footer="0" w:header="0"/>
          <w:type w:val="continuous"/>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unaudited condensed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5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24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(3,231 )</w:t>
            </w:r>
          </w:p>
        </w:tc>
      </w:tr>
      <w:tr>
        <w:trPr>
          <w:trHeight w:val="215"/>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w:t>
            </w: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(791 )</w:t>
            </w: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(2,016 )</w:t>
            </w:r>
          </w:p>
        </w:tc>
        <w:tc>
          <w:tcPr>
            <w:tcW w:w="4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0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(15,379 )</w:t>
            </w: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(1,546 )</w:t>
            </w:r>
          </w:p>
        </w:tc>
        <w:tc>
          <w:tcPr>
            <w:tcW w:w="4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(3,766 )</w:t>
            </w: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(1,424 )</w:t>
            </w: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(11,495 )</w:t>
            </w: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(2,140 )</w:t>
            </w:r>
          </w:p>
        </w:tc>
        <w:tc>
          <w:tcPr>
            <w:tcW w:w="4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(1,678 )</w:t>
            </w:r>
          </w:p>
        </w:tc>
      </w:tr>
      <w:tr>
        <w:trPr>
          <w:trHeight w:val="241"/>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24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shd w:val="clear" w:color="auto" w:fill="CFF0FC"/>
          </w:tcPr>
          <w:p>
            <w:pPr>
              <w:spacing w:after="0"/>
              <w:rPr>
                <w:sz w:val="20"/>
                <w:szCs w:val="20"/>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(11,912 )</w:t>
            </w: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(33,629 )</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0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r>
      <w:tr>
        <w:trPr>
          <w:trHeight w:val="241"/>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(8,271 )</w:t>
            </w:r>
          </w:p>
        </w:tc>
        <w:tc>
          <w:tcPr>
            <w:tcW w:w="4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(33,574 )</w:t>
            </w: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(681 )</w:t>
            </w: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(335 )</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 under revolving loans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(30,000 )</w:t>
            </w:r>
          </w:p>
        </w:tc>
        <w:tc>
          <w:tcPr>
            <w:tcW w:w="4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(25,000 )</w:t>
            </w:r>
          </w:p>
        </w:tc>
      </w:tr>
      <w:tr>
        <w:trPr>
          <w:trHeight w:val="24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(390 )</w:t>
            </w: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(30,209 )</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25,973</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20"/>
                <w:szCs w:val="20"/>
                <w:color w:val="auto"/>
              </w:rPr>
            </w:pPr>
          </w:p>
        </w:tc>
      </w:tr>
      <w:tr>
        <w:trPr>
          <w:trHeight w:val="277"/>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60" w:type="dxa"/>
            <w:vAlign w:val="bottom"/>
            <w:tcBorders>
              <w:bottom w:val="single" w:sz="8" w:color="auto"/>
            </w:tcBorders>
            <w:shd w:val="clear" w:color="auto" w:fill="CFF0FC"/>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60" w:type="dxa"/>
            <w:vAlign w:val="bottom"/>
            <w:tcBorders>
              <w:top w:val="single" w:sz="8" w:color="auto"/>
              <w:bottom w:val="single" w:sz="8" w:color="auto"/>
            </w:tcBorders>
            <w:shd w:val="clear" w:color="auto" w:fill="CFF0FC"/>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tcBorders>
              <w:bottom w:val="single" w:sz="8" w:color="auto"/>
            </w:tcBorders>
            <w:shd w:val="clear" w:color="auto" w:fill="CFF0FC"/>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6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06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4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-2622550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-2622550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-1988185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-1971040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-1988185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-1971040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-1182370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-1165225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-1182370</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-694055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-676275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-694055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-676275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2023.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2024 and December 31, 2023, and its results of operations for the three months ended March 31, 2024 and 2023 and cash flows for the three months ended March 31, 2024 and 2023 have been included.</w:t>
      </w:r>
    </w:p>
    <w:p>
      <w:pPr>
        <w:spacing w:after="0" w:line="194"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has one operating segment which is also the Company’s reportable segment and reporting unit of which the Company tests goodwill for impairment. The Company performed its most recent test of impairment as of July 1, 2023 with no indication of impairment as of the test date.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As of the test date, the fair value of the reporting unit was in excess of its carrying value by at least 10%. The Company will continue to monitor for changes in facts or circumstances that may impact its estimates. The Company will perform its next scheduled annual impairment test of goodwill in the third quarter of 2024 should no triggering events occur which would require a test prior to the next annual test.</w:t>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and comprehensive income (loss) for the interim periods presented herein are not necessarily indicative of the results to be expected for the full year.</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December 2023, Financial Accounting Standards Board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Management is currently evaluating the impact of this guidance.</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1, 2024, we adopted FASB ASU 2023-07, “Segment Reporting (Topic 280)” (“ASU 2023-07”). The amendments in ASU 2023-07 improve financial reporting by requiring disclosure of incremental segment information on an annual and interim basis for all public entities to enable investors to develop more decision-useful financial analyses. ASU 2023-07 requires a public entity to report a measure of segment profit or loss that the chief operating decision maker (CODM) uses to assess segment performance and make decisions about allocating resources. ASU 2023-07 also requires other specified segment items and amounts, such as depreciation, amortization, and depletion expense, to be disclosed under certain circumstances. The amendments in ASU 2023-07 do not change or</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380"/>
        <w:spacing w:after="0" w:line="261" w:lineRule="auto"/>
        <w:rPr>
          <w:sz w:val="20"/>
          <w:szCs w:val="20"/>
          <w:color w:val="auto"/>
        </w:rPr>
      </w:pPr>
      <w:r>
        <w:rPr>
          <w:rFonts w:ascii="Times New Roman" w:cs="Times New Roman" w:eastAsia="Times New Roman" w:hAnsi="Times New Roman"/>
          <w:sz w:val="18"/>
          <w:szCs w:val="18"/>
          <w:color w:val="auto"/>
        </w:rPr>
        <w:t>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adopted retrospectively. The adoption of ASU 2023-07 did not have a material effect on the Company’s consolidated financial statements or disclosures.</w:t>
      </w:r>
    </w:p>
    <w:p>
      <w:pPr>
        <w:spacing w:after="0" w:line="176"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attributable to common stockholders by the weighted-average number of common shares outstanding during the reporting period. Diluted earnings (loss) per share is computed similar to basic earnings (loss) per share except that it reflects the potential dilution that could occur if dilutive securities or other obligations to issue common stock were exercised or converted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(3,231 )</w:t>
            </w:r>
          </w:p>
        </w:tc>
      </w:tr>
      <w:tr>
        <w:trPr>
          <w:trHeight w:val="47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66,264</w:t>
            </w:r>
          </w:p>
        </w:tc>
        <w:tc>
          <w:tcPr>
            <w:tcW w:w="100" w:type="dxa"/>
            <w:vAlign w:val="bottom"/>
          </w:tcPr>
          <w:p>
            <w:pPr>
              <w:spacing w:after="0"/>
              <w:rPr>
                <w:sz w:val="24"/>
                <w:szCs w:val="24"/>
                <w:color w:val="auto"/>
              </w:rPr>
            </w:pPr>
          </w:p>
        </w:tc>
      </w:tr>
      <w:tr>
        <w:trPr>
          <w:trHeight w:val="245"/>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77"/>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66,264</w:t>
            </w:r>
          </w:p>
        </w:tc>
        <w:tc>
          <w:tcPr>
            <w:tcW w:w="100" w:type="dxa"/>
            <w:vAlign w:val="bottom"/>
            <w:tcBorders>
              <w:top w:val="single" w:sz="8" w:color="CFF0FC"/>
            </w:tcBorders>
          </w:tcPr>
          <w:p>
            <w:pPr>
              <w:spacing w:after="0"/>
              <w:rPr>
                <w:sz w:val="24"/>
                <w:szCs w:val="24"/>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(0.05 )</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-799465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-799465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there were 765 stock options ("NQSOs") and restricted stock units ("RSUs") included in the diluted weighted average common shares outstanding. For the three months ended March 31, 2023, there were 246 NQSOs and RSUs excluded from the diluted weighted average common shares outstanding because the Company incurred a loss during these periods.</w:t>
      </w:r>
    </w:p>
    <w:p>
      <w:pPr>
        <w:spacing w:after="0" w:line="9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there were 240 NQSOs and RSUs excluded from the calculation of diluted earnings per share based on the application of the treasury stock method, as such NQSOs and RSUs were determined to be anti-dilutive.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at March 31, 2024 and December 31, 2023 were as follows: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3"/>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42"/>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0"/>
                <w:szCs w:val="20"/>
                <w:color w:val="auto"/>
              </w:rPr>
            </w:pPr>
          </w:p>
        </w:tc>
      </w:tr>
      <w:tr>
        <w:trPr>
          <w:trHeight w:val="27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14"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July 29, 2022, the Company, Great Lakes Dredge &amp; Dock Company, LLC, NASDI Holdings, LLC, Great Lakes Environmental &amp; Infrastructure Solutions, LLC, Great Lakes U.S. Fleet Management, LLC, and Drews Services LLC (collectively, the “Credit Parties”) entered into a second amended and restated revolving credit and security agreement (as amended, supplemented or otherwise modified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140"/>
        <w:spacing w:after="0" w:line="273" w:lineRule="auto"/>
        <w:rPr>
          <w:sz w:val="20"/>
          <w:szCs w:val="20"/>
          <w:color w:val="auto"/>
        </w:rPr>
      </w:pPr>
      <w:r>
        <w:rPr>
          <w:rFonts w:ascii="Times New Roman" w:cs="Times New Roman" w:eastAsia="Times New Roman" w:hAnsi="Times New Roman"/>
          <w:sz w:val="17"/>
          <w:szCs w:val="17"/>
          <w:color w:val="auto"/>
        </w:rPr>
        <w:t>from time to time, the “Amended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Amended Credit Agreement amends and restates the prior Amended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Amended Credit Agreement provides for a senior secured revolving credit facility in an aggregate principal amount of up to $300,000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0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w:t>
      </w:r>
    </w:p>
    <w:p>
      <w:pPr>
        <w:spacing w:after="0" w:line="1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Amended Credit Agreement is less than 12.5% of the maximum loan amount for five consecutive days.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for other general corporate purposes, and with respect to any green loan, fund capital investments related to renewable energy and clean transportation projects. The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Amended Credit Agreement.</w:t>
      </w:r>
    </w:p>
    <w:p>
      <w:pPr>
        <w:spacing w:after="0" w:line="1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9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Interest on the senior secured revolving credit facility of the Amended Credit Agreement is equal to either a Domestic Rate option or Secured Overnight Financing Rate (“SOFR”) option, at the Company’s election. As of July 29, 2022, (a) the Domestic Rate 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 (b) 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had $60,000 and $90,000 borrowings on the revolver as of March 31, 2024 and December 31, 2023, respectively. There were $49,777 of letters of credit outstanding as of March 31, 2024 and December 31, 2023. The Company had $152,320 and $122,320</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100" w:firstLine="45"/>
        <w:spacing w:after="0" w:line="261" w:lineRule="auto"/>
        <w:rPr>
          <w:sz w:val="20"/>
          <w:szCs w:val="20"/>
          <w:color w:val="auto"/>
        </w:rPr>
      </w:pPr>
      <w:r>
        <w:rPr>
          <w:rFonts w:ascii="Times New Roman" w:cs="Times New Roman" w:eastAsia="Times New Roman" w:hAnsi="Times New Roman"/>
          <w:sz w:val="18"/>
          <w:szCs w:val="18"/>
          <w:color w:val="auto"/>
        </w:rPr>
        <w:t>of availability under the Amended Credit Agreement as of March 31, 2024 and December 31, 2023, respectively. Availability is suppressed by $37,903 as of March 31, 2024 and December 31, 2023, as a result of certain limitations of borrowing related to reserves and compliance with the Company’s obligations set forth in the Amended Credit Agreement. Based on the aforementioned variable interest rate components, the weighted average interest rate on the revolver borrowings is 6.90% as of March 31, 2024.</w:t>
      </w:r>
    </w:p>
    <w:p>
      <w:pPr>
        <w:spacing w:after="0" w:line="112" w:lineRule="exact"/>
        <w:rPr>
          <w:sz w:val="20"/>
          <w:szCs w:val="20"/>
          <w:color w:val="auto"/>
        </w:rPr>
      </w:pPr>
    </w:p>
    <w:p>
      <w:pPr>
        <w:ind w:right="1320"/>
        <w:spacing w:after="0" w:line="414" w:lineRule="auto"/>
        <w:rPr>
          <w:sz w:val="20"/>
          <w:szCs w:val="20"/>
          <w:color w:val="auto"/>
        </w:rPr>
      </w:pPr>
      <w:r>
        <w:rPr>
          <w:rFonts w:ascii="Times New Roman" w:cs="Times New Roman" w:eastAsia="Times New Roman" w:hAnsi="Times New Roman"/>
          <w:sz w:val="18"/>
          <w:szCs w:val="18"/>
          <w:color w:val="auto"/>
        </w:rPr>
        <w:t xml:space="preserve">See Note 9, “Subsequent events” for information regarding changes to the Company’s long-term debt that occurred after March 31, 2024. </w:t>
      </w:r>
      <w:r>
        <w:rPr>
          <w:rFonts w:ascii="Times New Roman" w:cs="Times New Roman" w:eastAsia="Times New Roman" w:hAnsi="Times New Roman"/>
          <w:sz w:val="18"/>
          <w:szCs w:val="18"/>
          <w:b w:val="1"/>
          <w:bCs w:val="1"/>
          <w:i w:val="1"/>
          <w:iCs w:val="1"/>
          <w:color w:val="auto"/>
        </w:rPr>
        <w:t>Senior Notes and subsidiary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-329565</wp:posOffset>
            </wp:positionV>
            <wp:extent cx="8470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ind w:right="40"/>
        <w:spacing w:after="0" w:line="266" w:lineRule="auto"/>
        <w:rPr>
          <w:sz w:val="20"/>
          <w:szCs w:val="20"/>
          <w:color w:val="auto"/>
        </w:rPr>
      </w:pPr>
      <w:r>
        <w:rPr>
          <w:rFonts w:ascii="Times New Roman" w:cs="Times New Roman" w:eastAsia="Times New Roman" w:hAnsi="Times New Roman"/>
          <w:sz w:val="18"/>
          <w:szCs w:val="18"/>
          <w:color w:val="auto"/>
        </w:rPr>
        <w:t>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 Senior Notes due 2022.</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spacing w:after="0" w:line="17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4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or foreign currency risk. The Company does not hold or issue derivatives for speculative or trading purposes. The fair values of these financial instruments are summarized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Levels</w:t>
            </w: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07"/>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w:t>
            </w: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hedge contracts</w:t>
            </w: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exchange hedge</w:t>
            </w:r>
          </w:p>
        </w:tc>
        <w:tc>
          <w:tcPr>
            <w:tcW w:w="1240" w:type="dxa"/>
            <w:vAlign w:val="bottom"/>
            <w:vMerge w:val="restart"/>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124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-187960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340"/>
        <w:spacing w:after="0" w:line="282" w:lineRule="auto"/>
        <w:rPr>
          <w:sz w:val="20"/>
          <w:szCs w:val="20"/>
          <w:color w:val="auto"/>
        </w:rPr>
      </w:pPr>
      <w:r>
        <w:rPr>
          <w:rFonts w:ascii="Times New Roman" w:cs="Times New Roman" w:eastAsia="Times New Roman" w:hAnsi="Times New Roman"/>
          <w:sz w:val="18"/>
          <w:szCs w:val="18"/>
          <w:color w:val="auto"/>
        </w:rPr>
        <w:t>fluctuations in diesel fuel prices could have an adverse impact on cash flows associated with its domestic dredging contracts. The Company’s goal is to hedge approximately 80% of the eligible fuel requirements for work in dredging backlog.</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31, 2024, the Company was party to various swap arrangements to hedge the price of a portion of its diesel fuel purchase requirements for work in its backlog to be performed through September 2025. As of March 31, 2024, there were 11.7 million gallons remaining on these contracts representing forecasted domestic fuel purchases through September 2025. Under these swap agreements, the Company will pay fixed prices ranging from $2.35 to $2.90 per gallon.</w:t>
      </w:r>
    </w:p>
    <w:p>
      <w:pPr>
        <w:spacing w:after="0" w:line="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March 31, 2024 and December 31, 2023, the fair value liabilities of the fuel hedge contracts were estimated to be $390 and $2,918, respectively, and are recorded in accrued expenses in the condensed consolidated balance sheets. For fuel hedge contracts considered to be highly effective, the gains reclassified to earnings from changes in fair value of derivatives, net of cash settlements and taxes, for the three months ended March 31, 2024 were $122. The remaining gains and losses included in accumulated other comprehensive loss at March 31, 2024 will be reclassified into earnings over the next eighteen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hedge contracts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US Dollar could have an adverse impact on cash flows associated with its equipment builds.</w:t>
      </w:r>
    </w:p>
    <w:p>
      <w:pPr>
        <w:spacing w:after="0" w:line="9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was party to various foreign exchange forward contract arrangements to hedge the purchase of materials through November 2024. As of March 31, 2024, there were 8.6 million Euro of payments remaining on these hedge contracts. Under these hedge contracts, the Company will pay fixed prices ranging from $1.09 to $1.13 per Euro.</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2024 . the fair value liability of foreign currency exchange hedge contracts was $131 and is recorded in accrued expenses in the condensed consolidated balance sheets. As of December 31, 2023, the fair value asset of foreign currency exchange hedge contracts was $358 and is recorded in prepaid expenses and other current assets in the condensed consolidated balance sheets. For foreign currency exchange hedge contracts considered to be highly effective, the losses reclassified to earnings from changes in fair value of derivatives, net of cash settlements and taxes, for the three months ended March 31, 2024 were $36. The remaining gains and losses included in accumulated other comprehensive loss at March 31, 2024 will be reclassified into earnings over the next eight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30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78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Fuel Hedge Contracts</w:t>
            </w:r>
          </w:p>
        </w:tc>
        <w:tc>
          <w:tcPr>
            <w:tcW w:w="1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(gains) losses to earnings—net of tax</w:t>
            </w:r>
          </w:p>
        </w:tc>
        <w:tc>
          <w:tcPr>
            <w:tcW w:w="17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(1,906 )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fuel hedges—net of tax</w:t>
            </w:r>
          </w:p>
        </w:tc>
        <w:tc>
          <w:tcPr>
            <w:tcW w:w="178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(1,536 )</w:t>
            </w:r>
          </w:p>
        </w:tc>
        <w:tc>
          <w:tcPr>
            <w:tcW w:w="0" w:type="dxa"/>
            <w:vAlign w:val="bottom"/>
          </w:tcPr>
          <w:p>
            <w:pPr>
              <w:spacing w:after="0"/>
              <w:rPr>
                <w:sz w:val="1"/>
                <w:szCs w:val="1"/>
                <w:color w:val="auto"/>
              </w:rPr>
            </w:pPr>
          </w:p>
        </w:tc>
      </w:tr>
      <w:tr>
        <w:trPr>
          <w:trHeight w:val="491"/>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Exchange Hedge Contracts</w:t>
            </w:r>
          </w:p>
        </w:tc>
        <w:tc>
          <w:tcPr>
            <w:tcW w:w="178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gains to earnings—net of tax</w:t>
            </w:r>
          </w:p>
        </w:tc>
        <w:tc>
          <w:tcPr>
            <w:tcW w:w="300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1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(637 )</w:t>
            </w:r>
          </w:p>
        </w:tc>
        <w:tc>
          <w:tcPr>
            <w:tcW w:w="5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17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(601 )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change in cash flow derivative hedges - net of tax</w:t>
            </w:r>
          </w:p>
        </w:tc>
        <w:tc>
          <w:tcPr>
            <w:tcW w:w="1780" w:type="dxa"/>
            <w:vAlign w:val="bottom"/>
          </w:tcPr>
          <w:p>
            <w:pPr>
              <w:spacing w:after="0"/>
              <w:rPr>
                <w:sz w:val="19"/>
                <w:szCs w:val="19"/>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(1,409 )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780" w:type="dxa"/>
            <w:vAlign w:val="bottom"/>
            <w:vMerge w:val="restart"/>
          </w:tcPr>
          <w:p>
            <w:pPr>
              <w:jc w:val="right"/>
              <w:ind w:right="1336"/>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53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-1928495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-1910715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-1104900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-1087755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59"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9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16510</wp:posOffset>
            </wp:positionV>
            <wp:extent cx="17399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43"/>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48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Fuel hedge contracts</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2"/>
                <w:szCs w:val="22"/>
                <w:color w:val="auto"/>
              </w:rPr>
            </w:pPr>
          </w:p>
        </w:tc>
      </w:tr>
      <w:tr>
        <w:trPr>
          <w:trHeight w:val="218"/>
        </w:trPr>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exchange hedge</w:t>
            </w: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contracts</w:t>
            </w:r>
          </w:p>
        </w:tc>
        <w:tc>
          <w:tcPr>
            <w:tcW w:w="4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r>
        <w:trPr>
          <w:trHeight w:val="250"/>
        </w:trPr>
        <w:tc>
          <w:tcPr>
            <w:tcW w:w="338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r>
      <w:tr>
        <w:trPr>
          <w:trHeight w:val="20"/>
        </w:trPr>
        <w:tc>
          <w:tcPr>
            <w:tcW w:w="3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3380" w:type="dxa"/>
            <w:vAlign w:val="bottom"/>
            <w:shd w:val="clear" w:color="auto" w:fill="CFF0FC"/>
          </w:tcPr>
          <w:p>
            <w:pPr>
              <w:spacing w:after="0"/>
              <w:rPr>
                <w:sz w:val="22"/>
                <w:szCs w:val="22"/>
                <w:color w:val="auto"/>
              </w:rPr>
            </w:pPr>
          </w:p>
        </w:tc>
        <w:tc>
          <w:tcPr>
            <w:tcW w:w="48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22"/>
                <w:szCs w:val="22"/>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4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revolving credit agreement approximates fair value. In May 2021, the Company sold $325,000 of the 2029 Notes, which were outstanding at March 31, 2024 (see Note 4, Long-term debt). The fair value of the 2029 Notes was $289,153 at March 31, 2024,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83"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 and/or the applicable committee or committees thereof, as may be required.</w:t>
      </w:r>
    </w:p>
    <w:p>
      <w:pPr>
        <w:spacing w:after="0" w:line="1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676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$756 and $237 for the three months ended March 31, 2024 and 2023, respectively.</w:t>
      </w:r>
    </w:p>
    <w:p>
      <w:pPr>
        <w:spacing w:after="0" w:line="9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$879.4 million of remaining performance obligations, which the Company refers to as total dredging backlog. Total dredging backlog does not include $203.0 million of domestic low bids pending formal award and additional phases (“options”) pending on projects currently in dredging backlog at March 31, 2024. Additionally, it does not include $44.6 million of performance obligations or $12.7 million of options pending award related to offshore wind contracts. Approximately 45% of the Company’s dredging backlog at March 31, 2024 is expected to be completed during the remainder of 2024, with the remaining balance expected to be completed between 2025 and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w:t>
      </w:r>
    </w:p>
    <w:p>
      <w:pPr>
        <w:spacing w:after="0" w:line="1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9"/>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9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51,305</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9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64,411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9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1"/>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4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158,044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are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2"/>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6"/>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government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134,789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142,162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9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9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4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158,044</w:t>
            </w:r>
          </w:p>
        </w:tc>
        <w:tc>
          <w:tcPr>
            <w:tcW w:w="80" w:type="dxa"/>
            <w:vAlign w:val="bottom"/>
            <w:tcBorders>
              <w:top w:val="single" w:sz="8" w:color="CFF0FC"/>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at March 31, 2024 and December 31, 2023 are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72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980" w:type="dxa"/>
            <w:vAlign w:val="bottom"/>
            <w:shd w:val="clear" w:color="auto" w:fill="CFF0FC"/>
          </w:tcPr>
          <w:p>
            <w:pPr>
              <w:spacing w:after="0"/>
              <w:rPr>
                <w:sz w:val="20"/>
                <w:szCs w:val="20"/>
                <w:color w:val="auto"/>
              </w:rPr>
            </w:pP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8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9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40,482</w:t>
            </w: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80" w:type="dxa"/>
            <w:vAlign w:val="bottom"/>
            <w:tcBorders>
              <w:top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8"/>
        </w:trPr>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contracts in progress at March 31, 2024 and December 31, 2023 are as follows: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980" w:type="dxa"/>
            <w:vAlign w:val="bottom"/>
          </w:tcPr>
          <w:p>
            <w:pPr>
              <w:spacing w:after="0"/>
              <w:rPr>
                <w:sz w:val="20"/>
                <w:szCs w:val="20"/>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477,609</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206,330</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6"/>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(476,587 )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(196,520 )</w:t>
            </w:r>
          </w:p>
        </w:tc>
      </w:tr>
      <w:tr>
        <w:trPr>
          <w:trHeight w:val="236"/>
        </w:trPr>
        <w:tc>
          <w:tcPr>
            <w:tcW w:w="1140" w:type="dxa"/>
            <w:vAlign w:val="bottom"/>
          </w:tcPr>
          <w:p>
            <w:pPr>
              <w:spacing w:after="0"/>
              <w:rPr>
                <w:sz w:val="20"/>
                <w:szCs w:val="20"/>
                <w:color w:val="auto"/>
              </w:rPr>
            </w:pPr>
          </w:p>
        </w:tc>
        <w:tc>
          <w:tcPr>
            <w:tcW w:w="48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9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80" w:type="dxa"/>
            <w:vAlign w:val="bottom"/>
            <w:tcBorders>
              <w:top w:val="single" w:sz="8" w:color="CFF0FC"/>
            </w:tcBorders>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980" w:type="dxa"/>
            <w:vAlign w:val="bottom"/>
          </w:tcPr>
          <w:p>
            <w:pPr>
              <w:spacing w:after="0"/>
              <w:rPr>
                <w:sz w:val="20"/>
                <w:szCs w:val="20"/>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840" w:type="dxa"/>
            <w:vAlign w:val="bottom"/>
            <w:gridSpan w:val="2"/>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5"/>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980" w:type="dxa"/>
            <w:vAlign w:val="bottom"/>
          </w:tcPr>
          <w:p>
            <w:pPr>
              <w:spacing w:after="0"/>
              <w:rPr>
                <w:sz w:val="20"/>
                <w:szCs w:val="20"/>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contract revenues in excess of billings</w:t>
            </w: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980" w:type="dxa"/>
            <w:vAlign w:val="bottom"/>
          </w:tcPr>
          <w:p>
            <w:pPr>
              <w:spacing w:after="0"/>
              <w:rPr>
                <w:sz w:val="20"/>
                <w:szCs w:val="20"/>
                <w:color w:val="auto"/>
              </w:rPr>
            </w:pPr>
          </w:p>
        </w:tc>
        <w:tc>
          <w:tcPr>
            <w:tcW w:w="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6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4840" w:type="dxa"/>
            <w:vAlign w:val="bottom"/>
            <w:gridSpan w:val="2"/>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9"/>
        </w:trPr>
        <w:tc>
          <w:tcPr>
            <w:tcW w:w="114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980" w:type="dxa"/>
            <w:vAlign w:val="bottom"/>
            <w:shd w:val="clear" w:color="auto" w:fill="CFF0FC"/>
          </w:tcPr>
          <w:p>
            <w:pPr>
              <w:spacing w:after="0"/>
              <w:rPr>
                <w:sz w:val="21"/>
                <w:szCs w:val="21"/>
                <w:color w:val="auto"/>
              </w:rPr>
            </w:pPr>
          </w:p>
        </w:tc>
        <w:tc>
          <w:tcPr>
            <w:tcW w:w="6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(54,924 )</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(258,948 )</w:t>
            </w:r>
          </w:p>
        </w:tc>
      </w:tr>
      <w:tr>
        <w:trPr>
          <w:trHeight w:val="239"/>
        </w:trPr>
        <w:tc>
          <w:tcPr>
            <w:tcW w:w="1140" w:type="dxa"/>
            <w:vAlign w:val="bottom"/>
          </w:tcPr>
          <w:p>
            <w:pPr>
              <w:spacing w:after="0"/>
              <w:rPr>
                <w:sz w:val="20"/>
                <w:szCs w:val="20"/>
                <w:color w:val="auto"/>
              </w:rPr>
            </w:pPr>
          </w:p>
        </w:tc>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229,388</w:t>
            </w:r>
          </w:p>
        </w:tc>
        <w:tc>
          <w:tcPr>
            <w:tcW w:w="8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980" w:type="dxa"/>
            <w:vAlign w:val="bottom"/>
            <w:shd w:val="clear" w:color="auto" w:fill="CFF0FC"/>
          </w:tcPr>
          <w:p>
            <w:pPr>
              <w:spacing w:after="0"/>
              <w:rPr>
                <w:sz w:val="22"/>
                <w:szCs w:val="22"/>
                <w:color w:val="auto"/>
              </w:rPr>
            </w:pPr>
          </w:p>
        </w:tc>
        <w:tc>
          <w:tcPr>
            <w:tcW w:w="6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(18,066 )</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(29,560 )</w:t>
            </w: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-6583045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-6583045</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-4791075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-4773930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-4954270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-4791075</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-4773930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-4954270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-3702685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-3702685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-3385185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-3385185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-1936750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-1619250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-993775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-993775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costs to fulfill a contract with a customer recognized as an asset were $21,718 and $22,166, respectively, and are recorded in other current assets and other noncurrent assets in the condensed consolidated balance</w:t>
      </w:r>
    </w:p>
    <w:p>
      <w:pPr>
        <w:spacing w:after="0" w:line="2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5" w:right="51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sheets. These costs relate to pre-contract and pre-construction activities. During the three months ended March 31, 2024 and 2023, the Company amortized $4,419 and $3,666, respectively, of pre-construction costs.</w:t>
      </w:r>
    </w:p>
    <w:p>
      <w:pPr>
        <w:spacing w:after="0" w:line="15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6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Performance and bid bonds are customarily required for dredging and marine construction projects. The Company has bonding agreements with Argonaut Insurance Company, ACE Holdings, Liberty Mutual Insurance Company and Philadelphia Indemnity Insurance Company, under which the Company can obtain performance, bid and payment bonds. The Company also has outstanding bonds with Travelers Casualty and Surety Company of America, Berkley Insurance Company and Zurich American Insurance Company. Bid bonds are generally obtained for a percentage of bid value and amounts outstanding typically range from $1,000 to $10,000. At March 31, 2024, the Company had outstanding performance bonds with a notional amount of approximately $907,634. The revenue value remaining in dredging backlog related to the outstanding performance bonds totaled approximately $381,216.</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and financing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8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the date of issuance of these financial statements and has determined that there are no subsequent events outside the ordinary scope of business that require adjustment to, or disclosure in, the consolidated financial statements other than those disclosed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Credit Agreement</w:t>
      </w:r>
    </w:p>
    <w:p>
      <w:pPr>
        <w:spacing w:after="0" w:line="11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On April 24, 2024,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The Company borrowed $100.0 under the Second Lien Credit Agreement on the closing date and has the option to borrow an additional $50.0 million for a period of 12 months following the closing date of the initial loan. The net proceeds from the Second Lien Credit Agreement were used to repay amounts outstanding under the Amended Credit Agreement, to pay fees and expenses associated with the Second Lien Credit Agreement and ABL Amendment described below and for general corporate purposes,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5" w:name="page16"/>
    <w:bookmarkEnd w:id="15"/>
    <w:p>
      <w:pPr>
        <w:ind w:right="140"/>
        <w:spacing w:after="0" w:line="282" w:lineRule="auto"/>
        <w:rPr>
          <w:sz w:val="20"/>
          <w:szCs w:val="20"/>
          <w:color w:val="auto"/>
        </w:rPr>
      </w:pPr>
      <w:r>
        <w:rPr>
          <w:rFonts w:ascii="Times New Roman" w:cs="Times New Roman" w:eastAsia="Times New Roman" w:hAnsi="Times New Roman"/>
          <w:sz w:val="18"/>
          <w:szCs w:val="18"/>
          <w:color w:val="auto"/>
        </w:rPr>
        <w:t>including to fund upcoming new build payments. The Second Lien Credit Agreement matures on the earlier of April 24, 2029 and the date that is ninety-one (91) days prior to the scheduled maturity date of the Company’s 5.25% Senior Notes due 2029.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Amendment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24, 2024, the Credit Parties, PNC Bank, National Association, as agent for the lenders, and certain financial institutions party thereto entered into an amendment to the ABL Credit Agreement (the “ABL Amendment”). The ABL Amendment (w) eliminates the Company’s ability to increase the commitments under the senior secured revolving credit facility (x) modifies the pricing of loans and undrawn commitments,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w:t>
      </w:r>
    </w:p>
    <w:p>
      <w:pPr>
        <w:spacing w:after="0" w:line="3" w:lineRule="exact"/>
        <w:rPr>
          <w:sz w:val="20"/>
          <w:szCs w:val="20"/>
          <w:color w:val="auto"/>
        </w:rPr>
      </w:pPr>
    </w:p>
    <w:p>
      <w:pPr>
        <w:ind w:right="6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at any time the fixed charge coverage ratio for the most recently ended four fiscal quarters is greater than or equal to 1.10 to 1.00 and (z) makes certain other customary changes in connection with the Credit Parties’ entry into the Second Lien Credit Agreement.</w:t>
      </w:r>
    </w:p>
    <w:p>
      <w:pPr>
        <w:spacing w:after="0" w:line="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further discussion of the Second Lien Credit Agreement and ABL Amendment see the Company’s current report on Form 8-K filed with the SEC on April 25, 2024.</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2023 and in other securities filings by Great Lakes with the SEC.</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four primary types of work: capital, coastal protection, maintenance and rivers &amp; lakes.</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33% over the three-year period ended December 31, 2023, including 36%, 56%, 23% and 22% of the domestic capital, coastal protection, maintenance and rivers &amp; lakes sectors, respectively, exclusive of liquefied natural gas (“LNG”) projects.</w:t>
      </w:r>
    </w:p>
    <w:p>
      <w:pPr>
        <w:spacing w:after="0" w:line="1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largest domestic customer is the U.S. Army Corps of Engineers (the “Corps”), which has responsibility for federally funded projects related to navigation and flood control of U.S. waterways. In the first three months of 2024, the Company’s dredging revenues earned from contracts with federal government agencies, including the Corps as well as other federal entities such as the U.S. Coast Guard and the U.S. Navy, were approximately 68% of dredging revenues, below the average of the three-year period ended December 31, 2023 of 74%. The decrease in the federal government revenue percentage is a result of additional revenues from state and local governments and private customers in the first quarter of 2024.</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During the first quarter of 2024, the Company commenced a regulatory dry dock inspection on one dredge, in preparation for one of the Company’s LNG projects in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80"/>
        <w:spacing w:after="0" w:line="282" w:lineRule="auto"/>
        <w:rPr>
          <w:sz w:val="20"/>
          <w:szCs w:val="20"/>
          <w:color w:val="auto"/>
        </w:rPr>
      </w:pPr>
      <w:r>
        <w:rPr>
          <w:rFonts w:ascii="Times New Roman" w:cs="Times New Roman" w:eastAsia="Times New Roman" w:hAnsi="Times New Roman"/>
          <w:sz w:val="18"/>
          <w:szCs w:val="18"/>
          <w:color w:val="auto"/>
        </w:rPr>
        <w:t>backlog. By comparison, the Company experienced a regulatory dry dock inspection on one dredge in the first quarter of 2023. The Company has planned for two dredges to commence regulatory dry dock inspections in the second quarter of 2024.</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the end of the first quarter of 2024, the Company had two major dredges cold stacked. The cold stacked equipment can be easily reactivated when market conditions are favorable for the Company. During the second quarter of 2024, the Company has begun the reactivation of one of the previously cold stacked vessels in anticipation of commencing a contract later in 2024.</w:t>
      </w:r>
    </w:p>
    <w:p>
      <w:pPr>
        <w:spacing w:after="0" w:line="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which is expected to be delivered and operational in 2025. This vessel represents a significant critical advancement in building the U.S. logistics infrastructure to support the future of the new U.S. offshore wind industry. Additionally, in July 2023, the Company announced the signing of the first ever subcontract for procurement of rock with Carver Sand &amp; Gravel LLC, a U.S. quarry in the state of New York. Both milestones solidify our entry into the offshore wind market and are expected to support Great Lakes’ awarded rock installation contract for Empire Wind I which has an estimated installation window in 2025. In December 2023, Great Lakes was awarded another rock installation contract to perform subsea rock cable protection, a new utilization for this vessel, on an offshore wind project off the East Coast of the United States with contracted work expected to begin in 2026. Offshore wind has been recognized around the world as a reliable source of renewable energy. The Company continues to pursue and tender bids, both domestically and internationally, on multiple offshore wind projects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offshore wind market reached historic milestones in the first quarter of 2024, with two commercial-scale offshore wind farms becoming operational and supplying power to the grid in New York and Massachusetts. In March 2024, the South Fork Wind project was completed, with all 12 offshore wind turbines constructed and the wind farm successfully delivering power to Long Island and the Rockaways. In February 2024, the Vineyard Wind project, located about 14 miles off Martha’s Vineyard, completed installation of five turbines and is supplying power to the New England grid, while continuing to install additional turbines. In October 2023, New York awarded 4 gigawatts (“GW”) of offshore wind power offtake agreements. In an accelerated fourth bidding round, in February 2024, additional 3 GW of power were awarded by New York. Empire Wind I and Sunrise Wind were both awarded new power offtake agreements as part of the latest New York solicitation round. Notably, the Company has been awarded rock installation contracts for both projects, and expects to be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to protect and stabilize foundations and cables for these projects with combined capacity of 1.7 GW. New Jersey also awarded 3.7 GW of power purchase agreements in January 2024, and the results of the tri-state (Massachusetts, Rhode Island, and Connecticut) solicitation for 6 GW of offshore wind are expected in the third quarter of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(loss) and Adjusted EBITDA, as defined below, as a percentage of contract revenues for the three months ended March 31, 2024 and 2023:</w:t>
      </w:r>
    </w:p>
    <w:p>
      <w:pPr>
        <w:spacing w:after="0" w:line="88"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r>
      <w:tr>
        <w:trPr>
          <w:trHeight w:val="187"/>
        </w:trPr>
        <w:tc>
          <w:tcPr>
            <w:tcW w:w="5180" w:type="dxa"/>
            <w:vAlign w:val="bottom"/>
          </w:tcPr>
          <w:p>
            <w:pPr>
              <w:spacing w:after="0"/>
              <w:rPr>
                <w:sz w:val="16"/>
                <w:szCs w:val="16"/>
                <w:color w:val="auto"/>
              </w:rPr>
            </w:pPr>
          </w:p>
        </w:tc>
        <w:tc>
          <w:tcPr>
            <w:tcW w:w="1620" w:type="dxa"/>
            <w:vAlign w:val="bottom"/>
            <w:tcBorders>
              <w:bottom w:val="single" w:sz="8" w:color="auto"/>
            </w:tcBorders>
            <w:gridSpan w:val="4"/>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4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(77.1 )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(92.3 )</w:t>
            </w:r>
          </w:p>
        </w:tc>
        <w:tc>
          <w:tcPr>
            <w:tcW w:w="180" w:type="dxa"/>
            <w:vAlign w:val="bottom"/>
            <w:shd w:val="clear" w:color="auto" w:fill="CFF0FC"/>
          </w:tcPr>
          <w:p>
            <w:pPr>
              <w:spacing w:after="0"/>
              <w:rPr>
                <w:sz w:val="21"/>
                <w:szCs w:val="21"/>
                <w:color w:val="auto"/>
              </w:rPr>
            </w:pPr>
          </w:p>
        </w:tc>
      </w:tr>
      <w:tr>
        <w:trPr>
          <w:trHeight w:val="236"/>
        </w:trPr>
        <w:tc>
          <w:tcPr>
            <w:tcW w:w="51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r>
      <w:tr>
        <w:trPr>
          <w:trHeight w:val="247"/>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gains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1"/>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180" w:type="dxa"/>
            <w:vAlign w:val="bottom"/>
            <w:shd w:val="clear" w:color="auto" w:fill="CFF0FC"/>
          </w:tcPr>
          <w:p>
            <w:pPr>
              <w:spacing w:after="0"/>
              <w:rPr>
                <w:sz w:val="20"/>
                <w:szCs w:val="20"/>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20"/>
                <w:szCs w:val="20"/>
                <w:color w:val="auto"/>
              </w:rPr>
            </w:pPr>
          </w:p>
        </w:tc>
      </w:tr>
      <w:tr>
        <w:trPr>
          <w:trHeight w:val="24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20"/>
                <w:szCs w:val="20"/>
                <w:color w:val="auto"/>
              </w:rPr>
            </w:pPr>
          </w:p>
        </w:tc>
      </w:tr>
      <w:tr>
        <w:trPr>
          <w:trHeight w:val="24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5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-1790700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-847725</wp:posOffset>
            </wp:positionV>
            <wp:extent cx="514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-530860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-530860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8" w:name="page19"/>
    <w:bookmarkEnd w:id="18"/>
    <w:p>
      <w:pPr>
        <w:ind w:right="20"/>
        <w:spacing w:after="0" w:line="269" w:lineRule="auto"/>
        <w:rPr>
          <w:sz w:val="20"/>
          <w:szCs w:val="20"/>
          <w:color w:val="auto"/>
        </w:rPr>
      </w:pPr>
      <w:r>
        <w:rPr>
          <w:rFonts w:ascii="Times New Roman" w:cs="Times New Roman" w:eastAsia="Times New Roman" w:hAnsi="Times New Roman"/>
          <w:sz w:val="17"/>
          <w:szCs w:val="17"/>
          <w:color w:val="auto"/>
        </w:rPr>
        <w:t>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(loss) to measure the Company’s operating performance and uses Adjusted EBITDA only as a supplement.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Adjusted EBITDA to net income (loss):</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57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7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(3,231 )</w:t>
            </w: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expense—net</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80" w:type="dxa"/>
            <w:vAlign w:val="bottom"/>
            <w:shd w:val="clear" w:color="auto" w:fill="CFF0FC"/>
          </w:tcPr>
          <w:p>
            <w:pPr>
              <w:spacing w:after="0"/>
              <w:rPr>
                <w:sz w:val="21"/>
                <w:szCs w:val="21"/>
                <w:color w:val="auto"/>
              </w:rPr>
            </w:pPr>
          </w:p>
        </w:tc>
      </w:tr>
      <w:tr>
        <w:trPr>
          <w:trHeight w:val="23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(791 )</w:t>
            </w:r>
          </w:p>
        </w:tc>
      </w:tr>
      <w:tr>
        <w:trPr>
          <w:trHeight w:val="243"/>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42,924</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-187960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7"/>
        </w:trPr>
        <w:tc>
          <w:tcPr>
            <w:tcW w:w="28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4"/>
                <w:szCs w:val="14"/>
                <w:color w:val="auto"/>
              </w:rPr>
            </w:pPr>
          </w:p>
        </w:tc>
      </w:tr>
      <w:tr>
        <w:trPr>
          <w:trHeight w:val="237"/>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9"/>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2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115.2 %</w:t>
            </w:r>
          </w:p>
        </w:tc>
      </w:tr>
      <w:tr>
        <w:trPr>
          <w:trHeight w:val="247"/>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51,305</w:t>
            </w:r>
          </w:p>
        </w:tc>
        <w:tc>
          <w:tcPr>
            <w:tcW w:w="2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24.6 %</w:t>
            </w:r>
          </w:p>
        </w:tc>
      </w:tr>
      <w:tr>
        <w:trPr>
          <w:trHeight w:val="239"/>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71,928</w:t>
            </w:r>
          </w:p>
        </w:tc>
        <w:tc>
          <w:tcPr>
            <w:tcW w:w="2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(10.5 )%</w:t>
            </w:r>
          </w:p>
        </w:tc>
      </w:tr>
      <w:tr>
        <w:trPr>
          <w:trHeight w:val="243"/>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20" w:type="dxa"/>
            <w:vAlign w:val="bottom"/>
            <w:shd w:val="clear" w:color="auto" w:fill="CFF0FC"/>
          </w:tcPr>
          <w:p>
            <w:pPr>
              <w:spacing w:after="0"/>
              <w:rPr>
                <w:sz w:val="21"/>
                <w:szCs w:val="21"/>
                <w:color w:val="auto"/>
              </w:rPr>
            </w:pP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(81.9 )%</w:t>
            </w:r>
          </w:p>
        </w:tc>
      </w:tr>
      <w:tr>
        <w:trPr>
          <w:trHeight w:val="20"/>
        </w:trPr>
        <w:tc>
          <w:tcPr>
            <w:tcW w:w="28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158,044</w:t>
            </w:r>
          </w:p>
        </w:tc>
        <w:tc>
          <w:tcPr>
            <w:tcW w:w="220" w:type="dxa"/>
            <w:vAlign w:val="bottom"/>
          </w:tcPr>
          <w:p>
            <w:pPr>
              <w:spacing w:after="0"/>
              <w:rPr>
                <w:sz w:val="20"/>
                <w:szCs w:val="20"/>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25.7 %</w:t>
            </w:r>
          </w:p>
        </w:tc>
      </w:tr>
      <w:tr>
        <w:trPr>
          <w:trHeight w:val="20"/>
        </w:trPr>
        <w:tc>
          <w:tcPr>
            <w:tcW w:w="2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-187960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-187960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-187960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Total revenue was $198.7 million for the three months ended March 31, 2024, up $40.7 million, or 26%, from $158.0 million for the same period in the prior year. For the three months ended March 31, 2024, the Company experienced a significant increase in domestic capital and coastal protection revenues as compared to the same period in the prior year. This increase was partially offset by a decrease in maintenance and rivers &amp; lakes revenues during the first quarter of 2024 as compared to the same period in the prior year.</w:t>
      </w:r>
    </w:p>
    <w:p>
      <w:pPr>
        <w:spacing w:after="0" w:line="11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March 31, 2024, domestic capital dredging revenue was $69.9 million, up $37.4 million, or 115%, compared to $32.5 million for the same period in 2023. The increase in capital dredging revenues for the three months ended March 31, 2024 was mostly due to a higher amount of revenue earned on projects in Texas and Virginia in the first quarter of 2024 when compared to the same period in the prior year.</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Coastal protection projects involve moving sand from the ocean floor to shoreline locations where erosion threatens shoreline assets. Coastal protection revenue for the quarter ended March 31, 2024 was $63.9 million, an increase of $12.6 million, or 25%, compared to $51.3 million in the prior year period. The increase in coastal protection revenues for the three months ended March 31, 2024 was attributable to an increase in the amount of revenue earned on projects in Alabama and New York in the current year when compared</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to the prior year period. This increase was partially offset by lower revenue earned on projects in Florida and New Jersey in the current quarter.</w:t>
      </w:r>
    </w:p>
    <w:p>
      <w:pPr>
        <w:spacing w:after="0" w:line="15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quarter of 2024 was $64.4 million, down $7.5 million, or 10%, from $71.9 million in the same period of 2023. The decrease in maintenance revenues for the three months ended March 31, 2024 was mostly attributable to a decrease in revenue earned on projects in North Carolina, South Carolina and New York when compared with prior year quarter. This decrease was slightly offset by an increase in revenue earned on projects in Louisiana and Puerto Rico in the current year quarter.</w:t>
      </w:r>
    </w:p>
    <w:p>
      <w:pPr>
        <w:spacing w:after="0" w:line="9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three months ended March 31, 2024, rivers &amp; lakes revenue was $0.4 million, a decrease of $1.9 million, or 83%, from $2.3 million during the same period of 2023. The decrease in river &amp; lakes revenue for the three months ended March 31, 2024 was mostly attributable to a decrease in revenue earned on a project in Arkansas as compared to same period of 2023.</w:t>
      </w:r>
    </w:p>
    <w:p>
      <w:pPr>
        <w:spacing w:after="0" w:line="112"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Consolidated gross profit for the three months ended March 31, 2024 was $45.6 million, up $33.5 million, or 277%, compared to $12.1 million in same period of 2023. Gross profit margin for the three months ended March 31, 2024 increased to 22.9% from 7.7% in the same period in the prior year. The higher gross profit experienced for the three months ended March 31, 2024 was driven by improved utilization and project performance as well as fewer drydockings in the current year quarter.</w:t>
      </w:r>
    </w:p>
    <w:p>
      <w:pPr>
        <w:spacing w:after="0" w:line="11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general and administrative expenses were $16.1 million, an increase of $3.1 million compared to the same period in the prior year, which totaled $13.0 million. For the three months ended March 31, 2024, general and administrative expenses include higher stock compensation and employee benefit expenses, partially offset by lower severance and office expenses.</w:t>
      </w:r>
    </w:p>
    <w:p>
      <w:pPr>
        <w:spacing w:after="0" w:line="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income for the first quarter of 2024 was $31.5 million, up $32.4 million from operating loss of $0.9 million in the same period of the prior year. The increase in operating income for the three months ended March 31, 2024 was a result of higher gross profit, as well as gain on sale of assets in the current quarter when compared to the same period in the prior year, partially offset by higher general and administrative expenses in the current quarter when compared to the same period in the prior year.</w:t>
      </w:r>
    </w:p>
    <w:p>
      <w:pPr>
        <w:spacing w:after="0" w:line="1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net interest expense was $3.9 million, $0.5 million higher compared to $3.4 million for the same period in the prior year. The increase in net interest expense for the three months ended March 31, 2024 was primarily due to higher borrowings on our revolving credit facility.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tax provision for the three months ended March 31, 2024 was $7.0 million compared to an income tax benefit of $0.8 million for the same period in the prior year. The effective tax rate for the three months ended March 31, 2024 was 24.9%, as compared to the effective tax rate of 19.7% for the same period of 2023.</w:t>
      </w:r>
    </w:p>
    <w:p>
      <w:pPr>
        <w:spacing w:after="0" w:line="9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March 31, 2024 was $21.0 million, an increase of $24.2 million, or 756%, from a net loss of $3.2 million for the same period in the prior year. Diluted earnings per share were $0.31 for the three months ended March 31, 2024, compared to a diluted loss per share of $0.05 for the three months ended March 31, 2023. The increase in net income for the three months ended March 31, 2024 was primarily driven by the substantial improvement to gross profit and the gain on sale of assets. This increase was slightly offset by an increases in general and administrative expenses and the income tax provision.</w:t>
      </w:r>
    </w:p>
    <w:p>
      <w:pPr>
        <w:spacing w:after="0" w:line="1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Adjusted EBITDA (as defined on page 18) for the three months ended March 31, 2024 was $42.9 million, up $32.7 million, from $10.2 million in the same quarter in the prior year. The increase in Adjusted EBITDA during the first quarter of 2024 was driven by the increase in gross profit, excluding depreciation partially offset by an increase in general and administrative expense.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1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Dredging:</w:t>
            </w:r>
          </w:p>
        </w:tc>
        <w:tc>
          <w:tcPr>
            <w:tcW w:w="1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 U.S.</w:t>
            </w:r>
          </w:p>
        </w:tc>
        <w:tc>
          <w:tcPr>
            <w:tcW w:w="154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680,110</w:t>
            </w:r>
          </w:p>
        </w:tc>
        <w:tc>
          <w:tcPr>
            <w:tcW w:w="7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741,839</w:t>
            </w:r>
          </w:p>
        </w:tc>
        <w:tc>
          <w:tcPr>
            <w:tcW w:w="8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118,895</w:t>
            </w:r>
          </w:p>
        </w:tc>
        <w:tc>
          <w:tcPr>
            <w:tcW w:w="100" w:type="dxa"/>
            <w:vAlign w:val="bottom"/>
            <w:shd w:val="clear" w:color="auto" w:fill="CFF0FC"/>
          </w:tcPr>
          <w:p>
            <w:pPr>
              <w:spacing w:after="0"/>
              <w:rPr>
                <w:sz w:val="21"/>
                <w:szCs w:val="21"/>
                <w:color w:val="auto"/>
              </w:rPr>
            </w:pPr>
          </w:p>
        </w:tc>
      </w:tr>
      <w:tr>
        <w:trPr>
          <w:trHeight w:val="239"/>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Coastal protection</w:t>
            </w:r>
          </w:p>
        </w:tc>
        <w:tc>
          <w:tcPr>
            <w:tcW w:w="1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138,394</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100" w:type="dxa"/>
            <w:vAlign w:val="bottom"/>
          </w:tcPr>
          <w:p>
            <w:pPr>
              <w:spacing w:after="0"/>
              <w:rPr>
                <w:sz w:val="20"/>
                <w:szCs w:val="20"/>
                <w:color w:val="auto"/>
              </w:rPr>
            </w:pPr>
          </w:p>
        </w:tc>
      </w:tr>
      <w:tr>
        <w:trPr>
          <w:trHeight w:val="247"/>
        </w:trPr>
        <w:tc>
          <w:tcPr>
            <w:tcW w:w="3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15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108,231</w:t>
            </w:r>
          </w:p>
        </w:tc>
        <w:tc>
          <w:tcPr>
            <w:tcW w:w="3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152,104</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143,131</w:t>
            </w:r>
          </w:p>
        </w:tc>
        <w:tc>
          <w:tcPr>
            <w:tcW w:w="100" w:type="dxa"/>
            <w:vAlign w:val="bottom"/>
            <w:shd w:val="clear" w:color="auto" w:fill="CFF0FC"/>
          </w:tcPr>
          <w:p>
            <w:pPr>
              <w:spacing w:after="0"/>
              <w:rPr>
                <w:sz w:val="21"/>
                <w:szCs w:val="21"/>
                <w:color w:val="auto"/>
              </w:rPr>
            </w:pPr>
          </w:p>
        </w:tc>
      </w:tr>
      <w:tr>
        <w:trPr>
          <w:trHeight w:val="239"/>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Rivers &amp; lakes</w:t>
            </w:r>
          </w:p>
        </w:tc>
        <w:tc>
          <w:tcPr>
            <w:tcW w:w="1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Pr>
          <w:p>
            <w:pPr>
              <w:spacing w:after="0"/>
              <w:rPr>
                <w:sz w:val="20"/>
                <w:szCs w:val="20"/>
                <w:color w:val="auto"/>
              </w:rPr>
            </w:pPr>
          </w:p>
        </w:tc>
      </w:tr>
      <w:tr>
        <w:trPr>
          <w:trHeight w:val="276"/>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540" w:type="dxa"/>
            <w:vAlign w:val="bottom"/>
            <w:tcBorders>
              <w:bottom w:val="single" w:sz="8" w:color="auto"/>
            </w:tcBorders>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879,425</w:t>
            </w:r>
          </w:p>
        </w:tc>
        <w:tc>
          <w:tcPr>
            <w:tcW w:w="3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1,039,102</w:t>
            </w:r>
          </w:p>
        </w:tc>
        <w:tc>
          <w:tcPr>
            <w:tcW w:w="3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Total dredging backlog does not include $203.0 million of domestic low bids pending formal award and additional phases (“options”) pending on projects currently in dredging backlog at March 31, 2024. Additionally, it does not include $44.6 million of performance obligations or $12.7 million of options pending award related to offshore wind contracts. The Company expects to perform on its offshore wind contracts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which is expected to be delivered and operational in 2025.</w:t>
      </w:r>
    </w:p>
    <w:p>
      <w:pPr>
        <w:spacing w:after="0" w:line="11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Additionally, 29% of our March 31, 2024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March 2024, President Biden signed the Energy and Water Appropriations Bill into law which provides a record $8.7 billion in total funding to the U.S. Army Corps of Engineers (the “Corps”) for fiscal year 2024. This funding includes $5.6 billion for the Corps’ Operations and Maintenance work, $2.8 billion for the Harbor Maintenance Trust Fund to maintain and modernize our nation’s waterways, $2.2 billion for flood and storm damage reduction, and $18 million for Beneficial Use of Dredged Material. In addition, the Disaster Relief Supplemental Appropriations Act for fiscal year 2023 was previously approved which included $1.48 billion for the Corps to make necessary repairs to infrastructure impacted by hurricanes and other natural disasters, and to initiate beach renourishment projects that will increase coastal resiliency. We expect this increased budget and additional funding will continue to support a strong bid market for 2024. Although first quarter bids were lower than anticipated, we expect bidding to increase and budgeted appropriations to support the funding of several capital port improvement projects that are still expected to bid in the first half of 2024, including Sabine and Mobile.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2022, the Water Resources Development Act of 2022, or WRDA 2022, was approved by Congress and signed into law by the President.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WRDA 2022 is on a two-year renewal cycle and includes legislation that authorizes the financing of Corps’ projects for flood and hurricane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dredging, ecosystem restoration and other construction projects. Among many other things, WRDA 2022 featured authorization for New York and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Jersey shipping channels to be deepened to 55 feet, estimated at $6 billion, as well as the Coastal Texas Protection and Restoration Program, estimated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$34.4 billion. The Coastal Texas Protection and Restoration Program includes dune and marsh restoration to safeguard the Texas Gulf Coast from hurricane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surges. In addition, this legislation includes policy changes that will allow future port, waterways and coastal projects to be more readily approved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domestic dredging bid market for the quarter ended March 31, 2024 was $311.8 million, a $11.2 million decrease compared to the same period in the prior year. Total domestic dredging bid market for the current year period included awards for two domestic capital projects, two coastal protection projects, four maintenance projects, and one river maintenance projects. The total domestic dredging bid market through March 31, 2024 was $311.8 million, of which the Company won 3.0%, which is below the Company’s average of 33% for the three-year period ended December 31, 2023. Variability in contract wins from quarter to quarter is not unusual and one quarter’s win rate is generally not indicative of the win rate the Company is likely to achieve for a full year.</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contracted dredging backlog was $879.4 million at March 31, 2024 compared to $1,039.1 million of dredging backlog at December 31, 2023. Total dredging backlog does not include $203.0 million of domestic low bids pending formal award and options pending on projects currently in dredging backlog at March 31, 2024. Additionally, it does not include $44.6 million of performance obligations or $12.7 million of options pending award related to offshore wind contracts. At December 31, 2023, the amount of domestic low bids and options pending award was $224.0 million. Included in the March 31, 2024 backlog are two LNG</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projects, including the Rio Grande LNG project, which is the largest project undertaken in the Company's history, and the Port Arthur LNG Phase 1 project for Marine Dredging and Disposal. Subcontractor work has begun on both of these LNG projects and dredging work is anticipated to start in the middle of 2024.</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Domestic capital dredging backlog at March 31, 2024 was $680.1 million, a decrease of $61.7 million from December 31, 2023. During the three months ended March 31, 2024 no additions were made to our capital dredging backlog. During the three months ended March 31, 2024, the Company continued to earn revenue on deepening projects in Virginia and Texas. Government funded projects coming into the pipeline include Sabine, Mobile and Houston. These deepenings continue the trend of ensuring all East Coast and Gulf of Mexico ports will be able to accommodate the deeper draft vessels currently used on several trade routes. In addition, multiple 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07"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Coastal protection dredging backlog at March 31, 2024 was $84.7 million, a decrease of $53.7 million from December 31, 2023. During the three months ended March 31, 2024 no additions were made to our coastal protection backlog. During the three months ended March 31, 2024, the Company continued to earn revenue on coastal protection projects in New York, New Jersey, Alabama and Florida, which were in dredging backlog at December 31, 2023.</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Maintenance dredging backlog at March 31, 2024 was $108.2 million, a decrease of $43.9 million from December 31, 2023. In the three months ended March 31, 2024, the Company was awarded one maintenance project for a total of $9.3 million in Florida. During the three months ended March 31, 2024, the Company continued to earn revenue on projects in Louisiana, Texas, Mississippi, Puerto Rico, Florida and New York that were in dredging backlog at December 31, 2023.</w:t>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Rivers &amp; lakes backlog at March 31, 2024 was $6.3 million, a decrease of $0.4 million compared to rivers &amp; lakes backlog at December 31, 2023. For the three months ended March 31, 2024, the Company continued to earn revenue on a project Arkansas which were in dredging backlog at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Company’s cash provided by operating activities for the three months ended March 31, 2024 and 2023 was $38.4 million and $9.3 million, respectively. Normal increases or decreases in the level of working capital relative to the level of operational activity impact cash flow from operating activities. The increase in cash provided by operating activities during the three months ended March 31, 2024, relates primarily to significantly higher current period earnings, deferred income taxes and contract revenue in excess of billing in the current year offset by the increases in billing in excess of contract revenue and changes in working capital compared to the same period in the prior year.</w:t>
      </w:r>
    </w:p>
    <w:p>
      <w:pPr>
        <w:spacing w:after="0" w:line="1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cash flows used in investing activities for the three months ended March 31, 2024 and 2023 were $8.3 million and $33.6 million, respectively. Investing activities primarily relate to investments in our new build program, normal course upgrades and capital maintenance of the Company’s dredging fleet. During the three months ended March 31, 2024, the Company invested $3.4 million in the </w:t>
      </w: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xml:space="preserve">, $0.7 million in the </w:t>
      </w:r>
      <w:r>
        <w:rPr>
          <w:rFonts w:ascii="Times New Roman" w:cs="Times New Roman" w:eastAsia="Times New Roman" w:hAnsi="Times New Roman"/>
          <w:sz w:val="18"/>
          <w:szCs w:val="18"/>
          <w:i w:val="1"/>
          <w:iCs w:val="1"/>
          <w:color w:val="auto"/>
        </w:rPr>
        <w:t xml:space="preserve">Amelia Island </w:t>
      </w:r>
      <w:r>
        <w:rPr>
          <w:rFonts w:ascii="Times New Roman" w:cs="Times New Roman" w:eastAsia="Times New Roman" w:hAnsi="Times New Roman"/>
          <w:sz w:val="18"/>
          <w:szCs w:val="18"/>
          <w:color w:val="auto"/>
        </w:rPr>
        <w:t>and $7.0 million in the</w:t>
      </w:r>
      <w:r>
        <w:rPr>
          <w:rFonts w:ascii="Times New Roman" w:cs="Times New Roman" w:eastAsia="Times New Roman" w:hAnsi="Times New Roman"/>
          <w:sz w:val="18"/>
          <w:szCs w:val="18"/>
          <w:i w:val="1"/>
          <w:iCs w:val="1"/>
          <w:color w:val="auto"/>
        </w:rPr>
        <w:t xml:space="preserve"> Acadia</w:t>
      </w:r>
      <w:r>
        <w:rPr>
          <w:rFonts w:ascii="Times New Roman" w:cs="Times New Roman" w:eastAsia="Times New Roman" w:hAnsi="Times New Roman"/>
          <w:sz w:val="18"/>
          <w:szCs w:val="18"/>
          <w:color w:val="auto"/>
        </w:rPr>
        <w:t>, as well as maintenance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investments were partially offset by the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equipment for approximately $3.6 million during the quarter.</w:t>
      </w:r>
    </w:p>
    <w:p>
      <w:pPr>
        <w:spacing w:after="0" w:line="1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cash flows (used in) provided by financing activities for the three months ended March 31, 2024 and 2023 totaled a use of $30.2 million and proceeds of $50.2 million, respectively. The increase in net cash flows (used in) financing activities is primarily due to net repayments on the Company’s revolving debt facility during the three months ended March 31, 2024 of $30.0 million, compared to net borrowings of $50.0 million on the Company’s revolving debt facility during the three months ended March 31, 2023. On April 24, 2024,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The Company borrowed $100.0 under the Second Lien Credit Agreement on the closing date and has the option to borrow an additional $50.0 million for a period of 12 months following the closing date of the initial loan. The net proceeds from the Second</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right="520"/>
        <w:spacing w:after="0" w:line="282" w:lineRule="auto"/>
        <w:rPr>
          <w:sz w:val="20"/>
          <w:szCs w:val="20"/>
          <w:color w:val="auto"/>
        </w:rPr>
      </w:pPr>
      <w:r>
        <w:rPr>
          <w:rFonts w:ascii="Times New Roman" w:cs="Times New Roman" w:eastAsia="Times New Roman" w:hAnsi="Times New Roman"/>
          <w:sz w:val="18"/>
          <w:szCs w:val="18"/>
          <w:color w:val="auto"/>
        </w:rPr>
        <w:t>Lien Credit Agreement were used to repay amounts outstanding under the Amended Credit Agreement, to pay fees and expenses associated with the Second Lien Credit Agreement and ABL Amendment and for general corporate purposes, including to fund upcoming new build payments.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to spend between approximately $170 million and $195 million on capital expenditures in 2024 which is comprised of vessels in our new build program and maintenance capital expenditures. The Company anticipates that remaining new build program payments will be made with cash on hand, future cash flows generated from operations, revolver availability, proceeds from the Second Lien Credit Agreement and potential new sources of financing.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Refer to Note 4, Long-term debt, in the Notes to Condensed Consolidated Financial Statements for discussion of the Company’s Amended Credit Agreement and 2029 Notes. Additionally, refer to Note 8, Commitments and contingencies, in the Notes to Condensed Consolidated Financial Statements for discussion of the Company’s surety agreements.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and S&amp;P Global Ratings changed our outlook from negative to stable and reaffirmed our corporate credit rating at CCC+.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and the option to borrow additional funds under the Second Lien Credit Agreement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62"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Consolidated Financial Statements included in the Company’s Annual Report on Form 10-K for the year ended December 31, 2023.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Except as noted in Note 1, Basis of presentation, of the Company’s financial statements, there have been no material changes in the Company’s critical accounting policies or estimates since December 31, 2023.</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March 31, 2024 has not materially changed since December 31, 2023. The market risk profile of the Company on December 31, 2023 is disclosed in Item 7A. “Quantitative and Qualitative Disclosures about Market Risk” of the Company’s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6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2024.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March 31, 2024 in providing such a reasonable assurance.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March 31, 2024 that have materially affected, or are reasonably likely to materially affect, our internal control over financial reporting.</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three months ended March 31, 2024 to the risk factors previously disclosed in Item 1A. “Risk Factors” in the Company’s Annual Report on Form 10-K for the year ended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Executive Officers and Directors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spacing w:after="0" w:line="18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During the quarterly period ended March 31, 2024, none of our officers (as defined in Rule 16a-1(f) under the Exchange Act) or directors adopted or terminated a Rule 10b5-1 trading plan or adopted or terminated a non-Rule 10b5-1 trading arrangement (as defined in Item 408(c) of Regulation S-K).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60" w:type="dxa"/>
            <w:vAlign w:val="bottom"/>
            <w:tcBorders>
              <w:bottom w:val="single" w:sz="8" w:color="auto"/>
            </w:tcBorders>
            <w:gridSpan w:val="7"/>
          </w:tcPr>
          <w:p>
            <w:pPr>
              <w:ind w:left="20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230"/>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5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Second Lien Credit Agreement, dated April 24, 2024 (Incorporated by reference to Great Lakes Dredge &amp; Dock Corporation’s Current Report</w:t>
              </w:r>
            </w:hyperlink>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on Form 8-K filed with the Commission on April 25, 2024). ***</w:t>
              </w:r>
            </w:hyperlink>
          </w:p>
        </w:tc>
      </w:tr>
      <w:tr>
        <w:trPr>
          <w:trHeight w:val="20"/>
        </w:trPr>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6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1 to Second Amended and Restated Revolving Credit and Security Agreement, dated April 24, 2024 (Incorporated by</w:t>
              </w:r>
            </w:hyperlink>
          </w:p>
        </w:tc>
        <w:tc>
          <w:tcPr>
            <w:tcW w:w="560" w:type="dxa"/>
            <w:vAlign w:val="bottom"/>
            <w:gridSpan w:val="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reference to Great Lakes Dredge &amp; Dock Corporation’s Current Report on Form 8-K filed with the Commission on April 25, 2024). ***</w:t>
              </w:r>
            </w:hyperlink>
          </w:p>
        </w:tc>
      </w:tr>
      <w:tr>
        <w:trPr>
          <w:trHeight w:val="20"/>
        </w:trPr>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Rules 13a-14 and 15d-14 under the Securities Exchange Act of 1934, as Adopted Pursuant to Section 302 of the</w:t>
            </w:r>
          </w:p>
        </w:tc>
        <w:tc>
          <w:tcPr>
            <w:tcW w:w="3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 *</w:t>
            </w:r>
          </w:p>
        </w:tc>
        <w:tc>
          <w:tcPr>
            <w:tcW w:w="8080" w:type="dxa"/>
            <w:vAlign w:val="bottom"/>
            <w:gridSpan w:val="8"/>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Rules 13a-14 and 15d-14 under the Securities Exchange Act of 1934, as Adopted Pursuant to Section 302 of the</w:t>
            </w:r>
          </w:p>
        </w:tc>
        <w:tc>
          <w:tcPr>
            <w:tcW w:w="3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 *</w:t>
            </w:r>
          </w:p>
        </w:tc>
        <w:tc>
          <w:tcPr>
            <w:tcW w:w="20" w:type="dxa"/>
            <w:vAlign w:val="bottom"/>
            <w:tcBorders>
              <w:bottom w:val="single" w:sz="8" w:color="0000EE"/>
            </w:tcBorders>
          </w:tcPr>
          <w:p>
            <w:pPr>
              <w:spacing w:after="0"/>
              <w:rPr>
                <w:sz w:val="17"/>
                <w:szCs w:val="17"/>
                <w:color w:val="auto"/>
              </w:rPr>
            </w:pPr>
          </w:p>
        </w:tc>
        <w:tc>
          <w:tcPr>
            <w:tcW w:w="8060" w:type="dxa"/>
            <w:vAlign w:val="bottom"/>
            <w:gridSpan w:val="7"/>
          </w:tcPr>
          <w:p>
            <w:pPr>
              <w:spacing w:after="0"/>
              <w:rPr>
                <w:sz w:val="17"/>
                <w:szCs w:val="17"/>
                <w:color w:val="auto"/>
              </w:rPr>
            </w:pPr>
          </w:p>
        </w:tc>
      </w:tr>
      <w:tr>
        <w:trPr>
          <w:trHeight w:val="345"/>
        </w:trPr>
        <w:tc>
          <w:tcPr>
            <w:tcW w:w="20" w:type="dxa"/>
            <w:vAlign w:val="bottom"/>
            <w:tcBorders>
              <w:bottom w:val="single" w:sz="8" w:color="0000EE"/>
            </w:tcBorders>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20" w:type="dxa"/>
            <w:vAlign w:val="bottom"/>
            <w:tcBorders>
              <w:bottom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 **</w:t>
            </w:r>
          </w:p>
        </w:tc>
        <w:tc>
          <w:tcPr>
            <w:tcW w:w="1300" w:type="dxa"/>
            <w:vAlign w:val="bottom"/>
            <w:gridSpan w:val="5"/>
          </w:tcPr>
          <w:p>
            <w:pPr>
              <w:spacing w:after="0"/>
              <w:rPr>
                <w:sz w:val="24"/>
                <w:szCs w:val="24"/>
                <w:color w:val="auto"/>
              </w:rPr>
            </w:pPr>
          </w:p>
        </w:tc>
      </w:tr>
      <w:tr>
        <w:trPr>
          <w:trHeight w:val="344"/>
        </w:trPr>
        <w:tc>
          <w:tcPr>
            <w:tcW w:w="20" w:type="dxa"/>
            <w:vAlign w:val="bottom"/>
            <w:tcBorders>
              <w:bottom w:val="single" w:sz="8" w:color="0000EE"/>
            </w:tcBorders>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 **</w:t>
            </w:r>
          </w:p>
        </w:tc>
        <w:tc>
          <w:tcPr>
            <w:tcW w:w="1300" w:type="dxa"/>
            <w:vAlign w:val="bottom"/>
            <w:gridSpan w:val="5"/>
          </w:tcPr>
          <w:p>
            <w:pPr>
              <w:spacing w:after="0"/>
              <w:rPr>
                <w:sz w:val="24"/>
                <w:szCs w:val="24"/>
                <w:color w:val="auto"/>
              </w:rPr>
            </w:pPr>
          </w:p>
        </w:tc>
      </w:tr>
      <w:tr>
        <w:trPr>
          <w:trHeight w:val="615"/>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w:t>
            </w:r>
          </w:p>
        </w:tc>
      </w:tr>
    </w:tbl>
    <w:p>
      <w:pPr>
        <w:spacing w:after="0" w:line="130" w:lineRule="exact"/>
        <w:rPr>
          <w:sz w:val="20"/>
          <w:szCs w:val="20"/>
          <w:color w:val="auto"/>
        </w:rPr>
      </w:pPr>
    </w:p>
    <w:p>
      <w:pPr>
        <w:ind w:right="3660" w:firstLine="21"/>
        <w:spacing w:after="0" w:line="488" w:lineRule="auto"/>
        <w:tabs>
          <w:tab w:leader="none" w:pos="9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 Filed herewith</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666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26035</wp:posOffset>
            </wp:positionV>
            <wp:extent cx="26060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Scott Kornblau</w:t>
      </w:r>
    </w:p>
    <w:p>
      <w:pPr>
        <w:spacing w:after="0" w:line="29"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spacing w:after="0" w:line="26"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(Principal Financial Officer and Duly Authorized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Kornblau</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March 31, 2024,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Great Lakes Dredge &amp; Dock Corporation (the “Company”) on Form 10-Q for the period ended March 31, 2024 as filed with the Securities and Exchange Commission on the date hereof (the “Report”), I, Scott Kornblau, Senior Vice President, Chief Financial Officer and Treasurer of the Company, certify pursuant to 18 U.S.C. Section 1350, as adopted pursuant to Section 906 of the Sarbanes-Oxley Act of 2002, that:</w:t>
      </w:r>
    </w:p>
    <w:p>
      <w:pPr>
        <w:spacing w:after="0" w:line="50"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51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Kornblau</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2024</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
      <w:numFmt w:val="bullet"/>
      <w:start w:val="1"/>
    </w:lvl>
    <w:lvl w:ilvl="1">
      <w:lvlJc w:val="left"/>
      <w:lvlText w:val="%2"/>
      <w:numFmt w:val="decimal"/>
      <w:start w:val="104"/>
    </w:lvl>
  </w:abstractNum>
  <w:abstractNum w:abstractNumId="13">
    <w:nsid w:val="4E6AFB66"/>
    <w:multiLevelType w:val="hybridMultilevel"/>
    <w:lvl w:ilvl="0">
      <w:lvlJc w:val="left"/>
      <w:lvlText w:val="**"/>
      <w:numFmt w:val="bullet"/>
      <w:start w:val="1"/>
    </w:lvl>
    <w:lvl w:ilvl="1">
      <w:lvlJc w:val="left"/>
      <w:lvlText w:val="%2"/>
      <w:numFmt w:val="decimal"/>
      <w:start w:val="1"/>
    </w:lvl>
  </w:abstractNum>
  <w:abstractNum w:abstractNumId="14">
    <w:nsid w:val="25E45D32"/>
    <w:multiLevelType w:val="hybridMultilevel"/>
    <w:lvl w:ilvl="0">
      <w:lvlJc w:val="left"/>
      <w:lvlText w:val="***"/>
      <w:numFmt w:val="bullet"/>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59" Type="http://schemas.openxmlformats.org/officeDocument/2006/relationships/hyperlink" Target="https://www.sec.gov/Archives/edgar/data/1372020/000095017024047945/gldd-ex10_1.htm" TargetMode="External"/><Relationship Id="rId160" Type="http://schemas.openxmlformats.org/officeDocument/2006/relationships/hyperlink" Target="https://www.sec.gov/Archives/edgar/data/1372020/000095017024047945/gldd-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2024-05-07T16:23:01Z</dcterms:created>
  <dcterms:modified xsi:type="dcterms:W3CDTF">2024-05-07T16:23:01Z</dcterms:modified>
</cp:coreProperties>
</file>