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4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102870</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60" w:type="dxa"/>
            <w:vAlign w:val="bottom"/>
            <w:gridSpan w:val="2"/>
          </w:tcPr>
          <w:p>
            <w:pPr>
              <w:jc w:val="right"/>
              <w:ind w:right="1724"/>
              <w:spacing w:after="0"/>
              <w:rPr>
                <w:sz w:val="20"/>
                <w:szCs w:val="20"/>
                <w:color w:val="auto"/>
              </w:rPr>
            </w:pPr>
            <w:r>
              <w:rPr>
                <w:rFonts w:ascii="Arial" w:cs="Arial" w:eastAsia="Arial" w:hAnsi="Arial"/>
                <w:sz w:val="18"/>
                <w:szCs w:val="18"/>
                <w:b w:val="1"/>
                <w:bCs w:val="1"/>
                <w:color w:val="auto"/>
              </w:rPr>
              <w:t>20-5336063</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jc w:val="center"/>
              <w:ind w:right="12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jc w:val="center"/>
              <w:ind w:right="120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13"/>
        </w:trPr>
        <w:tc>
          <w:tcPr>
            <w:tcW w:w="980" w:type="dxa"/>
            <w:vAlign w:val="bottom"/>
          </w:tcPr>
          <w:p>
            <w:pPr>
              <w:spacing w:after="0"/>
              <w:rPr>
                <w:sz w:val="24"/>
                <w:szCs w:val="24"/>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gridSpan w:val="2"/>
          </w:tcPr>
          <w:p>
            <w:pPr>
              <w:jc w:val="right"/>
              <w:ind w:right="1944"/>
              <w:spacing w:after="0"/>
              <w:rPr>
                <w:sz w:val="20"/>
                <w:szCs w:val="20"/>
                <w:color w:val="auto"/>
              </w:rPr>
            </w:pPr>
            <w:r>
              <w:rPr>
                <w:rFonts w:ascii="Arial" w:cs="Arial" w:eastAsia="Arial" w:hAnsi="Arial"/>
                <w:sz w:val="18"/>
                <w:szCs w:val="18"/>
                <w:b w:val="1"/>
                <w:bCs w:val="1"/>
                <w:color w:val="auto"/>
              </w:rPr>
              <w:t>60523</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jc w:val="center"/>
              <w:ind w:right="118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20" w:type="dxa"/>
            <w:vAlign w:val="bottom"/>
            <w:gridSpan w:val="3"/>
          </w:tcPr>
          <w:p>
            <w:pPr>
              <w:jc w:val="center"/>
              <w:ind w:left="919"/>
              <w:spacing w:after="0"/>
              <w:rPr>
                <w:sz w:val="20"/>
                <w:szCs w:val="20"/>
                <w:color w:val="auto"/>
              </w:rPr>
            </w:pPr>
            <w:r>
              <w:rPr>
                <w:rFonts w:ascii="Arial" w:cs="Arial" w:eastAsia="Arial" w:hAnsi="Arial"/>
                <w:sz w:val="18"/>
                <w:szCs w:val="18"/>
                <w:b w:val="1"/>
                <w:bCs w:val="1"/>
                <w:color w:val="auto"/>
                <w:w w:val="90"/>
              </w:rPr>
              <w:t>(630) 574-3000</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35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980" w:type="dxa"/>
            <w:vAlign w:val="bottom"/>
          </w:tcPr>
          <w:p>
            <w:pPr>
              <w:spacing w:after="0"/>
              <w:rPr>
                <w:sz w:val="24"/>
                <w:szCs w:val="24"/>
                <w:color w:val="auto"/>
              </w:rPr>
            </w:pPr>
          </w:p>
        </w:tc>
        <w:tc>
          <w:tcPr>
            <w:tcW w:w="2560" w:type="dxa"/>
            <w:vAlign w:val="bottom"/>
            <w:gridSpan w:val="2"/>
          </w:tcPr>
          <w:p>
            <w:pPr>
              <w:jc w:val="center"/>
              <w:ind w:right="1260"/>
              <w:spacing w:after="0"/>
              <w:rPr>
                <w:sz w:val="20"/>
                <w:szCs w:val="20"/>
                <w:color w:val="auto"/>
              </w:rPr>
            </w:pPr>
            <w:r>
              <w:rPr>
                <w:rFonts w:ascii="Arial" w:cs="Arial" w:eastAsia="Arial" w:hAnsi="Arial"/>
                <w:sz w:val="18"/>
                <w:szCs w:val="18"/>
                <w:color w:val="auto"/>
                <w:w w:val="90"/>
              </w:rPr>
              <w:t>Title of each class</w:t>
            </w:r>
          </w:p>
        </w:tc>
        <w:tc>
          <w:tcPr>
            <w:tcW w:w="520" w:type="dxa"/>
            <w:vAlign w:val="bottom"/>
          </w:tcPr>
          <w:p>
            <w:pPr>
              <w:spacing w:after="0"/>
              <w:rPr>
                <w:sz w:val="24"/>
                <w:szCs w:val="24"/>
                <w:color w:val="auto"/>
              </w:rPr>
            </w:pPr>
          </w:p>
        </w:tc>
        <w:tc>
          <w:tcPr>
            <w:tcW w:w="2920" w:type="dxa"/>
            <w:vAlign w:val="bottom"/>
            <w:gridSpan w:val="4"/>
          </w:tcPr>
          <w:p>
            <w:pPr>
              <w:jc w:val="center"/>
              <w:ind w:right="680"/>
              <w:spacing w:after="0"/>
              <w:rPr>
                <w:sz w:val="20"/>
                <w:szCs w:val="20"/>
                <w:color w:val="auto"/>
              </w:rPr>
            </w:pPr>
            <w:r>
              <w:rPr>
                <w:rFonts w:ascii="Arial" w:cs="Arial" w:eastAsia="Arial" w:hAnsi="Arial"/>
                <w:sz w:val="18"/>
                <w:szCs w:val="18"/>
                <w:color w:val="auto"/>
                <w:w w:val="92"/>
              </w:rPr>
              <w:t>Trading Symbol(s)</w:t>
            </w:r>
          </w:p>
        </w:tc>
        <w:tc>
          <w:tcPr>
            <w:tcW w:w="33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Common Stock (Par Value $0.0001)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gridSpan w:val="3"/>
          </w:tcPr>
          <w:p>
            <w:pPr>
              <w:jc w:val="center"/>
              <w:ind w:right="1100"/>
              <w:spacing w:after="0"/>
              <w:rPr>
                <w:sz w:val="20"/>
                <w:szCs w:val="20"/>
                <w:color w:val="auto"/>
              </w:rPr>
            </w:pPr>
            <w:r>
              <w:rPr>
                <w:rFonts w:ascii="Arial" w:cs="Arial" w:eastAsia="Arial" w:hAnsi="Arial"/>
                <w:sz w:val="18"/>
                <w:szCs w:val="18"/>
                <w:color w:val="auto"/>
                <w:w w:val="99"/>
              </w:rPr>
              <w:t>GLDD</w:t>
            </w:r>
          </w:p>
        </w:tc>
        <w:tc>
          <w:tcPr>
            <w:tcW w:w="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3"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26, 2019, 63,826,303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202565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59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2019 and December 31, 2018</w:t>
              </w:r>
            </w:hyperlink>
          </w:p>
        </w:tc>
        <w:tc>
          <w:tcPr>
            <w:tcW w:w="35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80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2019 and 2018</w:t>
              </w:r>
            </w:hyperlink>
          </w:p>
        </w:tc>
        <w:tc>
          <w:tcPr>
            <w:tcW w:w="14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040" w:type="dxa"/>
            <w:vAlign w:val="bottom"/>
          </w:tcPr>
          <w:p>
            <w:pPr>
              <w:spacing w:after="0"/>
              <w:rPr>
                <w:sz w:val="24"/>
                <w:szCs w:val="24"/>
                <w:color w:val="auto"/>
              </w:rPr>
            </w:pPr>
          </w:p>
        </w:tc>
        <w:tc>
          <w:tcPr>
            <w:tcW w:w="9480" w:type="dxa"/>
            <w:vAlign w:val="bottom"/>
            <w:gridSpan w:val="2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(Loss) for the Three and Six Months ended June 30, 2019 and</w:t>
              </w:r>
            </w:hyperlink>
          </w:p>
        </w:tc>
        <w:tc>
          <w:tcPr>
            <w:tcW w:w="9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8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Three and Six Months Ended June 30, 2019 and 2018</w:t>
              </w:r>
            </w:hyperlink>
          </w:p>
        </w:tc>
        <w:tc>
          <w:tcPr>
            <w:tcW w:w="168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040" w:type="dxa"/>
            <w:vAlign w:val="bottom"/>
          </w:tcPr>
          <w:p>
            <w:pPr>
              <w:spacing w:after="0"/>
              <w:rPr>
                <w:sz w:val="24"/>
                <w:szCs w:val="24"/>
                <w:color w:val="auto"/>
              </w:rPr>
            </w:pPr>
          </w:p>
        </w:tc>
        <w:tc>
          <w:tcPr>
            <w:tcW w:w="948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2019 and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380" w:type="dxa"/>
            <w:vAlign w:val="bottom"/>
            <w:tcBorders>
              <w:top w:val="single" w:sz="8" w:color="0000EE"/>
            </w:tcBorders>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1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40" w:type="dxa"/>
            <w:vAlign w:val="bottom"/>
          </w:tcPr>
          <w:p>
            <w:pPr>
              <w:spacing w:after="0"/>
              <w:rPr>
                <w:sz w:val="24"/>
                <w:szCs w:val="24"/>
                <w:color w:val="auto"/>
              </w:rPr>
            </w:pPr>
          </w:p>
        </w:tc>
        <w:tc>
          <w:tcPr>
            <w:tcW w:w="948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125,575</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203,175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LEASE LIABILITIES—Noncurrent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53,830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617,653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63,769 and 62,830 shares issued; 63,769 and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62,552 shares outstanding at June 30, 2019 and December 31, 2018, respectively.</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(47,016)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214,928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gridSpan w:val="3"/>
          </w:tcPr>
          <w:p>
            <w:pPr>
              <w:jc w:val="center"/>
              <w:ind w:left="299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700" w:type="dxa"/>
            <w:vAlign w:val="bottom"/>
            <w:gridSpan w:val="2"/>
          </w:tcPr>
          <w:p>
            <w:pPr>
              <w:jc w:val="right"/>
              <w:ind w:right="18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377,448</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147,325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290,085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22,792</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(7,188)</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(8,991)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(14,739)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15,727</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43,121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(4,230)</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11,497</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(3,251)</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attributable to continuing operations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Diluted earnings (loss) per share attributable to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9"/>
                <w:szCs w:val="19"/>
                <w:color w:val="auto"/>
              </w:rPr>
            </w:pPr>
          </w:p>
        </w:tc>
        <w:tc>
          <w:tcPr>
            <w:tcW w:w="5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7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8,246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25,414</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72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flow derivative hedges—net of tax (2)</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8,483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$5 and $(530) for the three and six months ended June 30, 2018 respectively.</w:t>
      </w:r>
    </w:p>
    <w:p>
      <w:pPr>
        <w:spacing w:after="0" w:line="225"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$84 and income tax provision of $(689) for the three months ended June 30, 2019 and 2018, respectively. Net of income tax benefit of $1,055 and income tax provision of $(949) for the six months ended June 30,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160"/>
          </w:cols>
          <w:pgMar w:left="860" w:top="33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2019</w:t>
      </w:r>
    </w:p>
    <w:p>
      <w:pPr>
        <w:spacing w:after="0" w:line="163" w:lineRule="exact"/>
        <w:rPr>
          <w:sz w:val="20"/>
          <w:szCs w:val="20"/>
          <w:color w:val="auto"/>
        </w:rPr>
      </w:pPr>
    </w:p>
    <w:p>
      <w:pPr>
        <w:ind w:left="260" w:right="760"/>
        <w:spacing w:after="0"/>
        <w:rPr>
          <w:sz w:val="20"/>
          <w:szCs w:val="20"/>
          <w:color w:val="auto"/>
        </w:rPr>
      </w:pPr>
      <w:r>
        <w:rPr>
          <w:rFonts w:ascii="Arial" w:cs="Arial" w:eastAsia="Arial" w:hAnsi="Arial"/>
          <w:sz w:val="14"/>
          <w:szCs w:val="14"/>
          <w:color w:val="auto"/>
        </w:rPr>
        <w:t>Cumulative effect of recent accounting pronouncements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14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Cancellation of treasury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2019</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2018</w:t>
      </w:r>
    </w:p>
    <w:p>
      <w:pPr>
        <w:spacing w:after="0" w:line="163" w:lineRule="exact"/>
        <w:rPr>
          <w:sz w:val="20"/>
          <w:szCs w:val="20"/>
          <w:color w:val="auto"/>
        </w:rPr>
      </w:pPr>
    </w:p>
    <w:p>
      <w:pPr>
        <w:ind w:left="260" w:right="760"/>
        <w:spacing w:after="0"/>
        <w:rPr>
          <w:sz w:val="20"/>
          <w:szCs w:val="20"/>
          <w:color w:val="auto"/>
        </w:rPr>
      </w:pPr>
      <w:r>
        <w:rPr>
          <w:rFonts w:ascii="Arial" w:cs="Arial" w:eastAsia="Arial" w:hAnsi="Arial"/>
          <w:sz w:val="14"/>
          <w:szCs w:val="14"/>
          <w:color w:val="auto"/>
        </w:rPr>
        <w:t>Cumulative effect of recent accounting pronouncements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14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2019</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14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Cancellation of treasury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2019</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2018</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14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BALANCE—June 30, 2018</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Shares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Treasury</w:t>
            </w:r>
          </w:p>
        </w:tc>
        <w:tc>
          <w:tcPr>
            <w:tcW w:w="40" w:type="dxa"/>
            <w:vAlign w:val="bottom"/>
          </w:tcPr>
          <w:p>
            <w:pPr>
              <w:spacing w:after="0"/>
              <w:rPr>
                <w:sz w:val="14"/>
                <w:szCs w:val="14"/>
                <w:color w:val="auto"/>
              </w:rPr>
            </w:pPr>
          </w:p>
        </w:tc>
        <w:tc>
          <w:tcPr>
            <w:tcW w:w="68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87"/>
              </w:rPr>
              <w:t>Treasury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20" w:type="dxa"/>
            <w:vAlign w:val="bottom"/>
          </w:tcPr>
          <w:p>
            <w:pPr>
              <w:jc w:val="right"/>
              <w:spacing w:after="0"/>
              <w:rPr>
                <w:sz w:val="20"/>
                <w:szCs w:val="20"/>
                <w:color w:val="auto"/>
              </w:rPr>
            </w:pPr>
            <w:r>
              <w:rPr>
                <w:rFonts w:ascii="Arial" w:cs="Arial" w:eastAsia="Arial" w:hAnsi="Arial"/>
                <w:sz w:val="14"/>
                <w:szCs w:val="14"/>
                <w:color w:val="auto"/>
              </w:rPr>
              <w:t>62,830</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9"/>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295,135</w:t>
            </w:r>
          </w:p>
        </w:tc>
        <w:tc>
          <w:tcPr>
            <w:tcW w:w="100" w:type="dxa"/>
            <w:vAlign w:val="bottom"/>
          </w:tcPr>
          <w:p>
            <w:pPr>
              <w:spacing w:after="0"/>
              <w:rPr>
                <w:sz w:val="24"/>
                <w:szCs w:val="24"/>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(74,971)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(3,809)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214,928</w:t>
            </w:r>
          </w:p>
        </w:tc>
        <w:tc>
          <w:tcPr>
            <w:tcW w:w="40" w:type="dxa"/>
            <w:vAlign w:val="bottom"/>
          </w:tcPr>
          <w:p>
            <w:pPr>
              <w:spacing w:after="0"/>
              <w:rPr>
                <w:sz w:val="24"/>
                <w:szCs w:val="24"/>
                <w:color w:val="auto"/>
              </w:rPr>
            </w:pPr>
          </w:p>
        </w:tc>
      </w:tr>
      <w:tr>
        <w:trPr>
          <w:trHeight w:val="392"/>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2,802</w:t>
            </w:r>
          </w:p>
        </w:tc>
        <w:tc>
          <w:tcPr>
            <w:tcW w:w="40" w:type="dxa"/>
            <w:vAlign w:val="bottom"/>
          </w:tcPr>
          <w:p>
            <w:pPr>
              <w:spacing w:after="0"/>
              <w:rPr>
                <w:sz w:val="24"/>
                <w:szCs w:val="24"/>
                <w:color w:val="auto"/>
              </w:rPr>
            </w:pPr>
          </w:p>
        </w:tc>
      </w:tr>
      <w:tr>
        <w:trPr>
          <w:trHeight w:val="243"/>
        </w:trPr>
        <w:tc>
          <w:tcPr>
            <w:tcW w:w="62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4,530</w:t>
            </w:r>
          </w:p>
        </w:tc>
        <w:tc>
          <w:tcPr>
            <w:tcW w:w="40" w:type="dxa"/>
            <w:vAlign w:val="bottom"/>
          </w:tcPr>
          <w:p>
            <w:pPr>
              <w:spacing w:after="0"/>
              <w:rPr>
                <w:sz w:val="21"/>
                <w:szCs w:val="2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rPr>
              <w:t>554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(2,929)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(2,929)</w:t>
            </w:r>
          </w:p>
        </w:tc>
      </w:tr>
      <w:tr>
        <w:trPr>
          <w:trHeight w:val="311"/>
        </w:trPr>
        <w:tc>
          <w:tcPr>
            <w:tcW w:w="620" w:type="dxa"/>
            <w:vAlign w:val="bottom"/>
          </w:tcPr>
          <w:p>
            <w:pPr>
              <w:jc w:val="right"/>
              <w:spacing w:after="0"/>
              <w:rPr>
                <w:sz w:val="20"/>
                <w:szCs w:val="20"/>
                <w:color w:val="auto"/>
              </w:rPr>
            </w:pPr>
            <w:r>
              <w:rPr>
                <w:rFonts w:ascii="Arial" w:cs="Arial" w:eastAsia="Arial" w:hAnsi="Arial"/>
                <w:sz w:val="14"/>
                <w:szCs w:val="14"/>
                <w:color w:val="auto"/>
              </w:rPr>
              <w:t>618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3,756</w:t>
            </w:r>
          </w:p>
        </w:tc>
        <w:tc>
          <w:tcPr>
            <w:tcW w:w="40" w:type="dxa"/>
            <w:vAlign w:val="bottom"/>
          </w:tcPr>
          <w:p>
            <w:pPr>
              <w:spacing w:after="0"/>
              <w:rPr>
                <w:sz w:val="24"/>
                <w:szCs w:val="24"/>
                <w:color w:val="auto"/>
              </w:rPr>
            </w:pPr>
          </w:p>
        </w:tc>
      </w:tr>
      <w:tr>
        <w:trPr>
          <w:trHeight w:val="223"/>
        </w:trPr>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(1,173)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25,414</w:t>
            </w:r>
          </w:p>
        </w:tc>
        <w:tc>
          <w:tcPr>
            <w:tcW w:w="40" w:type="dxa"/>
            <w:vAlign w:val="bottom"/>
          </w:tcPr>
          <w:p>
            <w:pPr>
              <w:spacing w:after="0"/>
              <w:rPr>
                <w:sz w:val="14"/>
                <w:szCs w:val="14"/>
                <w:color w:val="auto"/>
              </w:rPr>
            </w:pPr>
          </w:p>
        </w:tc>
      </w:tr>
      <w:tr>
        <w:trPr>
          <w:trHeight w:val="167"/>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2,977</w:t>
            </w:r>
          </w:p>
        </w:tc>
        <w:tc>
          <w:tcPr>
            <w:tcW w:w="40" w:type="dxa"/>
            <w:vAlign w:val="bottom"/>
          </w:tcPr>
          <w:p>
            <w:pPr>
              <w:spacing w:after="0"/>
              <w:rPr>
                <w:sz w:val="14"/>
                <w:szCs w:val="14"/>
                <w:color w:val="auto"/>
              </w:rPr>
            </w:pPr>
          </w:p>
        </w:tc>
      </w:tr>
      <w:tr>
        <w:trPr>
          <w:trHeight w:val="156"/>
        </w:trPr>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63,769</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299,320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(47,016)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251,478</w:t>
            </w:r>
          </w:p>
        </w:tc>
        <w:tc>
          <w:tcPr>
            <w:tcW w:w="40" w:type="dxa"/>
            <w:vAlign w:val="bottom"/>
          </w:tcPr>
          <w:p>
            <w:pPr>
              <w:spacing w:after="0"/>
              <w:rPr>
                <w:sz w:val="13"/>
                <w:szCs w:val="13"/>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1"/>
        </w:trPr>
        <w:tc>
          <w:tcPr>
            <w:tcW w:w="620" w:type="dxa"/>
            <w:vAlign w:val="bottom"/>
          </w:tcPr>
          <w:p>
            <w:pPr>
              <w:jc w:val="right"/>
              <w:spacing w:after="0"/>
              <w:rPr>
                <w:sz w:val="20"/>
                <w:szCs w:val="20"/>
                <w:color w:val="auto"/>
              </w:rPr>
            </w:pPr>
            <w:r>
              <w:rPr>
                <w:rFonts w:ascii="Arial" w:cs="Arial" w:eastAsia="Arial" w:hAnsi="Arial"/>
                <w:sz w:val="14"/>
                <w:szCs w:val="14"/>
                <w:color w:val="auto"/>
              </w:rPr>
              <w:t>61,897</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9"/>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24"/>
                <w:szCs w:val="24"/>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(67,101)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221,296</w:t>
            </w:r>
          </w:p>
        </w:tc>
        <w:tc>
          <w:tcPr>
            <w:tcW w:w="40" w:type="dxa"/>
            <w:vAlign w:val="bottom"/>
          </w:tcPr>
          <w:p>
            <w:pPr>
              <w:spacing w:after="0"/>
              <w:rPr>
                <w:sz w:val="24"/>
                <w:szCs w:val="24"/>
                <w:color w:val="auto"/>
              </w:rPr>
            </w:pPr>
          </w:p>
        </w:tc>
      </w:tr>
      <w:tr>
        <w:trPr>
          <w:trHeight w:val="392"/>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(1,577)</w:t>
            </w:r>
          </w:p>
        </w:tc>
      </w:tr>
      <w:tr>
        <w:trPr>
          <w:trHeight w:val="243"/>
        </w:trPr>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2,264</w:t>
            </w:r>
          </w:p>
        </w:tc>
        <w:tc>
          <w:tcPr>
            <w:tcW w:w="40" w:type="dxa"/>
            <w:vAlign w:val="bottom"/>
          </w:tcPr>
          <w:p>
            <w:pPr>
              <w:spacing w:after="0"/>
              <w:rPr>
                <w:sz w:val="21"/>
                <w:szCs w:val="2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rPr>
              <w:t>486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(1,060)</w:t>
            </w:r>
          </w:p>
        </w:tc>
      </w:tr>
      <w:tr>
        <w:trPr>
          <w:trHeight w:val="311"/>
        </w:trPr>
        <w:tc>
          <w:tcPr>
            <w:tcW w:w="620" w:type="dxa"/>
            <w:vAlign w:val="bottom"/>
          </w:tcPr>
          <w:p>
            <w:pPr>
              <w:jc w:val="right"/>
              <w:spacing w:after="0"/>
              <w:rPr>
                <w:sz w:val="20"/>
                <w:szCs w:val="20"/>
                <w:color w:val="auto"/>
              </w:rPr>
            </w:pPr>
            <w:r>
              <w:rPr>
                <w:rFonts w:ascii="Arial" w:cs="Arial" w:eastAsia="Arial" w:hAnsi="Arial"/>
                <w:sz w:val="14"/>
                <w:szCs w:val="14"/>
                <w:color w:val="auto"/>
              </w:rPr>
              <w:t>128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24"/>
                <w:szCs w:val="24"/>
                <w:color w:val="auto"/>
              </w:rPr>
            </w:pPr>
          </w:p>
        </w:tc>
      </w:tr>
      <w:tr>
        <w:trPr>
          <w:trHeight w:val="223"/>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(10,295)</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(10,295)</w:t>
            </w:r>
          </w:p>
        </w:tc>
      </w:tr>
      <w:tr>
        <w:trPr>
          <w:trHeight w:val="167"/>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14"/>
                <w:szCs w:val="14"/>
                <w:color w:val="auto"/>
              </w:rPr>
            </w:pPr>
          </w:p>
        </w:tc>
      </w:tr>
      <w:tr>
        <w:trPr>
          <w:trHeight w:val="156"/>
        </w:trPr>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62,583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291,468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(78,973)</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211,514</w:t>
            </w:r>
          </w:p>
        </w:tc>
        <w:tc>
          <w:tcPr>
            <w:tcW w:w="40" w:type="dxa"/>
            <w:vAlign w:val="bottom"/>
          </w:tcPr>
          <w:p>
            <w:pPr>
              <w:spacing w:after="0"/>
              <w:rPr>
                <w:sz w:val="13"/>
                <w:szCs w:val="13"/>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1"/>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Shares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Shares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Treasury</w:t>
            </w:r>
          </w:p>
        </w:tc>
        <w:tc>
          <w:tcPr>
            <w:tcW w:w="40" w:type="dxa"/>
            <w:vAlign w:val="bottom"/>
          </w:tcPr>
          <w:p>
            <w:pPr>
              <w:spacing w:after="0"/>
              <w:rPr>
                <w:sz w:val="14"/>
                <w:szCs w:val="14"/>
                <w:color w:val="auto"/>
              </w:rPr>
            </w:pPr>
          </w:p>
        </w:tc>
        <w:tc>
          <w:tcPr>
            <w:tcW w:w="68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87"/>
              </w:rPr>
              <w:t>Treasury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20" w:type="dxa"/>
            <w:vAlign w:val="bottom"/>
          </w:tcPr>
          <w:p>
            <w:pPr>
              <w:jc w:val="right"/>
              <w:spacing w:after="0"/>
              <w:rPr>
                <w:sz w:val="20"/>
                <w:szCs w:val="20"/>
                <w:color w:val="auto"/>
              </w:rPr>
            </w:pPr>
            <w:r>
              <w:rPr>
                <w:rFonts w:ascii="Arial" w:cs="Arial" w:eastAsia="Arial" w:hAnsi="Arial"/>
                <w:sz w:val="14"/>
                <w:szCs w:val="14"/>
                <w:color w:val="auto"/>
              </w:rPr>
              <w:t>63,600</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9"/>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296,774</w:t>
            </w:r>
          </w:p>
        </w:tc>
        <w:tc>
          <w:tcPr>
            <w:tcW w:w="100" w:type="dxa"/>
            <w:vAlign w:val="bottom"/>
          </w:tcPr>
          <w:p>
            <w:pPr>
              <w:spacing w:after="0"/>
              <w:rPr>
                <w:sz w:val="24"/>
                <w:szCs w:val="24"/>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(55,001)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239,277</w:t>
            </w:r>
          </w:p>
        </w:tc>
        <w:tc>
          <w:tcPr>
            <w:tcW w:w="40" w:type="dxa"/>
            <w:vAlign w:val="bottom"/>
          </w:tcPr>
          <w:p>
            <w:pPr>
              <w:spacing w:after="0"/>
              <w:rPr>
                <w:sz w:val="24"/>
                <w:szCs w:val="24"/>
                <w:color w:val="auto"/>
              </w:rPr>
            </w:pPr>
          </w:p>
        </w:tc>
      </w:tr>
      <w:tr>
        <w:trPr>
          <w:trHeight w:val="324"/>
        </w:trPr>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2,329</w:t>
            </w:r>
          </w:p>
        </w:tc>
        <w:tc>
          <w:tcPr>
            <w:tcW w:w="40" w:type="dxa"/>
            <w:vAlign w:val="bottom"/>
          </w:tcPr>
          <w:p>
            <w:pPr>
              <w:spacing w:after="0"/>
              <w:rPr>
                <w:sz w:val="24"/>
                <w:szCs w:val="24"/>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(741)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(741)</w:t>
            </w:r>
          </w:p>
        </w:tc>
      </w:tr>
      <w:tr>
        <w:trPr>
          <w:trHeight w:val="311"/>
        </w:trPr>
        <w:tc>
          <w:tcPr>
            <w:tcW w:w="620" w:type="dxa"/>
            <w:vAlign w:val="bottom"/>
          </w:tcPr>
          <w:p>
            <w:pPr>
              <w:jc w:val="right"/>
              <w:spacing w:after="0"/>
              <w:rPr>
                <w:sz w:val="20"/>
                <w:szCs w:val="20"/>
                <w:color w:val="auto"/>
              </w:rPr>
            </w:pPr>
            <w:r>
              <w:rPr>
                <w:rFonts w:ascii="Arial" w:cs="Arial" w:eastAsia="Arial" w:hAnsi="Arial"/>
                <w:sz w:val="14"/>
                <w:szCs w:val="14"/>
                <w:color w:val="auto"/>
              </w:rPr>
              <w:t>332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2,130</w:t>
            </w:r>
          </w:p>
        </w:tc>
        <w:tc>
          <w:tcPr>
            <w:tcW w:w="40" w:type="dxa"/>
            <w:vAlign w:val="bottom"/>
          </w:tcPr>
          <w:p>
            <w:pPr>
              <w:spacing w:after="0"/>
              <w:rPr>
                <w:sz w:val="24"/>
                <w:szCs w:val="24"/>
                <w:color w:val="auto"/>
              </w:rPr>
            </w:pPr>
          </w:p>
        </w:tc>
      </w:tr>
      <w:tr>
        <w:trPr>
          <w:trHeight w:val="223"/>
        </w:trPr>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(1,173)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8,246</w:t>
            </w:r>
          </w:p>
        </w:tc>
        <w:tc>
          <w:tcPr>
            <w:tcW w:w="40" w:type="dxa"/>
            <w:vAlign w:val="bottom"/>
          </w:tcPr>
          <w:p>
            <w:pPr>
              <w:spacing w:after="0"/>
              <w:rPr>
                <w:sz w:val="14"/>
                <w:szCs w:val="14"/>
                <w:color w:val="auto"/>
              </w:rPr>
            </w:pPr>
          </w:p>
        </w:tc>
      </w:tr>
      <w:tr>
        <w:trPr>
          <w:trHeight w:val="167"/>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14"/>
                <w:szCs w:val="14"/>
                <w:color w:val="auto"/>
              </w:rPr>
            </w:pPr>
          </w:p>
        </w:tc>
      </w:tr>
      <w:tr>
        <w:trPr>
          <w:trHeight w:val="156"/>
        </w:trPr>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63,769</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299,320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(47,016)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251,478</w:t>
            </w:r>
          </w:p>
        </w:tc>
        <w:tc>
          <w:tcPr>
            <w:tcW w:w="40" w:type="dxa"/>
            <w:vAlign w:val="bottom"/>
          </w:tcPr>
          <w:p>
            <w:pPr>
              <w:spacing w:after="0"/>
              <w:rPr>
                <w:sz w:val="13"/>
                <w:szCs w:val="13"/>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7"/>
        </w:trPr>
        <w:tc>
          <w:tcPr>
            <w:tcW w:w="620" w:type="dxa"/>
            <w:vAlign w:val="bottom"/>
          </w:tcPr>
          <w:p>
            <w:pPr>
              <w:jc w:val="right"/>
              <w:spacing w:after="0"/>
              <w:rPr>
                <w:sz w:val="20"/>
                <w:szCs w:val="20"/>
                <w:color w:val="auto"/>
              </w:rPr>
            </w:pPr>
            <w:r>
              <w:rPr>
                <w:rFonts w:ascii="Arial" w:cs="Arial" w:eastAsia="Arial" w:hAnsi="Arial"/>
                <w:sz w:val="14"/>
                <w:szCs w:val="14"/>
                <w:color w:val="auto"/>
              </w:rPr>
              <w:t>62,485</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9"/>
              <w:spacing w:after="0"/>
              <w:rPr>
                <w:sz w:val="20"/>
                <w:szCs w:val="20"/>
                <w:color w:val="auto"/>
              </w:rPr>
            </w:pPr>
            <w:r>
              <w:rPr>
                <w:rFonts w:ascii="Arial" w:cs="Arial" w:eastAsia="Arial" w:hAnsi="Arial"/>
                <w:sz w:val="14"/>
                <w:szCs w:val="14"/>
                <w:color w:val="auto"/>
              </w:rPr>
              <w:t>(1,433)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290,298</w:t>
            </w:r>
          </w:p>
        </w:tc>
        <w:tc>
          <w:tcPr>
            <w:tcW w:w="100" w:type="dxa"/>
            <w:vAlign w:val="bottom"/>
          </w:tcPr>
          <w:p>
            <w:pPr>
              <w:spacing w:after="0"/>
              <w:rPr>
                <w:sz w:val="24"/>
                <w:szCs w:val="24"/>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(77,999)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211,502</w:t>
            </w:r>
          </w:p>
        </w:tc>
        <w:tc>
          <w:tcPr>
            <w:tcW w:w="40" w:type="dxa"/>
            <w:vAlign w:val="bottom"/>
          </w:tcPr>
          <w:p>
            <w:pPr>
              <w:spacing w:after="0"/>
              <w:rPr>
                <w:sz w:val="24"/>
                <w:szCs w:val="24"/>
                <w:color w:val="auto"/>
              </w:rPr>
            </w:pPr>
          </w:p>
        </w:tc>
      </w:tr>
      <w:tr>
        <w:trPr>
          <w:trHeight w:val="405"/>
        </w:trPr>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1,255</w:t>
            </w:r>
          </w:p>
        </w:tc>
        <w:tc>
          <w:tcPr>
            <w:tcW w:w="40" w:type="dxa"/>
            <w:vAlign w:val="bottom"/>
          </w:tcPr>
          <w:p>
            <w:pPr>
              <w:spacing w:after="0"/>
              <w:rPr>
                <w:sz w:val="24"/>
                <w:szCs w:val="24"/>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(124)</w:t>
            </w:r>
          </w:p>
        </w:tc>
      </w:tr>
      <w:tr>
        <w:trPr>
          <w:trHeight w:val="311"/>
        </w:trPr>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24"/>
                <w:szCs w:val="24"/>
                <w:color w:val="auto"/>
              </w:rPr>
            </w:pPr>
          </w:p>
        </w:tc>
      </w:tr>
      <w:tr>
        <w:trPr>
          <w:trHeight w:val="223"/>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(974)</w:t>
            </w:r>
          </w:p>
        </w:tc>
      </w:tr>
      <w:tr>
        <w:trPr>
          <w:trHeight w:val="167"/>
        </w:trPr>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(184)</w:t>
            </w:r>
          </w:p>
        </w:tc>
      </w:tr>
      <w:tr>
        <w:trPr>
          <w:trHeight w:val="156"/>
        </w:trPr>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62,583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291,468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(78,973)</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211,514</w:t>
            </w:r>
          </w:p>
        </w:tc>
        <w:tc>
          <w:tcPr>
            <w:tcW w:w="40" w:type="dxa"/>
            <w:vAlign w:val="bottom"/>
          </w:tcPr>
          <w:p>
            <w:pPr>
              <w:spacing w:after="0"/>
              <w:rPr>
                <w:sz w:val="13"/>
                <w:szCs w:val="13"/>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-5796915</wp:posOffset>
            </wp:positionV>
            <wp:extent cx="645731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-5590540</wp:posOffset>
            </wp:positionV>
            <wp:extent cx="6457315"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-5290820</wp:posOffset>
            </wp:positionV>
            <wp:extent cx="645731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-4895850</wp:posOffset>
            </wp:positionV>
            <wp:extent cx="645731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-4690110</wp:posOffset>
            </wp:positionV>
            <wp:extent cx="645731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-4295775</wp:posOffset>
            </wp:positionV>
            <wp:extent cx="645731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-4090035</wp:posOffset>
            </wp:positionV>
            <wp:extent cx="645731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-3789680</wp:posOffset>
            </wp:positionV>
            <wp:extent cx="6457315"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-3395345</wp:posOffset>
            </wp:positionV>
            <wp:extent cx="645731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-3189605</wp:posOffset>
            </wp:positionV>
            <wp:extent cx="645731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7315" cy="12001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-2392045</wp:posOffset>
            </wp:positionV>
            <wp:extent cx="645731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-2186305</wp:posOffset>
            </wp:positionV>
            <wp:extent cx="645731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-1885950</wp:posOffset>
            </wp:positionV>
            <wp:extent cx="6457315"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-1585595</wp:posOffset>
            </wp:positionV>
            <wp:extent cx="6457315"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-1379855</wp:posOffset>
            </wp:positionV>
            <wp:extent cx="645731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7315" cy="12001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-1097280</wp:posOffset>
            </wp:positionV>
            <wp:extent cx="645731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-840105</wp:posOffset>
            </wp:positionV>
            <wp:extent cx="645731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57315" cy="10287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-539750</wp:posOffset>
            </wp:positionV>
            <wp:extent cx="6457315"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57315" cy="19748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-239395</wp:posOffset>
            </wp:positionV>
            <wp:extent cx="6457315"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5731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240"/>
            <w:col w:w="6660"/>
          </w:cols>
          <w:pgMar w:left="860" w:top="337" w:right="87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60"/>
          </w:cols>
          <w:pgMar w:left="860" w:top="337" w:right="87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25,414</w:t>
            </w:r>
          </w:p>
        </w:tc>
        <w:tc>
          <w:tcPr>
            <w:tcW w:w="160" w:type="dxa"/>
            <w:vAlign w:val="bottom"/>
          </w:tcPr>
          <w:p>
            <w:pPr>
              <w:spacing w:after="0"/>
              <w:rPr>
                <w:sz w:val="19"/>
                <w:szCs w:val="19"/>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(10,295)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(6,631)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w w:val="99"/>
              </w:rPr>
              <w:t>Adjustments to reconcile net income (loss) to net cash flows provided by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(4,434)</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(Gain) loss on sale of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restructuring items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(11,343)</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(13,207)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(10,946)</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(3,091)</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(4,743)</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111,785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(2,162)</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105,971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(24,316)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(11,754)</w:t>
            </w:r>
          </w:p>
        </w:tc>
        <w:tc>
          <w:tcPr>
            <w:tcW w:w="20" w:type="dxa"/>
            <w:vAlign w:val="bottom"/>
          </w:tcPr>
          <w:p>
            <w:pPr>
              <w:spacing w:after="0"/>
              <w:rPr>
                <w:sz w:val="19"/>
                <w:szCs w:val="19"/>
                <w:color w:val="auto"/>
              </w:rPr>
            </w:pPr>
          </w:p>
        </w:tc>
      </w:tr>
      <w:tr>
        <w:trPr>
          <w:trHeight w:val="230"/>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(18,800)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flows provided by investing activities of discontinued operations</w:t>
            </w:r>
          </w:p>
        </w:tc>
        <w:tc>
          <w:tcPr>
            <w:tcW w:w="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7300" w:type="dxa"/>
            <w:vAlign w:val="bottom"/>
          </w:tcPr>
          <w:p>
            <w:pPr>
              <w:ind w:left="56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Repayments of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Taxes paid on settlement of vested share awards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loans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(13,061)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Arial" w:cs="Arial" w:eastAsia="Arial" w:hAnsi="Arial"/>
                <w:sz w:val="18"/>
                <w:szCs w:val="18"/>
                <w:color w:val="auto"/>
              </w:rPr>
              <w:t>Net cash flows used in financing activities of discontinued operations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used in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(13,252)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3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125,575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gridSpan w:val="2"/>
            <w:shd w:val="clear" w:color="auto" w:fill="CFF0FC"/>
          </w:tcPr>
          <w:p>
            <w:pPr>
              <w:jc w:val="right"/>
              <w:ind w:right="773"/>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125,575</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Restricted cash included in other long-term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125,575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0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12,963</w:t>
            </w:r>
          </w:p>
        </w:tc>
        <w:tc>
          <w:tcPr>
            <w:tcW w:w="160" w:type="dxa"/>
            <w:vAlign w:val="bottom"/>
          </w:tcPr>
          <w:p>
            <w:pPr>
              <w:spacing w:after="0"/>
              <w:rPr>
                <w:sz w:val="23"/>
                <w:szCs w:val="23"/>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16,245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300" w:type="dxa"/>
            <w:vAlign w:val="bottom"/>
          </w:tcPr>
          <w:p>
            <w:pPr>
              <w:spacing w:after="0"/>
              <w:rPr>
                <w:sz w:val="23"/>
                <w:szCs w:val="23"/>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7,760</w:t>
            </w:r>
          </w:p>
        </w:tc>
        <w:tc>
          <w:tcPr>
            <w:tcW w:w="160" w:type="dxa"/>
            <w:vAlign w:val="bottom"/>
          </w:tcPr>
          <w:p>
            <w:pPr>
              <w:spacing w:after="0"/>
              <w:rPr>
                <w:sz w:val="23"/>
                <w:szCs w:val="23"/>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Repayments of debt with proceeds from sale-leaseback transactions</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2018.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2019, and its results of operations for the three and six months ended June 30, 2019 and 2018 and cash flows for the six months ended June 30, 2019 and 2018 have been included.</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Company adopted Accounting Standard Update No. 2016-02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subsequently issued other Accounting Standard Updates related to the Accounting Standards Codification Topic 842 (collectively, “ASC 842”) on January 1, 2019. The Financial Accounting Standards Board (“FASB”) issued ASC 842 to increase the transparency and comparability among organizations by recognizing lease assets and lease liabilities on the balance sheet and disclosing key information about leasing arrangements. The Company adopted ASC 842 using the package of practical expedients that allowed entities to retain the classification of lease contracts existing as of the date of adoption. Additionally, the Company has elected to combine lease and non-lease components, such as common area maintenance costs, in calculating the operating lease assets and operating lease liabilities for all asset groups except for the Company’s dredges. Further, the Company adopted ASC 842 using the transition method under which entities initially applied ASC 842 at the adoption date and recognized a cumulative-effect adjustment to the opening balance of retained earnings in the period of adoption. Under this method, the comparative periods presented in the financial statements prior to the adoption date were not adjusted to apply ASC 842. Upon the adoption of ASC 842, the Company recorded a cumulative net adjustment of $2,802 to the beginning retained earnings balance.</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one operating segment which is also the Company’s reportable segment and reporting unit of which the Company tests goodwill for impairment. During the second quarter of 2019, the Company entered into an agreement and completed the sale of the historical environmental &amp; infrastructure business. The historical environmental &amp; infrastructure segment has been retrospectively presented as discontinued operations and is no longer reflected in continuing operations. The Company performed its most recent annual test of impairment as of July 1, 2018 with no indication of impairment as of the test date. The Company will perform its next scheduled annual test of goodwill in the third quarter of 2019.</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January 2017, the FASB issued Accounting Standard Update No. 2017-04 (“ASU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The amendment removes the requirement to compare the implied fair value of goodwill with its carrying amount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9" w:name="page10"/>
    <w:bookmarkEnd w:id="9"/>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diluted</w:t>
            </w:r>
          </w:p>
        </w:tc>
        <w:tc>
          <w:tcPr>
            <w:tcW w:w="6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from continuing operations — basic</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Earnings (loss) per share from continuing operations — diluted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2018, the following amounts of stock options (“NQSO”) and restricted stock units (“RSU”) were excluded from the diluted weighted-average common shares outstanding as the Company incurred a loss during the period:</w:t>
      </w:r>
    </w:p>
    <w:p>
      <w:pPr>
        <w:spacing w:after="0" w:line="243"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78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4"/>
                <w:szCs w:val="14"/>
                <w:color w:val="auto"/>
              </w:rPr>
            </w:pPr>
          </w:p>
        </w:tc>
      </w:tr>
      <w:tr>
        <w:trPr>
          <w:trHeight w:val="210"/>
        </w:trPr>
        <w:tc>
          <w:tcPr>
            <w:tcW w:w="47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34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8"/>
                <w:szCs w:val="18"/>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For the three and six months ended June 30, 2019 and 2018 the following amounts of NQSOs and RSUs were excluded from the calculation of diluted earnings per share based on the application of the treasury stock method, as such NQSOs and RSUs were determined to be anti-dilutive:</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leases certain operating equipment and office facilities.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Lease cost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lease costs are recorded in cost of contract revenues and general and administrative expenses. For the three and six months ended June 30, 2019, lease costs are as follows:</w:t>
      </w:r>
    </w:p>
    <w:p>
      <w:pPr>
        <w:spacing w:after="0" w:line="243" w:lineRule="exact"/>
        <w:rPr>
          <w:sz w:val="20"/>
          <w:szCs w:val="20"/>
          <w:color w:val="auto"/>
        </w:rPr>
      </w:pPr>
    </w:p>
    <w:tbl>
      <w:tblPr>
        <w:tblLayout w:type="fixed"/>
        <w:tblInd w:w="274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1920" w:type="dxa"/>
            <w:vAlign w:val="bottom"/>
            <w:vMerge w:val="restart"/>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23"/>
        </w:trPr>
        <w:tc>
          <w:tcPr>
            <w:tcW w:w="1920" w:type="dxa"/>
            <w:vAlign w:val="bottom"/>
            <w:vMerge w:val="continue"/>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maturity analysis of its operating lease liabilities, recorded on the balance sheet, as of June 30, 2019 is as follows:</w:t>
      </w:r>
    </w:p>
    <w:p>
      <w:pPr>
        <w:spacing w:after="0" w:line="200" w:lineRule="exact"/>
        <w:rPr>
          <w:sz w:val="20"/>
          <w:szCs w:val="20"/>
          <w:color w:val="auto"/>
        </w:rPr>
      </w:pPr>
    </w:p>
    <w:p>
      <w:pPr>
        <w:spacing w:after="0" w:line="268"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4520" w:type="dxa"/>
            <w:vAlign w:val="bottom"/>
          </w:tcPr>
          <w:p>
            <w:pPr>
              <w:jc w:val="right"/>
              <w:ind w:right="3990"/>
              <w:spacing w:after="0"/>
              <w:rPr>
                <w:sz w:val="20"/>
                <w:szCs w:val="20"/>
                <w:color w:val="auto"/>
              </w:rPr>
            </w:pPr>
            <w:r>
              <w:rPr>
                <w:rFonts w:ascii="Arial" w:cs="Arial" w:eastAsia="Arial" w:hAnsi="Arial"/>
                <w:sz w:val="18"/>
                <w:szCs w:val="18"/>
                <w:color w:val="auto"/>
              </w:rPr>
              <w:t>2019</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12,630</w:t>
            </w:r>
          </w:p>
        </w:tc>
        <w:tc>
          <w:tcPr>
            <w:tcW w:w="60" w:type="dxa"/>
            <w:vAlign w:val="bottom"/>
          </w:tcPr>
          <w:p>
            <w:pPr>
              <w:spacing w:after="0"/>
              <w:rPr>
                <w:sz w:val="20"/>
                <w:szCs w:val="20"/>
                <w:color w:val="auto"/>
              </w:rPr>
            </w:pPr>
          </w:p>
        </w:tc>
      </w:tr>
      <w:tr>
        <w:trPr>
          <w:trHeight w:val="230"/>
        </w:trPr>
        <w:tc>
          <w:tcPr>
            <w:tcW w:w="4520" w:type="dxa"/>
            <w:vAlign w:val="bottom"/>
            <w:shd w:val="clear" w:color="auto" w:fill="CFF0FC"/>
          </w:tcPr>
          <w:p>
            <w:pPr>
              <w:jc w:val="right"/>
              <w:ind w:right="399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jc w:val="right"/>
              <w:ind w:right="399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18,737</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jc w:val="right"/>
              <w:ind w:right="399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13,290</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Pr>
          <w:p>
            <w:pPr>
              <w:jc w:val="right"/>
              <w:ind w:right="399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8,613</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9,046</w:t>
            </w:r>
          </w:p>
        </w:tc>
        <w:tc>
          <w:tcPr>
            <w:tcW w:w="60" w:type="dxa"/>
            <w:vAlign w:val="bottom"/>
            <w:shd w:val="clear" w:color="auto" w:fill="CFF0FC"/>
          </w:tcPr>
          <w:p>
            <w:pPr>
              <w:spacing w:after="0"/>
              <w:rPr>
                <w:sz w:val="19"/>
                <w:szCs w:val="19"/>
                <w:color w:val="auto"/>
              </w:rPr>
            </w:pPr>
          </w:p>
        </w:tc>
      </w:tr>
      <w:tr>
        <w:trPr>
          <w:trHeight w:val="223"/>
        </w:trPr>
        <w:tc>
          <w:tcPr>
            <w:tcW w:w="4520" w:type="dxa"/>
            <w:vAlign w:val="bottom"/>
          </w:tcPr>
          <w:p>
            <w:pPr>
              <w:jc w:val="right"/>
              <w:ind w:right="2450"/>
              <w:spacing w:after="0"/>
              <w:rPr>
                <w:sz w:val="20"/>
                <w:szCs w:val="20"/>
                <w:color w:val="auto"/>
              </w:rPr>
            </w:pPr>
            <w:r>
              <w:rPr>
                <w:rFonts w:ascii="Arial" w:cs="Arial" w:eastAsia="Arial" w:hAnsi="Arial"/>
                <w:sz w:val="18"/>
                <w:szCs w:val="18"/>
                <w:color w:val="auto"/>
                <w:w w:val="96"/>
              </w:rPr>
              <w:t>Minimum lease payments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85,199</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Imputed interest</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10,564</w:t>
            </w:r>
          </w:p>
        </w:tc>
        <w:tc>
          <w:tcPr>
            <w:tcW w:w="6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Present value of minimum operating lease payments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74,635</w:t>
            </w:r>
          </w:p>
        </w:tc>
        <w:tc>
          <w:tcPr>
            <w:tcW w:w="6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2"/>
          </w:tcPr>
          <w:p>
            <w:pPr>
              <w:jc w:val="right"/>
              <w:ind w:right="1170"/>
              <w:spacing w:after="0"/>
              <w:rPr>
                <w:sz w:val="20"/>
                <w:szCs w:val="20"/>
                <w:color w:val="auto"/>
              </w:rPr>
            </w:pPr>
            <w:r>
              <w:rPr>
                <w:rFonts w:ascii="Arial" w:cs="Arial" w:eastAsia="Arial" w:hAnsi="Arial"/>
                <w:sz w:val="18"/>
                <w:szCs w:val="18"/>
                <w:color w:val="auto"/>
                <w:w w:val="90"/>
              </w:rPr>
              <w:t>Future minimum operating lease payments at December 31, 2018, were as follows: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vMerge w:val="continue"/>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040" w:type="dxa"/>
            <w:vAlign w:val="bottom"/>
          </w:tcPr>
          <w:p>
            <w:pPr>
              <w:jc w:val="right"/>
              <w:ind w:right="35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040" w:type="dxa"/>
            <w:vAlign w:val="bottom"/>
          </w:tcPr>
          <w:p>
            <w:pPr>
              <w:jc w:val="right"/>
              <w:ind w:right="351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040" w:type="dxa"/>
            <w:vAlign w:val="bottom"/>
            <w:tcBorders>
              <w:bottom w:val="single" w:sz="8" w:color="CFF0FC"/>
            </w:tcBorders>
          </w:tcPr>
          <w:p>
            <w:pPr>
              <w:jc w:val="right"/>
              <w:ind w:right="3190"/>
              <w:spacing w:after="0"/>
              <w:rPr>
                <w:sz w:val="20"/>
                <w:szCs w:val="20"/>
                <w:color w:val="auto"/>
              </w:rPr>
            </w:pPr>
            <w:r>
              <w:rPr>
                <w:rFonts w:ascii="Arial" w:cs="Arial" w:eastAsia="Arial" w:hAnsi="Arial"/>
                <w:sz w:val="18"/>
                <w:szCs w:val="18"/>
                <w:color w:val="auto"/>
                <w:w w:val="89"/>
              </w:rPr>
              <w:t>Thereafter</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jc w:val="right"/>
              <w:ind w:right="850"/>
              <w:spacing w:after="0"/>
              <w:rPr>
                <w:sz w:val="20"/>
                <w:szCs w:val="20"/>
                <w:color w:val="auto"/>
              </w:rPr>
            </w:pPr>
            <w:r>
              <w:rPr>
                <w:rFonts w:ascii="Arial" w:cs="Arial" w:eastAsia="Arial" w:hAnsi="Arial"/>
                <w:sz w:val="18"/>
                <w:szCs w:val="18"/>
                <w:color w:val="auto"/>
                <w:w w:val="93"/>
              </w:rPr>
              <w:t>Total minimum operating lease payments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98,623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As most of the Company’s leases do not provide an implicit rate, the Company used our incremental borrowing rate based on the information available at commencement date in determining the present value of lease payments. At the date of adoption, the Company used the incremental borrowing rate as of December 31, 2018, for operating leases that commenced prior to that date.</w:t>
      </w:r>
    </w:p>
    <w:p>
      <w:pPr>
        <w:spacing w:after="0"/>
        <w:rPr>
          <w:sz w:val="20"/>
          <w:szCs w:val="20"/>
          <w:color w:val="auto"/>
        </w:rPr>
      </w:pPr>
      <w:r>
        <w:rPr>
          <w:rFonts w:ascii="Arial" w:cs="Arial" w:eastAsia="Arial" w:hAnsi="Arial"/>
          <w:sz w:val="18"/>
          <w:szCs w:val="18"/>
          <w:color w:val="auto"/>
        </w:rPr>
        <w:t>Additional information related to the Company’s leases as of June 30, 2019 is as follows:</w:t>
      </w:r>
    </w:p>
    <w:p>
      <w:pPr>
        <w:spacing w:after="0" w:line="284" w:lineRule="exact"/>
        <w:rPr>
          <w:sz w:val="20"/>
          <w:szCs w:val="20"/>
          <w:color w:val="auto"/>
        </w:rPr>
      </w:pPr>
    </w:p>
    <w:tbl>
      <w:tblPr>
        <w:tblLayout w:type="fixed"/>
        <w:tblInd w:w="30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years</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during the three and six months ended June 30,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2180" w:type="dxa"/>
            <w:vAlign w:val="bottom"/>
          </w:tcPr>
          <w:p>
            <w:pPr>
              <w:spacing w:after="0"/>
              <w:rPr>
                <w:sz w:val="14"/>
                <w:szCs w:val="14"/>
                <w:color w:val="auto"/>
              </w:rPr>
            </w:pPr>
          </w:p>
        </w:tc>
      </w:tr>
      <w:tr>
        <w:trPr>
          <w:trHeight w:val="171"/>
        </w:trPr>
        <w:tc>
          <w:tcPr>
            <w:tcW w:w="2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2180" w:type="dxa"/>
            <w:vAlign w:val="bottom"/>
          </w:tcPr>
          <w:p>
            <w:pPr>
              <w:spacing w:after="0"/>
              <w:rPr>
                <w:sz w:val="14"/>
                <w:szCs w:val="14"/>
                <w:color w:val="auto"/>
              </w:rPr>
            </w:pPr>
          </w:p>
        </w:tc>
      </w:tr>
      <w:tr>
        <w:trPr>
          <w:trHeight w:val="223"/>
        </w:trPr>
        <w:tc>
          <w:tcPr>
            <w:tcW w:w="218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80" w:type="dxa"/>
            <w:vAlign w:val="bottom"/>
            <w:tcBorders>
              <w:top w:val="single" w:sz="8" w:color="CFF0FC"/>
            </w:tcBorders>
            <w:shd w:val="clear" w:color="auto" w:fill="CFF0FC"/>
          </w:tcPr>
          <w:p>
            <w:pPr>
              <w:spacing w:after="0"/>
              <w:rPr>
                <w:sz w:val="19"/>
                <w:szCs w:val="19"/>
                <w:color w:val="auto"/>
              </w:rPr>
            </w:pPr>
          </w:p>
        </w:tc>
        <w:tc>
          <w:tcPr>
            <w:tcW w:w="2180" w:type="dxa"/>
            <w:vAlign w:val="bottom"/>
          </w:tcPr>
          <w:p>
            <w:pPr>
              <w:spacing w:after="0"/>
              <w:rPr>
                <w:sz w:val="19"/>
                <w:szCs w:val="19"/>
                <w:color w:val="auto"/>
              </w:rPr>
            </w:pPr>
          </w:p>
        </w:tc>
      </w:tr>
      <w:tr>
        <w:trPr>
          <w:trHeight w:val="215"/>
        </w:trPr>
        <w:tc>
          <w:tcPr>
            <w:tcW w:w="21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5"/>
              </w:rPr>
              <w:t>Operating lease liabilities arising from obtaining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5820" w:type="dxa"/>
            <w:vAlign w:val="bottom"/>
            <w:gridSpan w:val="2"/>
          </w:tcPr>
          <w:p>
            <w:pPr>
              <w:ind w:left="2180"/>
              <w:spacing w:after="0"/>
              <w:rPr>
                <w:sz w:val="20"/>
                <w:szCs w:val="20"/>
                <w:color w:val="auto"/>
              </w:rPr>
            </w:pPr>
            <w:r>
              <w:rPr>
                <w:rFonts w:ascii="Arial" w:cs="Arial" w:eastAsia="Arial" w:hAnsi="Arial"/>
                <w:sz w:val="18"/>
                <w:szCs w:val="18"/>
                <w:color w:val="auto"/>
              </w:rPr>
              <w:t>new operating lease assets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648"/>
        </w:trPr>
        <w:tc>
          <w:tcPr>
            <w:tcW w:w="5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 w:name="page12"/>
    <w:bookmarkEnd w:id="11"/>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2019 and December 31, 2018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15,303</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Credit agreement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May 3, 2019, the Company, Great Lakes Dredge &amp; Dock Company, LLC, NASDI Holdings, LLC, Great Lakes Dredge &amp; Dock Environmental, Inc., Great Lakes Environmental &amp; Infrastructure Solutions, LLC, Great Lakes U.S. Fleet Management, LLC, and Drews Services LLC (collectively, the “Credit Parties”) entered into an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Suntrust Robinson Humphrey, Inc. and Bank of America, N.A., as Joint Lead Arrangers and Joint Bookrunners, and HSBC USA, N.A., as Documentation Agent. The Amended Credit Agreement amends and restates the prior Revolving Credit and Security Agreement dated as of December 30, 2016 (as amended, the “Prior Credit Agreement”)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Amended Credit Agreement provides for a senior secured revolving credit facility in an aggregate principal amount of up to $200,000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and for other general corporate purposes. The Amended Credit Agreement matures on May 3, 2024; provided that the maturity date shall be accelerated to the date that is ninety-one days prior to the scheduled maturity date of the Company’s unsecured senior notes if the Company fails to refinance its unsecured senior notes prior to their scheduled maturity date. The refinanced notes must have a maturity on or after the date that is 180 days after the maturity date of the Amended Credit Agreement.</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78" w:right="299" w:bottom="1440" w:gutter="0" w:footer="0" w:header="0"/>
        </w:sectPr>
      </w:pPr>
    </w:p>
    <w:bookmarkStart w:id="12" w:name="page13"/>
    <w:bookmarkEnd w:id="12"/>
    <w:p>
      <w:pPr>
        <w:ind w:right="500"/>
        <w:spacing w:after="0" w:line="277" w:lineRule="auto"/>
        <w:rPr>
          <w:sz w:val="20"/>
          <w:szCs w:val="20"/>
          <w:color w:val="auto"/>
        </w:rPr>
      </w:pPr>
      <w:r>
        <w:rPr>
          <w:rFonts w:ascii="Arial" w:cs="Arial" w:eastAsia="Arial" w:hAnsi="Arial"/>
          <w:sz w:val="18"/>
          <w:szCs w:val="18"/>
          <w:color w:val="auto"/>
        </w:rPr>
        <w:t>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70"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LIBOR option, at the Company’s election. As of the Closing Date, (a) the Domestic Rate option is the highest of (1) the base commercial lending rate of PNC Bank, National Association, as publically announced, (2) the sum of the federal funds open rate plus 0.5% and (3) the sum of the daily LIBOR rate plus 1.0%, so long as a daily LIBOR rate is offered, ascertainable and not unlawful plus an interest margin of 0.5%; and (b) the LIBOR Rate option is the rate that applies for the applicable interest period on the Bloomberg page BBAMI (or such other substitute page or alternate source as agreed) plus an interest margin of 1.5%. After the date on which a borrowing base certificate is required to be delivered under Section 9.2 of the Amended Credit Agreement (commencing with the fiscal quarter ending September 30, 2019, the “Adjustment Date”), the Domestic Rate option will be the Domestic Rate plus an interest margin ranging between</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0.5% and 1.0% and the LIBOR Rate option will be the LIBOR Rate plus an interest margin ranging between 1.5% and 2.0%, in each case, depending on the quarterly average undrawn availability on the Amended Credit Agreement.</w:t>
      </w:r>
    </w:p>
    <w:p>
      <w:pPr>
        <w:spacing w:after="0" w:line="211"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As of June 30, 2019, the Company had no borrowings on the revolver, $36,747 of letters of credit outstanding and $162,761 of availability under the Amended Credit Agreement. The availability under the Amended Credit Agreement is suppressed by $492 as of June 30, 2019 as a result of certain limitations set forth in the Amended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2017, the Company issued $325,000 of 8.000% senior notes (“8% Senior Notes”) due May 15, 2022. The interest is paid semi-annually.</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218"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At June 30,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Fuel hedge contracts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12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43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040" w:type="dxa"/>
            <w:vAlign w:val="bottom"/>
            <w:vMerge w:val="restart"/>
          </w:tcPr>
          <w:p>
            <w:pPr>
              <w:jc w:val="center"/>
              <w:ind w:left="147"/>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At December 31, 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24"/>
                <w:szCs w:val="24"/>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2019, the Company was party to various swap arrangements to hedge the price of a portion of its diesel fuel purchase requirements for work in its backlog to be performed through June 2020. As of June 30, 2019, there were 8.5 million gallons remaining on these contracts which represent approximately 80% of the Company’s forecasted domestic fuel purchases through June 2020. Under these swap agreements, the Company will pay fixed prices ranging from $1.86 to $2.34 per gallon.</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At June 30, 2019 and December 31, 2018, the fair value liabilities of the fuel hedge contracts were estimated to be $678 and $4,710, respectively, and are recorded in accrued expenses. For fuel hedge contracts considered to be highly effective, the losses reclassified to earnings from changes in fair value of derivatives, net of cash settlements and taxes, for the six months ended June 30, 2019 were $1,186. The remaining gains and losses included in accumulated other comprehensive loss at June 30, 2019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2019 and December 31,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restart"/>
          </w:tcPr>
          <w:p>
            <w:pPr>
              <w:ind w:left="1140"/>
              <w:spacing w:after="0"/>
              <w:rPr>
                <w:sz w:val="20"/>
                <w:szCs w:val="20"/>
                <w:color w:val="auto"/>
              </w:rPr>
            </w:pPr>
            <w:r>
              <w:rPr>
                <w:rFonts w:ascii="Arial" w:cs="Arial" w:eastAsia="Arial" w:hAnsi="Arial"/>
                <w:sz w:val="18"/>
                <w:szCs w:val="18"/>
                <w:color w:val="auto"/>
              </w:rPr>
              <w:t>Liability derivatives:</w:t>
            </w:r>
          </w:p>
        </w:tc>
        <w:tc>
          <w:tcPr>
            <w:tcW w:w="2520" w:type="dxa"/>
            <w:vAlign w:val="bottom"/>
            <w:gridSpan w:val="2"/>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Derivatives designated as hedging</w:t>
            </w:r>
          </w:p>
        </w:tc>
        <w:tc>
          <w:tcPr>
            <w:tcW w:w="4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instruments</w:t>
            </w:r>
          </w:p>
        </w:tc>
        <w:tc>
          <w:tcPr>
            <w:tcW w:w="48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rPr>
              <w:t>Fuel hedge contracts</w:t>
            </w: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Accrued expenses</w:t>
            </w:r>
          </w:p>
        </w:tc>
        <w:tc>
          <w:tcPr>
            <w:tcW w:w="124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w w:val="86"/>
              </w:rPr>
              <w:t>678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2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translation adjustments—net of tax</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Reclassification of derivative (gains) losses to earnings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4"/>
              </w:rPr>
              <w:t>(1,037)</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(1,769)</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flow derivative hedges—net of tax</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1900" w:type="dxa"/>
            <w:vAlign w:val="bottom"/>
          </w:tcPr>
          <w:p>
            <w:pPr>
              <w:spacing w:after="0"/>
              <w:rPr>
                <w:sz w:val="18"/>
                <w:szCs w:val="18"/>
                <w:color w:val="auto"/>
              </w:rPr>
            </w:pPr>
          </w:p>
        </w:tc>
        <w:tc>
          <w:tcPr>
            <w:tcW w:w="2720" w:type="dxa"/>
            <w:vAlign w:val="bottom"/>
            <w:gridSpan w:val="3"/>
          </w:tcPr>
          <w:p>
            <w:pPr>
              <w:ind w:left="180"/>
              <w:spacing w:after="0"/>
              <w:rPr>
                <w:sz w:val="20"/>
                <w:szCs w:val="20"/>
                <w:color w:val="auto"/>
              </w:rPr>
            </w:pPr>
            <w:r>
              <w:rPr>
                <w:rFonts w:ascii="Arial" w:cs="Arial" w:eastAsia="Arial" w:hAnsi="Arial"/>
                <w:sz w:val="14"/>
                <w:szCs w:val="14"/>
                <w:b w:val="1"/>
                <w:bCs w:val="1"/>
                <w:color w:val="auto"/>
              </w:rPr>
              <w:t>Statement of Operations Location</w:t>
            </w:r>
          </w:p>
        </w:tc>
        <w:tc>
          <w:tcPr>
            <w:tcW w:w="30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18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900" w:type="dxa"/>
            <w:vAlign w:val="bottom"/>
          </w:tcPr>
          <w:p>
            <w:pPr>
              <w:ind w:left="260"/>
              <w:spacing w:after="0"/>
              <w:rPr>
                <w:sz w:val="20"/>
                <w:szCs w:val="20"/>
                <w:color w:val="auto"/>
              </w:rPr>
            </w:pPr>
            <w:r>
              <w:rPr>
                <w:rFonts w:ascii="Arial" w:cs="Arial" w:eastAsia="Arial" w:hAnsi="Arial"/>
                <w:sz w:val="18"/>
                <w:szCs w:val="18"/>
                <w:color w:val="auto"/>
                <w:w w:val="96"/>
              </w:rPr>
              <w:t>Fuel hedge contracts</w:t>
            </w:r>
          </w:p>
        </w:tc>
        <w:tc>
          <w:tcPr>
            <w:tcW w:w="2720" w:type="dxa"/>
            <w:vAlign w:val="bottom"/>
            <w:gridSpan w:val="3"/>
          </w:tcPr>
          <w:p>
            <w:pPr>
              <w:ind w:left="180"/>
              <w:spacing w:after="0"/>
              <w:rPr>
                <w:sz w:val="20"/>
                <w:szCs w:val="20"/>
                <w:color w:val="auto"/>
              </w:rPr>
            </w:pPr>
            <w:r>
              <w:rPr>
                <w:rFonts w:ascii="Arial" w:cs="Arial" w:eastAsia="Arial" w:hAnsi="Arial"/>
                <w:sz w:val="18"/>
                <w:szCs w:val="18"/>
                <w:color w:val="auto"/>
              </w:rPr>
              <w:t>Costs of contract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20"/>
              <w:spacing w:after="0"/>
              <w:rPr>
                <w:sz w:val="20"/>
                <w:szCs w:val="20"/>
                <w:color w:val="auto"/>
              </w:rPr>
            </w:pPr>
            <w:r>
              <w:rPr>
                <w:rFonts w:ascii="Arial" w:cs="Arial" w:eastAsia="Arial" w:hAnsi="Arial"/>
                <w:sz w:val="18"/>
                <w:szCs w:val="18"/>
                <w:color w:val="auto"/>
                <w:w w:val="86"/>
              </w:rPr>
              <w:t>399</w:t>
            </w:r>
          </w:p>
        </w:tc>
        <w:tc>
          <w:tcPr>
            <w:tcW w:w="1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(1,404)</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(2,396)</w:t>
            </w:r>
          </w:p>
        </w:tc>
      </w:tr>
      <w:tr>
        <w:trPr>
          <w:trHeight w:val="230"/>
        </w:trPr>
        <w:tc>
          <w:tcPr>
            <w:tcW w:w="1900" w:type="dxa"/>
            <w:vAlign w:val="bottom"/>
            <w:shd w:val="clear" w:color="auto" w:fill="CFF0FC"/>
          </w:tcPr>
          <w:p>
            <w:pPr>
              <w:spacing w:after="0"/>
              <w:rPr>
                <w:sz w:val="19"/>
                <w:szCs w:val="19"/>
                <w:color w:val="auto"/>
              </w:rPr>
            </w:pPr>
          </w:p>
        </w:tc>
        <w:tc>
          <w:tcPr>
            <w:tcW w:w="27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6"/>
              </w:rPr>
              <w:t>104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(627)</w:t>
            </w:r>
          </w:p>
        </w:tc>
      </w:tr>
      <w:tr>
        <w:trPr>
          <w:trHeight w:val="223"/>
        </w:trPr>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6"/>
              </w:rPr>
              <w:t>295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r>
      <w:tr>
        <w:trPr>
          <w:trHeight w:val="20"/>
        </w:trPr>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of 2018, the Company substantially completed the closeout of its Brazil operations. This liquidation resulted in the reversal of the Company’s cumulative translation adjustment. Adjustments reclassified from accumulated balances of other comprehensive income (loss) to earnings are as follows:</w:t>
      </w:r>
    </w:p>
    <w:p>
      <w:pPr>
        <w:spacing w:after="0" w:line="254"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15"/>
        </w:trPr>
        <w:tc>
          <w:tcPr>
            <w:tcW w:w="2940" w:type="dxa"/>
            <w:vAlign w:val="bottom"/>
            <w:vMerge w:val="restart"/>
          </w:tcPr>
          <w:p>
            <w:pPr>
              <w:spacing w:after="0"/>
              <w:rPr>
                <w:sz w:val="20"/>
                <w:szCs w:val="20"/>
                <w:color w:val="auto"/>
              </w:rPr>
            </w:pPr>
            <w:r>
              <w:rPr>
                <w:rFonts w:ascii="Arial" w:cs="Arial" w:eastAsia="Arial" w:hAnsi="Arial"/>
                <w:sz w:val="18"/>
                <w:szCs w:val="18"/>
                <w:color w:val="auto"/>
              </w:rPr>
              <w:t>Cumulative translation adjustment:</w:t>
            </w:r>
          </w:p>
        </w:tc>
        <w:tc>
          <w:tcPr>
            <w:tcW w:w="3540" w:type="dxa"/>
            <w:vAlign w:val="bottom"/>
            <w:gridSpan w:val="3"/>
          </w:tcPr>
          <w:p>
            <w:pPr>
              <w:ind w:left="40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19"/>
                <w:szCs w:val="19"/>
                <w:color w:val="auto"/>
              </w:rPr>
            </w:pPr>
          </w:p>
        </w:tc>
        <w:tc>
          <w:tcPr>
            <w:tcW w:w="3540" w:type="dxa"/>
            <w:vAlign w:val="bottom"/>
            <w:gridSpan w:val="3"/>
            <w:shd w:val="clear" w:color="auto" w:fill="CFF0FC"/>
          </w:tcPr>
          <w:p>
            <w:pPr>
              <w:ind w:left="40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June 30, 2019 (see Note 5, Long-term debt). The 8% Senior Notes are senior unsecured obligations of the Company and its subsidiaries that guarantee the 8% Senior Notes. The fair value of the senior notes was $344,110 at June 30, 2019,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74"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98" w:right="339" w:bottom="1440" w:gutter="0" w:footer="0" w:header="0"/>
        </w:sectPr>
      </w:pPr>
    </w:p>
    <w:bookmarkStart w:id="15" w:name="page16"/>
    <w:bookmarkEnd w:id="15"/>
    <w:p>
      <w:pPr>
        <w:ind w:right="240"/>
        <w:spacing w:after="0" w:line="279" w:lineRule="auto"/>
        <w:rPr>
          <w:sz w:val="20"/>
          <w:szCs w:val="20"/>
          <w:color w:val="auto"/>
        </w:rPr>
      </w:pPr>
      <w:r>
        <w:rPr>
          <w:rFonts w:ascii="Arial" w:cs="Arial" w:eastAsia="Arial" w:hAnsi="Arial"/>
          <w:sz w:val="17"/>
          <w:szCs w:val="17"/>
          <w:color w:val="auto"/>
        </w:rPr>
        <w:t>During the six months ended June 30, 2019, the Company granted 542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$1,619 and $1,135 for the three months ended June 30, 2019 and 2018, respectively, and $3,619 and $1,986 for the six months ended June 30, 2019 and 2018 respectively.</w:t>
      </w:r>
    </w:p>
    <w:p>
      <w:pPr>
        <w:spacing w:after="0" w:line="16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June 30, 2019, the Company had $498,089 of remaining performance obligations, which the Company refers to as total backlog. Approximately 64% of the Company’s backlog will be completed in 2019 with the remaining balance expected to be completed by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Domestically, our work generally is performed in coastal waterways and deep water ports. The U.S. dredging market consists of four primary types of 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coastal protection, maintenance and rivers &amp; lakes. Foreign projects typically involve capital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8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9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59,406</w:t>
            </w:r>
          </w:p>
        </w:tc>
        <w:tc>
          <w:tcPr>
            <w:tcW w:w="4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69,651</w:t>
            </w:r>
          </w:p>
        </w:tc>
        <w:tc>
          <w:tcPr>
            <w:tcW w:w="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18,640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26,969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91,938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19,077</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59,837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18,382</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46,554</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Total revenues</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184,811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135,270</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377,448</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27"/>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6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9"/>
                <w:szCs w:val="19"/>
                <w:color w:val="auto"/>
              </w:rPr>
            </w:pPr>
          </w:p>
        </w:tc>
      </w:tr>
      <w:tr>
        <w:trPr>
          <w:trHeight w:val="223"/>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62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126,804</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92,913</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296,959</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169,607</w:t>
            </w:r>
          </w:p>
        </w:tc>
        <w:tc>
          <w:tcPr>
            <w:tcW w:w="60" w:type="dxa"/>
            <w:vAlign w:val="bottom"/>
          </w:tcPr>
          <w:p>
            <w:pPr>
              <w:spacing w:after="0"/>
              <w:rPr>
                <w:sz w:val="19"/>
                <w:szCs w:val="19"/>
                <w:color w:val="auto"/>
              </w:rPr>
            </w:pPr>
          </w:p>
        </w:tc>
      </w:tr>
      <w:tr>
        <w:trPr>
          <w:trHeight w:val="230"/>
        </w:trPr>
        <w:tc>
          <w:tcPr>
            <w:tcW w:w="2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23,346</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69,971</w:t>
            </w:r>
          </w:p>
        </w:tc>
        <w:tc>
          <w:tcPr>
            <w:tcW w:w="60" w:type="dxa"/>
            <w:vAlign w:val="bottom"/>
            <w:shd w:val="clear" w:color="auto" w:fill="CFF0FC"/>
          </w:tcPr>
          <w:p>
            <w:pPr>
              <w:spacing w:after="0"/>
              <w:rPr>
                <w:sz w:val="19"/>
                <w:szCs w:val="19"/>
                <w:color w:val="auto"/>
              </w:rPr>
            </w:pPr>
          </w:p>
        </w:tc>
      </w:tr>
      <w:tr>
        <w:trPr>
          <w:trHeight w:val="230"/>
        </w:trPr>
        <w:tc>
          <w:tcPr>
            <w:tcW w:w="2620" w:type="dxa"/>
            <w:vAlign w:val="bottom"/>
          </w:tcPr>
          <w:p>
            <w:pPr>
              <w:ind w:left="240"/>
              <w:spacing w:after="0"/>
              <w:rPr>
                <w:sz w:val="20"/>
                <w:szCs w:val="20"/>
                <w:color w:val="auto"/>
              </w:rPr>
            </w:pPr>
            <w:r>
              <w:rPr>
                <w:rFonts w:ascii="Arial" w:cs="Arial" w:eastAsia="Arial" w:hAnsi="Arial"/>
                <w:sz w:val="18"/>
                <w:szCs w:val="18"/>
                <w:color w:val="auto"/>
              </w:rPr>
              <w:t>Private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20,513</w:t>
            </w:r>
          </w:p>
        </w:tc>
        <w:tc>
          <w:tcPr>
            <w:tcW w:w="60" w:type="dxa"/>
            <w:vAlign w:val="bottom"/>
          </w:tcPr>
          <w:p>
            <w:pPr>
              <w:spacing w:after="0"/>
              <w:rPr>
                <w:sz w:val="19"/>
                <w:szCs w:val="19"/>
                <w:color w:val="auto"/>
              </w:rPr>
            </w:pPr>
          </w:p>
        </w:tc>
      </w:tr>
      <w:tr>
        <w:trPr>
          <w:trHeight w:val="230"/>
        </w:trPr>
        <w:tc>
          <w:tcPr>
            <w:tcW w:w="2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26,969</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60" w:type="dxa"/>
            <w:vAlign w:val="bottom"/>
            <w:shd w:val="clear" w:color="auto" w:fill="CFF0FC"/>
          </w:tcPr>
          <w:p>
            <w:pPr>
              <w:spacing w:after="0"/>
              <w:rPr>
                <w:sz w:val="19"/>
                <w:szCs w:val="19"/>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184,811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135,270</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377,448</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268,893</w:t>
            </w:r>
          </w:p>
        </w:tc>
        <w:tc>
          <w:tcPr>
            <w:tcW w:w="6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June 30, 2019 and December 31, 2018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40" w:type="dxa"/>
            <w:vAlign w:val="bottom"/>
            <w:tcBorders>
              <w:bottom w:val="single" w:sz="8" w:color="CFF0FC"/>
            </w:tcBorders>
          </w:tcPr>
          <w:p>
            <w:pPr>
              <w:spacing w:after="0"/>
              <w:rPr>
                <w:sz w:val="14"/>
                <w:szCs w:val="14"/>
                <w:color w:val="auto"/>
              </w:rPr>
            </w:pPr>
          </w:p>
        </w:tc>
        <w:tc>
          <w:tcPr>
            <w:tcW w:w="2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Contracts in progress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gridSpan w:val="2"/>
          </w:tcPr>
          <w:p>
            <w:pPr>
              <w:ind w:left="1720"/>
              <w:spacing w:after="0"/>
              <w:rPr>
                <w:sz w:val="20"/>
                <w:szCs w:val="20"/>
                <w:color w:val="auto"/>
              </w:rPr>
            </w:pPr>
            <w:r>
              <w:rPr>
                <w:rFonts w:ascii="Arial" w:cs="Arial" w:eastAsia="Arial" w:hAnsi="Arial"/>
                <w:sz w:val="18"/>
                <w:szCs w:val="18"/>
                <w:color w:val="auto"/>
              </w:rPr>
              <w:t>Total accounts receivable—net</w:t>
            </w:r>
          </w:p>
        </w:tc>
        <w:tc>
          <w:tcPr>
            <w:tcW w:w="2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50,767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64,779</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00" w:type="dxa"/>
            <w:vAlign w:val="bottom"/>
            <w:vMerge w:val="restart"/>
          </w:tcPr>
          <w:p>
            <w:pPr>
              <w:jc w:val="right"/>
              <w:ind w:right="127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components of contracts in progress at June 30, 2019 and December 31, 2018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282,443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(258,668)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(416,956)</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23,775</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33,271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31,159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(515,791)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(260,691)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465,181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amounts included in billings in excess of contract revenues balance at the beginning of the year, the Company recognized nearly all of the related revenue during the six months ended June 30, 2019.</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At June 30, 2019 and December 31, 2018, costs to fulfill a contract with a customer recognized as an asset were $10,046 and $13,129, respectively, and are recorded in other current assets and other noncurrent assets. These costs relate to pre-contract and pre-construction activities. During the three and six months ended June 30, 2019 and 2018, the company amortized $2,998 and $5,749 and $3,968 and $6,465, respectively, of pre-construction costs.</w:t>
      </w:r>
    </w:p>
    <w:p>
      <w:pPr>
        <w:spacing w:after="0" w:line="14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Management executed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 cumulative amounts incurred to date for restructuring charges, including amounts presented in discontinued operations, include severance of $3,549, asset retirements of $32,309, pre-contract costs of $6,441 and closeout costs of $4,194. Restructuring activities were substantially completed in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recognized for the above actions for the three and six months ended June 30, 2018 are summarized as follows:</w:t>
      </w:r>
    </w:p>
    <w:p>
      <w:pPr>
        <w:spacing w:after="0" w:line="298" w:lineRule="exact"/>
        <w:rPr>
          <w:sz w:val="20"/>
          <w:szCs w:val="20"/>
          <w:color w:val="auto"/>
        </w:rPr>
      </w:pPr>
    </w:p>
    <w:tbl>
      <w:tblPr>
        <w:tblLayout w:type="fixed"/>
        <w:tblInd w:w="218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Six Months Ended</w:t>
            </w:r>
          </w:p>
        </w:tc>
      </w:tr>
      <w:tr>
        <w:trPr>
          <w:trHeight w:val="215"/>
        </w:trPr>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2018</w:t>
            </w:r>
          </w:p>
        </w:tc>
      </w:tr>
      <w:tr>
        <w:trPr>
          <w:trHeight w:val="223"/>
        </w:trPr>
        <w:tc>
          <w:tcPr>
            <w:tcW w:w="3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revenues—depreciation</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Costs of contract revenues—other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Loss on sale of assets—net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FF0FC"/>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6,808</w:t>
            </w:r>
          </w:p>
        </w:tc>
        <w:tc>
          <w:tcPr>
            <w:tcW w:w="10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had accrued severance expense of $41 and $662 at June 30, 2019 and December 31, 2018, respectively, which are expected to be settled in 2019. Accrued severance is included in accrued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June 30, 2019, the Company had outstanding performance bonds with a notional amount of approximately $1,249,824 of which $41,085 relates to projects from the Company’s historical environmental &amp; infrastructure businesses. The revenue value remaining in backlog related to these projects totaled approximately $442,475.</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our availability under the revolving credit facility, this draw down on our letter of credit did not impact our liquidity or capital availability.</w:t>
      </w:r>
    </w:p>
    <w:p>
      <w:pPr>
        <w:spacing w:after="0" w:line="18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Except as noted below, the Company has not accrued any amounts with respect to the below matters, as the Company does not believe, based on information currently known to it, that a loss relating to these matters is probable, and an estimate of a range of potential losses relating to these matters cannot reasonably be made.</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500"/>
        <w:spacing w:after="0" w:line="277" w:lineRule="auto"/>
        <w:rPr>
          <w:sz w:val="20"/>
          <w:szCs w:val="20"/>
          <w:color w:val="auto"/>
        </w:rPr>
      </w:pPr>
      <w:r>
        <w:rPr>
          <w:rFonts w:ascii="Arial" w:cs="Arial" w:eastAsia="Arial" w:hAnsi="Arial"/>
          <w:sz w:val="18"/>
          <w:szCs w:val="18"/>
          <w:color w:val="auto"/>
        </w:rPr>
        <w:t>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in the process of negotiating a Consent Order with the Florida Department of Environmental Protection regarding alleged impacts to a seagrass habitat in connection with a project in Charlotte County, Florida. The Company estimates the range of potential loss related to this matter as between $200 and $250.</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125 barrels of crude oil in Bay Long, Louisiana. The Company has cooperated with the U.S. Attorney’s Office in its investigation of the oil spill and believes that criminal charges are not warranted.</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September 2018, the EPA Region 4 informed the Company of the EPA’s intent to file an administrative complaint against the Company relating to a project the Company performed at PortMiami from 2013-2015, although no complaint has been filed to date. The EPA is alleging violations of Section 103 of the Marine Protection, Research, and Sanctuaries Act (“MPRSA”) and failure to report violations of the MPRSA. In December 2018, EPA proposed a tolling agreement to provide additional time for EPA to assess the case and possible resolution. EPA and Great Lakes negotiated and executed a tolling agreement that suspended the running of any statute of limitations until May 15, 2019, and then extended that agreement through August 14, 2019. The Company disagrees with the EPA on whether a violation occurred and, if a violation did occur, the appropriate penalty calculation.</w:t>
      </w:r>
    </w:p>
    <w:p>
      <w:pPr>
        <w:spacing w:after="0" w:line="161"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2019, the Company entered into an agreement and completed the sale of the historical environmental &amp; infrastructure business. Under the terms of the agreement, the Company received cash of $17,500. The final purchase price amount is subject to change based on the settlement of the working capital existing at the date of disposition.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historical environmental &amp; infrastructure businesses have been reported in discontinued operations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gridSpan w:val="3"/>
          </w:tcPr>
          <w:p>
            <w:pPr>
              <w:jc w:val="right"/>
              <w:ind w:right="266"/>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15,856</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15,320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25,040</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9"/>
              </w:rPr>
              <w:t>Loss before income taxes from discontinued operations</w:t>
            </w: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(2,044)</w:t>
            </w: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(2,919)</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(6,237)</w:t>
            </w: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Loss on disposal of assets held for sale</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(2,315)</w:t>
            </w:r>
          </w:p>
        </w:tc>
        <w:tc>
          <w:tcPr>
            <w:tcW w:w="8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(2,630)</w:t>
            </w:r>
          </w:p>
        </w:tc>
        <w:tc>
          <w:tcPr>
            <w:tcW w:w="5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4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2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(3,251)</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(2,155)</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(6,631)</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major classes of assets and liabilities of businesses reported as discontinued operations are shown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gridSpan w:val="2"/>
            <w:vMerge w:val="restart"/>
          </w:tcPr>
          <w:p>
            <w:pPr>
              <w:ind w:left="2180"/>
              <w:spacing w:after="0"/>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December 31, 2018</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158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Contract revenues in excess of billings</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3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16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tcBorders>
              <w:bottom w:val="single" w:sz="8" w:color="CFF0FC"/>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180" w:type="dxa"/>
            <w:vAlign w:val="bottom"/>
            <w:vMerge w:val="restart"/>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assets—net</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Reserve for loss on disposal</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(14,110)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Assets held for sale—noncurrent</w:t>
            </w:r>
          </w:p>
        </w:tc>
        <w:tc>
          <w:tcPr>
            <w:tcW w:w="1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180"/>
              <w:spacing w:after="0"/>
              <w:rPr>
                <w:sz w:val="20"/>
                <w:szCs w:val="20"/>
                <w:color w:val="auto"/>
              </w:rPr>
            </w:pPr>
            <w:r>
              <w:rPr>
                <w:rFonts w:ascii="Arial" w:cs="Arial" w:eastAsia="Arial" w:hAnsi="Arial"/>
                <w:sz w:val="18"/>
                <w:szCs w:val="18"/>
                <w:color w:val="auto"/>
              </w:rPr>
              <w:t>Liabilities:</w:t>
            </w:r>
          </w:p>
        </w:tc>
        <w:tc>
          <w:tcPr>
            <w:tcW w:w="1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2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FF0FC"/>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3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Liabilities held for sale</w:t>
            </w:r>
          </w:p>
        </w:tc>
        <w:tc>
          <w:tcPr>
            <w:tcW w:w="116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tcBorders>
              <w:bottom w:val="single" w:sz="8" w:color="CFF0FC"/>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180" w:type="dxa"/>
            <w:vAlign w:val="bottom"/>
            <w:vMerge w:val="restart"/>
          </w:tcPr>
          <w:p>
            <w:pPr>
              <w:spacing w:after="0"/>
              <w:rPr>
                <w:sz w:val="18"/>
                <w:szCs w:val="18"/>
                <w:color w:val="auto"/>
              </w:rPr>
            </w:pPr>
          </w:p>
        </w:tc>
        <w:tc>
          <w:tcPr>
            <w:tcW w:w="3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Liabilities held for sale—noncurrent</w:t>
            </w:r>
          </w:p>
        </w:tc>
        <w:tc>
          <w:tcPr>
            <w:tcW w:w="1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60" w:type="dxa"/>
            <w:vAlign w:val="bottom"/>
            <w:vMerge w:val="restart"/>
          </w:tcPr>
          <w:p>
            <w:pPr>
              <w:jc w:val="right"/>
              <w:ind w:right="61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6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2018, and in other securities filings by Great Lakes with the SEC.</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62%, 50%, 18% and 33%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2019, the Company’s dredging revenues earned from contracts with federal government agencies, including the Corps as well as other federal entities such as the U.S. Coast Guard and the U.S. Navy were approximately 79% of dredging revenues, above the Company’s prior three year average of 68%.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2019, the Company entered into an agreement and completed the sale of its historical environmental &amp; infrastructure business. The historical environmental &amp; infrastructure segment has been retrospectively presented as discontinued operations. Refer to Note 11, Business dispositions,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1" w:name="page22"/>
    <w:bookmarkEnd w:id="21"/>
    <w:p>
      <w:pPr>
        <w:jc w:val="both"/>
        <w:ind w:right="680"/>
        <w:spacing w:after="0" w:line="264" w:lineRule="auto"/>
        <w:rPr>
          <w:sz w:val="20"/>
          <w:szCs w:val="20"/>
          <w:color w:val="auto"/>
        </w:rPr>
      </w:pPr>
      <w:r>
        <w:rPr>
          <w:rFonts w:ascii="Arial" w:cs="Arial" w:eastAsia="Arial" w:hAnsi="Arial"/>
          <w:sz w:val="18"/>
          <w:szCs w:val="18"/>
          <w:color w:val="auto"/>
        </w:rPr>
        <w:t>Company’s vessels dry-dock every two to three years or every five years, depending on the vessel type and also on an as-needed basis for occasional unscheduled repairs. The planned dry docking of certain vessels began during the second quarter of 2019 and will continue to have an impact on the Company’s results into the third and fourth quarters of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from continuing operations, as defined below, as a percentage of contract revenues for the three and six months ended June 30, 2019 and 2018:</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Contract revenues</w:t>
            </w:r>
          </w:p>
        </w:tc>
        <w:tc>
          <w:tcPr>
            <w:tcW w:w="7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7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60" w:type="dxa"/>
            <w:vAlign w:val="bottom"/>
            <w:gridSpan w:val="2"/>
            <w:vMerge w:val="continue"/>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(83.6)</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expense—net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w w:val="94"/>
              </w:rPr>
              <w:t>Income (loss) from continuing operations before</w:t>
            </w: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Loss from discontinued operations, net of</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taxes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25,414</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Adjusted for:</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6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59,406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69,651</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152,150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146,603</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38,121</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79,982</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19,077</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5,142</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257.5%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6,626</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184,811</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377,448</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268,893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N/M = Not meaningful due to magnitude</w:t>
      </w:r>
    </w:p>
    <w:p>
      <w:pPr>
        <w:spacing w:after="0" w:line="20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Total revenue was $184.8 million for the three months ended June 30, 2019, up $49.5 million, or 37%, from $135.3 million for the same period in the prior year. For the three months ended June 30, 2019, the Company experienced increases in revenue from all types of work except domestic capital revenue when compared to the same period in the prior year. For the six months ended June 30, 2019, total revenue was $377.4 million, up from revenue of $268.9 million for the same period in the prior year, representing an increase of $108.5 million or 40%. For the six months ended June 30, 2019, the Company experienced increases in revenue from all types of work when compared to the same period in the prior year.</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June 30, 2019, domestic capital dredging revenue was $59.4 million, down $10.3 million, or 15%, compared to $69.7 million for the same quarter in 2018. For the three months ended June 30, 2019, the change in domestic capital dredging revenue was primarily driven by a greater amount of revenue earned during the same period in the prior year on coastal restoration projects and the deepening projects in Charleston. This decrease was partially offset by a greater amount of revenue earned on deepening projects in Tampa and Jacksonville during the current year period. For the six months ended June 30, 2019, domestic capital dredging revenue was $152.2 million compared to $146.6 million for the same period in 2018, representing an increase of $5.6 million, or 4%. For the six months ended June 30, 2019, the higher domestic capital dredging revenue was primarily driven by revenue earned from deepening projects in Tampa and Jacksonville as well as a greater amount of revenue earned on a deepening project on the Delaware River during the current year as compared to the same period in the prior year. This increase was partially offset by a greater amount of revenue earned on coastal restoration projects and the deepening projects in Charleston and Savannah Harbor during the six months ended June 30, 2018.</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second quarter of 2019, foreign capital revenue was $18.6 million, up $15.3 million, as compared to $3.3 million in the same quarter in the prior year. Foreign capital revenue for the first half of 2019 was $27.0 million which is $18.2 million, or 207%, higher than revenue of $8.8 million for the same period of the prior year. The increase in revenue for the three and six months ended June 30, 2019 was driven by revenue earned on a project in Bahrain that commenced during the first quarter of 2019. During the first quarter of 2018, the Company substantially completed the closeout of its Brazil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Coastal protection projects involve moving sand from the ocean floor to shoreline locations where erosion threatens shoreline assets. Coastal protection revenue for the quarter ended June 30, 2019 was $58.2 million, an increase of $20.1 million, or 53%, compared to $38.1 million in the prior year period. Coastal protection revenue for the six months ended June 30, 2019 was $91.9 million representing an increase of $11.9 million or 15%, from $80.0 million for the first six months of 2018. The increase in coastal protection revenue for the three and six months ended June 30, 2019 was mostly attributable to a greater amount of revenue earned on projects in South Carolina, North Carolina and New York in the current year as compared to the same periods in the prior year. This increase was partially offset by revenue earned on a project in Delaware during the same periods in the prior year that did not repeat during the current year periods. Additionally, revenue for the three and six months ended June 30, 2018 included projects in Florida, Georgia and Delaware that did not repeat during the current year period.</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second quarter of 2019 was $30.2 million, up $11.1 million, or 58%, from $19.1 million in the second quarter of 2018. Maintenance revenue for the first six months of 2019 was $59.8 million, an increase of $32.9 million, or 122%, compared to $26.9 million for the comparable period in the prior year. The increase in maintenance dredging revenue for the first three and six months of 2019 was mostly attributable to revenue earned on projects in Georgia, Florida and North Carolina. This increase was partially offset by revenue earned on projects in Texas and Virginia during the first half of 2018 that did not repeat during the current year.</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second quarter of 2019 rivers &amp; lakes revenue was $18.4 million, an increase of $13.3 million, or 260% from $5.1 million during the same period of 2018. Rivers &amp; lakes revenue for the six months ended June 30, 2019 was $46.6 million, up $40.0 million, from $6.6 million in the first six months of 2018. The increase in rivers &amp; lakes revenue for the three and six months ended June 30, 2019 was mostly attributable to revenue earned on a large flood mitigation project in Texas as a result of Hurricane Harvey, as well as revenue earned on projects in Louisiana and Iowa during the current year periods. This increase was slightly offset by a greater amount of revenue earned on a lake project in Illinois and a project in New Jersey in the same period of the prior year.</w:t>
      </w:r>
    </w:p>
    <w:p>
      <w:pPr>
        <w:spacing w:after="0" w:line="17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Consolidated gross profit for the quarter ended June 30, 2019 was $37.5 million, up $15.4 million, or 70% compared to $22.1 million in the same quarter of 2018. Gross profit margin for the three months ended June 30, 2019 was 20.3% compared to 16.3% in the second quarter of 2018. Consolidated gross profit for the six months ended June 30, 2019 was $87.4 million, up $51.1 million, or 141%, compared to $36.3 million in the same period of the prior year. Gross profit margin for the six months ended June 30, 2019 was up to 23.2% from 13.5% in the first six months of 2018. The higher gross profit experienced in the first half of 2019 was driven by strong performance on the Company’s domestic capital, maintenance, coastal protection and rivers &amp; lakes projects when compared to the prior year period. Additionally, greater fixed cost coverage also contributed to the increased profit during the current year. The three and six months ended June 30, 2018 included $1.4 million and $5.7 million, respectively, of restructuring charges related to asset retirements and the closeout of the Company’s Brazil operations.</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three and six months ended June 30, 2019, general and administrative expenses were $14.6 million and $29.4 million, respectively, compared to the same periods in prior year in which the three and six months totaled $12.2 million and $25.3 million, respectively. General and administrative expenses increased by $2.4 million and $4.1 million for the three and six months ended June 30, 2019, respectively compared to the same periods of the prior year. The increase in general and administrative expenses for the three and six months ended June 30, 2019 was attributable to a $2.1 million and $4.3 million, respectively, increase in payroll and benefits expense mostly related to incentive compensation as a result of improved profitability.</w:t>
      </w:r>
    </w:p>
    <w:p>
      <w:pPr>
        <w:spacing w:after="0" w:line="1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Operating income for the second quarter of 2019 was $22.8 million, up $11.8 million compared to operating income of $11.0 million for the same quarter in 2018. The increase in operating income for the second quarter of 2019 was a result of higher gross profit compared to the same period in the prior year, as described above. This increase in operating income was offset by a $2.4 million increase in general and administrative expenses, as noted above, and a $1.6 million decrease in gain on sale of assets. Operating income for the six months ended June 30, 2019 was $57.6 million, up $45.4 million from operating income of $12.2 million in the same prior year period. The change in operating income for the first half of 2019 was a result of higher gross profit partially offset by higher general and administrative expense compared to the same period in the prior year, as described above.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June 30, 2019, net interest expense was $7.2 million, down $1.8 million, or 20%, from $9.0 million for the same period in the prior year. Net interest expense for the six months ended June 30, 2019 was $14.7 million, down $2.9 million, or 16%, from interest expense of $17.6 million for the same period in the prior year. The change in interest expense for the three and six months ended June 30, 2019 was attributable to a decrease of $1.4 million and $2.6 million, respectively, in interest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associated with the Company’s senior secured revolving credit facility in addition to higher interest income during the current year periods when compared to the same periods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 for the three months ended June 30, 2019 was $4.2 million compared to an income tax provision of $0.8 million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For the six months ended June 30, 2019 and 2018, the Company had an income tax provision of $11.1 million and an income tax benefit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respectively. The effective tax rate for the six months ended June 30, 2019 was 25.7%, mostly in line with the effective tax rate of 22.1%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period of 2018.</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income from continuing operations for the quarter ended June 30, 2019 was $11.5 million, up $10.3 million from $1.2 million in the same quarter in the prior year. Diluted earnings per share attributable to continuing operations was $0.18 for the three months ended June 30, 2019, compared to $0.02 for the three months ended June 30, 2018. Net income from continuing operations for the six months ended June 30, 2019 was $32.0 million, up $37.8 million from a net loss from continuing operations of $5.8 million for the same period in the prior year. Diluted earnings (loss) per share attributable to continuing operations were $0.50 and ($0.09) for the six months ended June 30, 2019 and 2018, respectively. The increase in net income from continuing operations for the six months ended June 30, 2019 was driven by the increase in operating income and decrease in interest expense during the current year, as described above. Further, the prior year was negatively impacted by a $2.0 million charge to other income (expense) for the reversal of a cumulative translation adjustment related to the closeout of the Company’s Brazil operations during the first half of 2018. These items were partially offset by an increase in the income tax provision during the current year period, as noted above.</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Adjusted EBITDA from continuing operations (as defined on page 22) for the quarter ended June 30, 2019 was $32.0 million, up $8.7 million, or 37%, from $23.3 million in the same quarter in the prior year. The change in Adjusted EBITDA from continuing operations during the second quarter of 2019 was driven by higher gross profit, excluding depreciation, partially offset by higher general and administrative expenses, as described above. For the six months ended June 30, 2019, Adjusted EBITDA from continuing operations was $75.9 million, up $38.9 million, or 105%, from Adjusted EBITDA from continuing operations of $37.0 million for the same prior year period. The change in Adjusted EBITDA from continuing operations during the first six months of 2019 was attributable to higher gross profit, excluding depreciation, and a positive change related to the $2.0 million charge to other income (expense), as described above, when compared to the prior year. These positive factors were partially offset by higher general &amp; administrative expenses incurred during the first half of 2019, as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Dredging: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U.S.</w:t>
            </w:r>
          </w:p>
        </w:tc>
        <w:tc>
          <w:tcPr>
            <w:tcW w:w="20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311,380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447,139</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335,588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Capital - foreign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31,103</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80" w:type="dxa"/>
            <w:vAlign w:val="bottom"/>
            <w:shd w:val="clear" w:color="auto" w:fill="CFF0FC"/>
          </w:tcPr>
          <w:p>
            <w:pPr>
              <w:spacing w:after="0"/>
              <w:rPr>
                <w:sz w:val="19"/>
                <w:szCs w:val="19"/>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 Backlog</w:t>
            </w:r>
          </w:p>
        </w:tc>
        <w:tc>
          <w:tcPr>
            <w:tcW w:w="19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498,089</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85% of the Company’s June 30, 2019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domestic dredging bid market for the quarter ended June 30, 2019 was $235.1 million, a $124.5 million decrease compared to the same period in the prior year. The domestic dredging bid market for the six months ended June 30, 2019 was $453.9 million, a decrease of $238.3 million compared to the first six months of 2018. Total domestic dredging bid market for the current year period included awards for a coastal protection project in New York, two coastal protection projects in Virginia, a maintenance project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20"/>
        <w:spacing w:after="0" w:line="272" w:lineRule="auto"/>
        <w:rPr>
          <w:sz w:val="20"/>
          <w:szCs w:val="20"/>
          <w:color w:val="auto"/>
        </w:rPr>
      </w:pPr>
      <w:r>
        <w:rPr>
          <w:rFonts w:ascii="Arial" w:cs="Arial" w:eastAsia="Arial" w:hAnsi="Arial"/>
          <w:sz w:val="17"/>
          <w:szCs w:val="17"/>
          <w:color w:val="auto"/>
        </w:rPr>
        <w:t>Texas, and maintenance projects on the Mississippi River. The bid market for the six months ended June 30, 2019 decreased compared to the prior year due to a greater number of larger capital projects let to bid in the prior year, which included the Boston Harbor deepening project, and rivers &amp; lakes projects. This was partially offset by slightly higher maintenance projects awarded in the six months ended June 30, 2019. For the contracts awarded in the current year, the Company won 61%, or $66.4 million, of the coastal protection projects, no domestic capital projects, 14%, or $41.6 million, of the maintenance projects and 27%, or $4.7 million, of rivers &amp; lakes projects through June 30, 2019. The Company won 25% of the overall domestic bid market for the first six months of 2019, which is below the Company’s prior three year average of 42%. Variability in contract wins from quarter to quarter is not unusual and one quarter’s win rate is generally not indicative of the win rate the Company is likely to achieve for a full year.</w:t>
      </w:r>
    </w:p>
    <w:p>
      <w:pPr>
        <w:spacing w:after="0" w:line="178"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Company’s contracted dredging backlog was $498.1 million at June 30, 2019 compared to $707.1 million of backlog at December 31, 2018. These amounts do not reflect approximately $110.1 million of domestic low bids pending formal award and additional phases (“options”) pending on projects currently in backlog at June 30, 2019. At December 31, 2018 the amount of domestic low bids and options pending award was $115.6 million.</w:t>
      </w:r>
    </w:p>
    <w:p>
      <w:pPr>
        <w:spacing w:after="0" w:line="14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Domestic capital dredging backlog at June 30, 2019 was $135.8 million lower than at December 31, 2018. For the six months ended June 30, 2019, the Company continued to earn revenue on a coastal restoration project in Mississippi and deepening projects in Charleston, Tampa, and Jacksonville as well as on a deepening project on the Delaware River which were in backlog at December 31, 2018. The Company expects additional phases of multiple large deepening and other capital projects to bid in the second half of 2019. The projects coming into the pipeline include additional phases of work in Savannah and Corpus Christi, new projects in the Ports of Norfolk, Virginia and Freeport, Texas and large coastal restoration projects in Mississippi and Louisiana. Further, several liquefied natural gas petro chemical and crude oil projects are creating the need for port development in support of energy exports. The Company expects several of these private client projects to be bid in 2019.</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Foreign capital dredging backlog at June 30, 2019 was $24.1 million lower than at December 31, 2018. During the first six months of 2019, the Company continued to earn revenue on a project in the Middle East which was in backlog at December 31, 2018. During 2018, the Company relocated two of its dredges to our domestic fleet from their previous positions in the international market to meet increased demand in the U.S. market.</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Coastal protection dredging backlog at June 30, 2019 was $13.7 million lower than at December 31, 2018. In the first six months of 2019, the Company was awarded a $20 million coastal protection project in North Carolina and two coastal protection projects, $23 and $20 million each, in Virginia. During the first six months of 2019, the Company continued to earn revenue on coastal protection projects in New York, North Carolina and South Carolina which were in backlog at December 31, 2018. Coastal protection and storm impacts continue to provide the major impetus for coastal project investment at federal and state levels. With continued funding available for projects in the Northeast from the Superstorm Sandy supplemental appropriations, the Company expects to continue to see an increase in projects let for bid in the coastal protection market. As a result of the extreme storm systems in prior years involving Hurricanes Harvey, Irma, and Maria, the U.S. Senate Committee on Appropriations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the fourth quarter of 2018, Congress passed an additional $1.7 billion of supplemental appropriations for disaster relief funding as a result of Hurricane Florence.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Maintenance dredging backlog was down $17.0 million from December 31, 2018. Awarded in the first six months of 2019 were maintenance projects in Texas, South Carolina and on the Mississippi River. During the first six months of 2019, the Company continued to earn revenue on projects in the South Atlantic, Georgia, North Carolina and Florida which were in backlog at December 31, 2018.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Water Resources Reform and Development Act of 2014. During the fourth quarter of 2018, the President signed America’s Water Infrastructure Act of 2018/Water Resources Development Act (“WRDA 2018”) into law.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2019 and beyond. Congress has improved spending from the HMTF by providing the Corps with record annual budgets including 94% utilization of the HMTF in FY 2018 and 91% proposed in the FY 2019 budget which was above its commitment.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ind w:right="160"/>
        <w:spacing w:after="0" w:line="264" w:lineRule="auto"/>
        <w:rPr>
          <w:sz w:val="20"/>
          <w:szCs w:val="20"/>
          <w:color w:val="auto"/>
        </w:rPr>
      </w:pPr>
      <w:r>
        <w:rPr>
          <w:rFonts w:ascii="Arial" w:cs="Arial" w:eastAsia="Arial" w:hAnsi="Arial"/>
          <w:sz w:val="18"/>
          <w:szCs w:val="18"/>
          <w:color w:val="auto"/>
        </w:rPr>
        <w:t>Rivers &amp; lakes backlog at June 30, 2019 was down by $18.5 million from backlog at December 31, 2018. During the first six months of 2019, the Company was awarded new work in Texas and Nebraska. For the six months ended June 30, 2019, the Company continued to earn revenue on a large project in Texas and a project in Louisiana which were in backlog at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cash provided by operating activities of continuing operations for the six months ended June 30, 2019 and 2018 totaled $111.8 million and $27.4 million, respectively. Normal increases or decreases in the level of working capital relative to the level of operational activity impact cash flow from operating activities. The increase in cash provided by operating activities of continuing operations in the first six months of 2019 compared to the same period in the prior year was driven by billings and collections on large projects during the first half of 2019 as well as a greater investment in working capital during the prior year period. Further, this increase was also driven by an increase of $37.9 million in net income from continuing operations in the first half of 2019 compared to the same period in the prior year.</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cash flows used in investing activities for the first six months of 2019 and 2018 totaled $18.8 million and $1.8 million, respectively. Investing activities primarily relate to normal course upgrades and capital maintenance of the Company’s dredging fleet. Capital expenditures for the six months ended June 30, 2019 included the final payment of $10.0 million for the new clamshell dredge. During the six months ended June 30, 2018, the Company received $4.5 million in cash proceeds from a sale-leaseback of a dredge.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cash flows used in financing activities for the six months ended June 30, 2019 and 2018 totaled $13.1 million and $25.0 million, respectively. The decrease in cash used in financing activities primarily relates to changes in the net repayments on Company’s revolving credit facility in the current period of $11.5 million compared to $24.1 million in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Refer to Note 5, Long-term debt, in the Notes to Condensed Consolidated Financial Statements for discussion of the Company’s Amended Credit Agreement. Additionally, refer to Note 10, Commitments and contingencies, in the Notes to Condensed Consolidated Financial Statements for discussion of the Company’s surety agreements.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Basis of presentation, to the Company’s December 31, 2018 Consolidated Financial Statements included on Form 10-K. The application of these principles requires significant judgments or an estimation process that can affect the results of operations, financial position and cash flows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320"/>
        <w:spacing w:after="0" w:line="264" w:lineRule="auto"/>
        <w:rPr>
          <w:sz w:val="20"/>
          <w:szCs w:val="20"/>
          <w:color w:val="auto"/>
        </w:rPr>
      </w:pPr>
      <w:r>
        <w:rPr>
          <w:rFonts w:ascii="Arial" w:cs="Arial" w:eastAsia="Arial" w:hAnsi="Arial"/>
          <w:sz w:val="18"/>
          <w:szCs w:val="18"/>
          <w:color w:val="auto"/>
        </w:rPr>
        <w:t>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2018.</w:t>
      </w:r>
    </w:p>
    <w:p>
      <w:pPr>
        <w:spacing w:after="0" w:line="21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June 30, 2019 has not materially changed since December 31, 2018. The market risk profile of the Company on December 31, 2018 is disclosed in Item 7A. “Quantitative and Qualitative Disclosures about Market Risk” of the Company’s Annual Report on Form 10-K for the year ended December 31, 2018.</w:t>
      </w:r>
    </w:p>
    <w:p>
      <w:pPr>
        <w:spacing w:after="0" w:line="21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w:t>
      </w:r>
    </w:p>
    <w:p>
      <w:pPr>
        <w:ind w:right="60"/>
        <w:spacing w:after="0" w:line="254" w:lineRule="auto"/>
        <w:rPr>
          <w:sz w:val="20"/>
          <w:szCs w:val="20"/>
          <w:color w:val="auto"/>
        </w:rPr>
      </w:pPr>
      <w:r>
        <w:rPr>
          <w:rFonts w:ascii="Arial" w:cs="Arial" w:eastAsia="Arial" w:hAnsi="Arial"/>
          <w:sz w:val="18"/>
          <w:szCs w:val="18"/>
          <w:color w:val="auto"/>
        </w:rPr>
        <w:t>2019.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June 30, 2019 in providing such a reasonable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2019 that have materially affected, or are reasonably likely to materially affect, our internal control over financial reporting.</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10,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2019 to the risk factors previously disclosed in Item 1A. “Risk Factors” in the Company’s Annual Report on Form 10-K for the year ended December 31, 2018.</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July 31, 2019, the Company and Christopher P. Shea, former President of the Company’s Environmental &amp; Infrastructure Division, entered into a consulting agreement (the “Consulting Agreement”) to assist the Company with services related to the divestiture of the Environmental &amp; Infrastructure Division. Services provided under Mr. Shea’s Consulting Agreement began on July 31, 2019, which is the day following his Separation Date, as defined in his Separation Agreement. Pursuant to the Consulting Agreement, Mr. Shea may provide consulting services to the Company through March 31, 2021 (the “Consulting Period”). Under the terms of the Consulting Agreement, Mr. Shea will be entitled to a monthly retainer of $16,667 for the first twelve months of the Consulting Period. Mr. Shea may terminate the Consulting Agreement for convenience or for the Company’s material breach of the Consulting Agreement, and the Company may terminate the Consulting Agreement for Cause, as defined in the Consulting Agreement. In addition, Mr. Shea’s outstanding performance-based equity awards will remain in place and continue to vest in accordance with their terms for as long as the Consulting Agreement remains in effect, subject to the applicable award agreements. The foregoing description of the Consulting Agreement does not purport to be complete and is qualified in its entirety by reference to the full text of such document.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675"/>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Number</w:t>
            </w:r>
          </w:p>
        </w:tc>
        <w:tc>
          <w:tcPr>
            <w:tcW w:w="360" w:type="dxa"/>
            <w:vAlign w:val="bottom"/>
          </w:tcPr>
          <w:p>
            <w:pPr>
              <w:spacing w:after="0"/>
              <w:rPr>
                <w:sz w:val="24"/>
                <w:szCs w:val="24"/>
                <w:color w:val="auto"/>
              </w:rPr>
            </w:pPr>
          </w:p>
        </w:tc>
        <w:tc>
          <w:tcPr>
            <w:tcW w:w="1036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Document Description</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6"/>
              </w:rPr>
              <w:t>Amended and Restated Revolving Credit and Security Agreement dated as of May 3, 2019 by and among Great Lakes Dredge &amp; Dock</w:t>
            </w:r>
          </w:p>
        </w:tc>
      </w:tr>
      <w:tr>
        <w:trPr>
          <w:trHeight w:val="222"/>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3"/>
              </w:rPr>
              <w:t>Corporation, as Borrower, each other Credit Party party hereto from time to time, the financial institutions which are now or which hereafter</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1"/>
              </w:rPr>
              <w:t>become a party hereto as lenders, PNC Capital Markets, CIBC Bank, USA, Suntrust Robinson Humphrey, Inc., and Bank of America, N.A., as</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2"/>
              </w:rPr>
              <w:t>joint lead arrangers and joint bookrunners, HSBC Bank USA, N.A., as documentation agent, and PNC Bank, National Association, as lender</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2"/>
              </w:rPr>
              <w:t>and as agent (Incorporated by reference to Great Lakes Dredge &amp; Dock Corporation’s Current Report on Form 8-K filed with the Commission</w:t>
            </w:r>
          </w:p>
        </w:tc>
      </w:tr>
      <w:tr>
        <w:trPr>
          <w:trHeight w:val="230"/>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on May 9, 2019 (Commission file no. 001-33225)). (1)</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7"/>
              </w:rPr>
              <w:t>Separation Agreement, dated July 31, 2019, between Great Lakes Dredge &amp; Dock Corporation with and on behalf of its wholly owned</w:t>
            </w:r>
          </w:p>
        </w:tc>
      </w:tr>
      <w:tr>
        <w:trPr>
          <w:trHeight w:val="237"/>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subsidiary Great Lakes Environmental &amp; Infrastructure Solutions, LLC and Christopher P. Shea.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7"/>
              </w:rPr>
              <w:t>Consulting Agreement, dated July 31, 2019, between Great Lakes Dredge &amp; Dock Corporation with and on behalf of its wholly owned</w:t>
            </w:r>
          </w:p>
        </w:tc>
      </w:tr>
      <w:tr>
        <w:trPr>
          <w:trHeight w:val="237"/>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subsidiary Great Lakes Environmental &amp; Infrastructure Solutions, LLC and Christopher P. Shea.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w w:val="94"/>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380" w:type="dxa"/>
            <w:vAlign w:val="bottom"/>
          </w:tcPr>
          <w:p>
            <w:pPr>
              <w:spacing w:after="0"/>
              <w:rPr>
                <w:sz w:val="24"/>
                <w:szCs w:val="24"/>
                <w:color w:val="auto"/>
              </w:rPr>
            </w:pP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80"/>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Instance Document. *</w:t>
            </w:r>
          </w:p>
        </w:tc>
      </w:tr>
      <w:tr>
        <w:trPr>
          <w:trHeight w:val="473"/>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w:t>
            </w:r>
          </w:p>
        </w:tc>
      </w:tr>
      <w:tr>
        <w:trPr>
          <w:trHeight w:val="473"/>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w:t>
            </w:r>
          </w:p>
        </w:tc>
      </w:tr>
      <w:tr>
        <w:trPr>
          <w:trHeight w:val="473"/>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 *</w:t>
            </w:r>
          </w:p>
        </w:tc>
      </w:tr>
      <w:tr>
        <w:trPr>
          <w:trHeight w:val="473"/>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w:t>
            </w:r>
          </w:p>
        </w:tc>
      </w:tr>
      <w:tr>
        <w:trPr>
          <w:trHeight w:val="473"/>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42" w:lineRule="exact"/>
        <w:rPr>
          <w:sz w:val="20"/>
          <w:szCs w:val="20"/>
          <w:color w:val="auto"/>
        </w:rPr>
      </w:pPr>
    </w:p>
    <w:p>
      <w:pPr>
        <w:ind w:right="8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22"/>
          <w:szCs w:val="22"/>
          <w:b w:val="1"/>
          <w:bCs w:val="1"/>
          <w:u w:val="single" w:color="auto"/>
          <w:color w:val="auto"/>
        </w:rPr>
        <w:t>SEPARATION AND GENERAL RELEASE AGREEMENT</w:t>
      </w: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Caution: Read Carefully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Is A Release Of All Claims</w:t>
      </w:r>
    </w:p>
    <w:p>
      <w:pPr>
        <w:spacing w:after="0" w:line="18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THIS SEPARATION AND GENERAL RELEASE AGREEMENT ("Agreement") is voluntarily entered into as of the date(s) set forth below by and between the undersigned individual employee, Christopher P. Shea, and Great Lakes Dredge &amp; Dock Corporation with and on behalf of its wholly owned subsidiary, Great Lakes Environmental &amp; Infrastructure Solutions, LLC (collectively, the “Company”).</w:t>
      </w:r>
    </w:p>
    <w:p>
      <w:pPr>
        <w:spacing w:after="0" w:line="185"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WHEREAS, Shea and the Company are parties to a certain Employment Agreement dated November 2, 2015, as amended by the First Amendment to Employment Agreement dated July 31, 2018, which is currently in effect to and including November 2, 2019 (together referred to as the “Employment Agreement”), which is incorporated by reference herein; and</w:t>
      </w:r>
    </w:p>
    <w:p>
      <w:pPr>
        <w:spacing w:after="0" w:line="134"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WHEREAS, all or substantially all of the assets of Great Lakes Environmental &amp; Infrastructure Solutions, LLC have been acquired by GLEI Equity, LLC (“Purchaser”);</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WHEREAS, Shea maintains such acquisition constitutes a Change in Control as set forth in Section 3.4 of the Employment Agreement, that he has suffered a termination of employment other than for Cause by a material diminution of his authority, duties, or responsibilities, and that he is entitled to certain compensation and benefits as set forth in Section 3.4 of the Employment Agreement;</w:t>
      </w:r>
    </w:p>
    <w:p>
      <w:pPr>
        <w:spacing w:after="0" w:line="18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WHEREAS, by its terms, as a condition for receipt of such compensation and benefits Shea must execute and not revoke a separation agreement, as well as abide by certain other continuing obligations as set forth in the Employment Agreement, which by his acceptance and execution of this Agreement he hereby affirms and accepts, as well as certain other obligations set out in this Agreement;</w:t>
      </w:r>
    </w:p>
    <w:p>
      <w:pPr>
        <w:spacing w:after="0" w:line="185"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WHEREAS, Shea and the Company have now reached mutual agreement on the termination of Shea’s employment by his voluntary resignation from the Company effective as of July 30, 2019 ("Separation Date") on the terms set forth herein, which the parties agree is in full satisfaction of any and all rights, obligations, payments, and other consideration, which may be due and owing to Shea, if any, under the terms of the Employment Agreement and otherwise;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NOW, THEREFORE, in consideration of the mutual understandings, covenants, and the release contained in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 the Company and Shea hereby voluntarily agree as follows:</w:t>
      </w:r>
    </w:p>
    <w:p>
      <w:pPr>
        <w:spacing w:after="0" w:line="182" w:lineRule="exact"/>
        <w:rPr>
          <w:sz w:val="20"/>
          <w:szCs w:val="20"/>
          <w:color w:val="auto"/>
        </w:rPr>
      </w:pPr>
    </w:p>
    <w:p>
      <w:pPr>
        <w:jc w:val="both"/>
        <w:ind w:firstLine="8"/>
        <w:spacing w:after="0" w:line="239" w:lineRule="auto"/>
        <w:tabs>
          <w:tab w:leader="none" w:pos="81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Specific terms used in this Agreement have the following meanings: (a) words such as "I," "me," and "my"</w:t>
      </w:r>
      <w:r>
        <w:rPr>
          <w:rFonts w:ascii="Arial" w:cs="Arial" w:eastAsia="Arial" w:hAnsi="Arial"/>
          <w:sz w:val="22"/>
          <w:szCs w:val="22"/>
          <w:b w:val="1"/>
          <w:bCs w:val="1"/>
          <w:color w:val="auto"/>
        </w:rPr>
        <w:t xml:space="preserve"> </w:t>
      </w:r>
      <w:r>
        <w:rPr>
          <w:rFonts w:ascii="Arial" w:cs="Arial" w:eastAsia="Arial" w:hAnsi="Arial"/>
          <w:sz w:val="22"/>
          <w:szCs w:val="22"/>
          <w:color w:val="auto"/>
        </w:rPr>
        <w:t>include both the undersigned, Christopher P. Shea, and anyone who has or obtains any legal rights or claims through me; and (b) "Company" means Great Lakes Dredge &amp; Dock Corporation, all of its past and present officers, directors, stockholders, employees, trustees, parent corporations, subsidiaries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both"/>
        <w:spacing w:after="0" w:line="235" w:lineRule="auto"/>
        <w:rPr>
          <w:sz w:val="20"/>
          <w:szCs w:val="20"/>
          <w:color w:val="auto"/>
        </w:rPr>
      </w:pPr>
      <w:r>
        <w:rPr>
          <w:rFonts w:ascii="Arial" w:cs="Arial" w:eastAsia="Arial" w:hAnsi="Arial"/>
          <w:sz w:val="22"/>
          <w:szCs w:val="22"/>
          <w:color w:val="auto"/>
        </w:rPr>
        <w:t>Great Lakes Dredge &amp; Dock Company, LLC and Great Lakes Environmental &amp; Infrastructure Solutions, LLC), agents, members, affiliates, insurers, any and all employee benefit plans (and any fiduciary of such plans) sponsored by such entities, and each such entity's subsidiaries, predecessors, successors (which, for purposes of the release set forth in Paragraph 2, below, shall include Purchaser and its parent corporations, subsidiaries, and affiliates), and assigns, and all other entities, persons, firms, or corporations liable or who might be claimed to be liable, none of whom admit any liability to me, but all of whom expressly deny any such liability.</w:t>
      </w:r>
    </w:p>
    <w:p>
      <w:pPr>
        <w:spacing w:after="0" w:line="182" w:lineRule="exact"/>
        <w:rPr>
          <w:sz w:val="20"/>
          <w:szCs w:val="20"/>
          <w:color w:val="auto"/>
        </w:rPr>
      </w:pPr>
    </w:p>
    <w:p>
      <w:pPr>
        <w:jc w:val="both"/>
        <w:ind w:firstLine="8"/>
        <w:spacing w:after="0" w:line="243" w:lineRule="auto"/>
        <w:tabs>
          <w:tab w:leader="none" w:pos="675" w:val="left"/>
        </w:tabs>
        <w:numPr>
          <w:ilvl w:val="0"/>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My Claims</w:t>
      </w:r>
      <w:r>
        <w:rPr>
          <w:rFonts w:ascii="Arial" w:cs="Arial" w:eastAsia="Arial" w:hAnsi="Arial"/>
          <w:sz w:val="22"/>
          <w:szCs w:val="22"/>
          <w:color w:val="auto"/>
        </w:rPr>
        <w:t>. The claims I am releasing ("My Claims") include all of my rights to any relief of any kind from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in Paragraph 1 above), including without limitation all claims I have now, whether or not I now know about the claims. These claims, which I hereby release, include, but are not limited to, the following:</w:t>
      </w:r>
    </w:p>
    <w:p>
      <w:pPr>
        <w:spacing w:after="0" w:line="182" w:lineRule="exact"/>
        <w:rPr>
          <w:rFonts w:ascii="Arial" w:cs="Arial" w:eastAsia="Arial" w:hAnsi="Arial"/>
          <w:sz w:val="22"/>
          <w:szCs w:val="22"/>
          <w:color w:val="auto"/>
        </w:rPr>
      </w:pPr>
    </w:p>
    <w:p>
      <w:pPr>
        <w:jc w:val="both"/>
        <w:ind w:left="880" w:firstLine="839"/>
        <w:spacing w:after="0" w:line="248" w:lineRule="auto"/>
        <w:tabs>
          <w:tab w:leader="none" w:pos="2016" w:val="left"/>
        </w:tabs>
        <w:numPr>
          <w:ilvl w:val="2"/>
          <w:numId w:val="17"/>
        </w:numPr>
        <w:rPr>
          <w:rFonts w:ascii="Arial" w:cs="Arial" w:eastAsia="Arial" w:hAnsi="Arial"/>
          <w:sz w:val="21"/>
          <w:szCs w:val="21"/>
          <w:color w:val="auto"/>
        </w:rPr>
      </w:pPr>
      <w:r>
        <w:rPr>
          <w:rFonts w:ascii="Arial" w:cs="Arial" w:eastAsia="Arial" w:hAnsi="Arial"/>
          <w:sz w:val="21"/>
          <w:szCs w:val="21"/>
          <w:color w:val="auto"/>
        </w:rPr>
        <w:t>all claims relating to my employment with the Company, or the termination of that employment, including, but not limited to, any claims arising under the Fair Labor Standards Act; Title VII of the Civil Rights Act of 1964; the Civil Rights Act of 1866; the Age Discrimination in Employment Act ("ADEA"); the Older Worker Benefits Protection Act ("OWBPA"); the Employee Retirement Income Security Act; the Family and Medical Leave Act ("FMLA") (to the extent that FMLA claims may be released under governing law); the Americans with Disabilities Act; the applicable state civil rights laws; and/or any other federal, state or local law;</w:t>
      </w:r>
    </w:p>
    <w:p>
      <w:pPr>
        <w:spacing w:after="0" w:line="177" w:lineRule="exact"/>
        <w:rPr>
          <w:rFonts w:ascii="Arial" w:cs="Arial" w:eastAsia="Arial" w:hAnsi="Arial"/>
          <w:sz w:val="21"/>
          <w:szCs w:val="21"/>
          <w:color w:val="auto"/>
        </w:rPr>
      </w:pPr>
    </w:p>
    <w:p>
      <w:pPr>
        <w:jc w:val="both"/>
        <w:ind w:left="880" w:firstLine="5"/>
        <w:spacing w:after="0"/>
        <w:tabs>
          <w:tab w:leader="none" w:pos="1224"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claims under any principle of common law or equity, including but not limited to claims for alleged unpaid compensation or other monies; commissions; any tort; breach of contract; and any other allegedly wrongful employment practices; and</w:t>
      </w:r>
    </w:p>
    <w:p>
      <w:pPr>
        <w:spacing w:after="0" w:line="186" w:lineRule="exact"/>
        <w:rPr>
          <w:rFonts w:ascii="Arial" w:cs="Arial" w:eastAsia="Arial" w:hAnsi="Arial"/>
          <w:sz w:val="22"/>
          <w:szCs w:val="22"/>
          <w:color w:val="auto"/>
        </w:rPr>
      </w:pPr>
    </w:p>
    <w:p>
      <w:pPr>
        <w:ind w:left="880" w:firstLine="5"/>
        <w:spacing w:after="0" w:line="251" w:lineRule="auto"/>
        <w:tabs>
          <w:tab w:leader="none" w:pos="1212"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claims for any type of relief from the Company, including but not limited to claims for damages, costs and attorney's fees.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to these claims being released, I acknowledge that I have not suffered any physical or mental injuries arising out of my employment or the termination or resignation of that employment. If requested, I agree to sign an agreement similar to this one on or about the date of final payment of the consideration set forth in Paragraph 4, below.</w:t>
      </w:r>
    </w:p>
    <w:p>
      <w:pPr>
        <w:spacing w:after="0" w:line="167" w:lineRule="exact"/>
        <w:rPr>
          <w:sz w:val="20"/>
          <w:szCs w:val="20"/>
          <w:color w:val="auto"/>
        </w:rPr>
      </w:pPr>
    </w:p>
    <w:p>
      <w:pPr>
        <w:jc w:val="both"/>
        <w:ind w:left="880" w:right="880"/>
        <w:spacing w:after="0" w:line="277" w:lineRule="auto"/>
        <w:rPr>
          <w:sz w:val="20"/>
          <w:szCs w:val="20"/>
          <w:color w:val="auto"/>
        </w:rPr>
      </w:pPr>
      <w:r>
        <w:rPr>
          <w:rFonts w:ascii="Arial" w:cs="Arial" w:eastAsia="Arial" w:hAnsi="Arial"/>
          <w:sz w:val="19"/>
          <w:szCs w:val="19"/>
          <w:color w:val="auto"/>
        </w:rPr>
        <w:t>I acknowledge that I may hereafter discover facts different from or in addition to those now known or believed to be true related to the matters set forth in this Agreement and agree that this Agreement shall remain in full force and effect, notwithstanding the existence of any such different or additional facts. In this connection, I expressly waive all rights afforded by any statute including, but not limited to, Section 1542 of the California Civil Code which limits the effect of a release with respect to unknown claims. I understand the significance of my release of unknown claims and my waiver of statutory protection against a release of unknown claims (such as under Section 1542). Section 1542 of the California Civil Code reads as follows: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3" w:name="page34"/>
    <w:bookmarkEnd w:id="33"/>
    <w:p>
      <w:pPr>
        <w:jc w:val="both"/>
        <w:ind w:left="880" w:right="880"/>
        <w:spacing w:after="0" w:line="301" w:lineRule="auto"/>
        <w:rPr>
          <w:sz w:val="20"/>
          <w:szCs w:val="20"/>
          <w:color w:val="auto"/>
        </w:rPr>
      </w:pPr>
      <w:r>
        <w:rPr>
          <w:rFonts w:ascii="Arial" w:cs="Arial" w:eastAsia="Arial" w:hAnsi="Arial"/>
          <w:sz w:val="19"/>
          <w:szCs w:val="19"/>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29" w:lineRule="exact"/>
        <w:rPr>
          <w:sz w:val="20"/>
          <w:szCs w:val="20"/>
          <w:color w:val="auto"/>
        </w:rPr>
      </w:pPr>
    </w:p>
    <w:p>
      <w:pPr>
        <w:jc w:val="both"/>
        <w:ind w:left="880" w:right="880"/>
        <w:spacing w:after="0" w:line="236" w:lineRule="auto"/>
        <w:rPr>
          <w:sz w:val="20"/>
          <w:szCs w:val="20"/>
          <w:color w:val="auto"/>
        </w:rPr>
      </w:pPr>
      <w:r>
        <w:rPr>
          <w:rFonts w:ascii="Arial" w:cs="Arial" w:eastAsia="Arial" w:hAnsi="Arial"/>
          <w:sz w:val="22"/>
          <w:szCs w:val="22"/>
          <w:color w:val="auto"/>
        </w:rPr>
        <w:t>Notwithstanding the above-stated provisions of Section 1542 and for purposes of implementing a full and complete release and discharge, I expressly acknowledge that this Agreement is specifically intended to include in its effect, without limitation, all claims which I have but do not or may not know or suspect to exist in my favor at any time on or prior to the date of execution of this Agreement, and that this Agreement extinguishes any and all such claim(s).</w:t>
      </w:r>
    </w:p>
    <w:p>
      <w:pPr>
        <w:spacing w:after="0" w:line="182" w:lineRule="exact"/>
        <w:rPr>
          <w:sz w:val="20"/>
          <w:szCs w:val="20"/>
          <w:color w:val="auto"/>
        </w:rPr>
      </w:pPr>
    </w:p>
    <w:p>
      <w:pPr>
        <w:jc w:val="both"/>
        <w:ind w:firstLine="8"/>
        <w:spacing w:after="0" w:line="272" w:lineRule="auto"/>
        <w:tabs>
          <w:tab w:leader="none" w:pos="828"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Exclusions From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 understand that My Claims released under this Agreement do not include any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claims that may arise after the Effective Date of this Agreement (which is that date occurring on the eighth (8</w:t>
      </w:r>
      <w:r>
        <w:rPr>
          <w:rFonts w:ascii="Arial" w:cs="Arial" w:eastAsia="Arial" w:hAnsi="Arial"/>
          <w:sz w:val="16"/>
          <w:szCs w:val="16"/>
          <w:color w:val="auto"/>
        </w:rPr>
        <w:t>th</w:t>
      </w:r>
      <w:r>
        <w:rPr>
          <w:rFonts w:ascii="Arial" w:cs="Arial" w:eastAsia="Arial" w:hAnsi="Arial"/>
          <w:sz w:val="19"/>
          <w:szCs w:val="19"/>
          <w:color w:val="auto"/>
        </w:rPr>
        <w:t>) day after I sign this Agreement, provided that I do not revoke this Agreement as described below). I understand I do not waive future claims. Also, I further understand that nothing in this Agreement shall in any way adversely affect whatever vested rights I may have to benefits under any retirement or other employee benefit plan. In addition, I acknowledge that this Agreement is not intended to (a) prevent me from filing a charge or complaint including a challenge to the validity of this Agreement, with the Equal Employment Opportunity Commission ("EEOC"); (b) prevent me from participating in any investigation or proceeding conducted by the EEOC; or (c) establish a condition precedent or other barrier to exercising these rights. While I have the right to participate in an investigation, I understand that I am waiving my right to any monetary recovery arising from any investigation or pursuit of claim on my behalf. I acknowledge that I have the right to file a charge alleging a violation of the ADEA with any administrative agency and/or to challenge the validity of the waiver and release of any claim I might have under the ADEA without either: (a) repaying to the Company the amounts paid by it to me or on my behalf under this Agreement; or (b) paying to the Company any other monetary amounts (such as attorney's fees and/or damages).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20" w:firstLine="8"/>
        <w:spacing w:after="0" w:line="256" w:lineRule="auto"/>
        <w:tabs>
          <w:tab w:leader="none" w:pos="810"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Company's Agreement to Make Payments and Provide Consideration to Me</w:t>
      </w:r>
      <w:r>
        <w:rPr>
          <w:rFonts w:ascii="Arial" w:cs="Arial" w:eastAsia="Arial" w:hAnsi="Arial"/>
          <w:sz w:val="22"/>
          <w:szCs w:val="22"/>
          <w:color w:val="auto"/>
        </w:rPr>
        <w:t>. In exchange for my release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promises made by me in this Agreement, the Company agrees that it shall:</w:t>
      </w:r>
    </w:p>
    <w:p>
      <w:pPr>
        <w:spacing w:after="0" w:line="168" w:lineRule="exact"/>
        <w:rPr>
          <w:rFonts w:ascii="Arial" w:cs="Arial" w:eastAsia="Arial" w:hAnsi="Arial"/>
          <w:sz w:val="22"/>
          <w:szCs w:val="22"/>
          <w:color w:val="auto"/>
        </w:rPr>
      </w:pPr>
    </w:p>
    <w:p>
      <w:pPr>
        <w:jc w:val="both"/>
        <w:ind w:left="880" w:firstLine="5"/>
        <w:spacing w:after="0"/>
        <w:tabs>
          <w:tab w:leader="none" w:pos="1186" w:val="left"/>
        </w:tabs>
        <w:numPr>
          <w:ilvl w:val="1"/>
          <w:numId w:val="18"/>
        </w:numPr>
        <w:rPr>
          <w:rFonts w:ascii="Arial" w:cs="Arial" w:eastAsia="Arial" w:hAnsi="Arial"/>
          <w:sz w:val="22"/>
          <w:szCs w:val="22"/>
          <w:color w:val="auto"/>
        </w:rPr>
      </w:pPr>
      <w:r>
        <w:rPr>
          <w:rFonts w:ascii="Arial" w:cs="Arial" w:eastAsia="Arial" w:hAnsi="Arial"/>
          <w:sz w:val="22"/>
          <w:szCs w:val="22"/>
          <w:color w:val="auto"/>
        </w:rPr>
        <w:t>pay to me in a lump sum an amount equivalent to 2.0 times my Base Salary, in the gross amount of Seven Hundred Thirty-Five Thousand Four Hundred Twenty Dollars and No Cents ($735,420.</w:t>
      </w:r>
      <w:r>
        <w:rPr>
          <w:rFonts w:ascii="Arial" w:cs="Arial" w:eastAsia="Arial" w:hAnsi="Arial"/>
          <w:sz w:val="18"/>
          <w:szCs w:val="18"/>
          <w:u w:val="single" w:color="auto"/>
          <w:color w:val="auto"/>
        </w:rPr>
        <w:t>00</w:t>
      </w:r>
      <w:r>
        <w:rPr>
          <w:rFonts w:ascii="Arial" w:cs="Arial" w:eastAsia="Arial" w:hAnsi="Arial"/>
          <w:sz w:val="22"/>
          <w:szCs w:val="22"/>
          <w:color w:val="auto"/>
        </w:rPr>
        <w:t>) (less taxes and other required deductions and withholdings);</w:t>
      </w:r>
    </w:p>
    <w:p>
      <w:pPr>
        <w:spacing w:after="0" w:line="186" w:lineRule="exact"/>
        <w:rPr>
          <w:rFonts w:ascii="Arial" w:cs="Arial" w:eastAsia="Arial" w:hAnsi="Arial"/>
          <w:sz w:val="22"/>
          <w:szCs w:val="22"/>
          <w:color w:val="auto"/>
        </w:rPr>
      </w:pPr>
    </w:p>
    <w:p>
      <w:pPr>
        <w:jc w:val="both"/>
        <w:ind w:left="880" w:firstLine="5"/>
        <w:spacing w:after="0" w:line="238" w:lineRule="auto"/>
        <w:tabs>
          <w:tab w:leader="none" w:pos="1197" w:val="left"/>
        </w:tabs>
        <w:numPr>
          <w:ilvl w:val="1"/>
          <w:numId w:val="18"/>
        </w:numPr>
        <w:rPr>
          <w:rFonts w:ascii="Arial" w:cs="Arial" w:eastAsia="Arial" w:hAnsi="Arial"/>
          <w:sz w:val="22"/>
          <w:szCs w:val="22"/>
          <w:color w:val="auto"/>
        </w:rPr>
      </w:pPr>
      <w:r>
        <w:rPr>
          <w:rFonts w:ascii="Arial" w:cs="Arial" w:eastAsia="Arial" w:hAnsi="Arial"/>
          <w:sz w:val="22"/>
          <w:szCs w:val="22"/>
          <w:color w:val="auto"/>
        </w:rPr>
        <w:t>pay to me in a lump sum an additional amount equivalent to the average of my annual bonus over the three (3) year period immediately preceding the Separation Date, in the gross amount of One Hundred Forty-Three Thousand Six Hundred Sixty-Six Dollars and Sixty-Seven Cents ($143,666.</w:t>
      </w:r>
      <w:r>
        <w:rPr>
          <w:rFonts w:ascii="Arial" w:cs="Arial" w:eastAsia="Arial" w:hAnsi="Arial"/>
          <w:sz w:val="18"/>
          <w:szCs w:val="18"/>
          <w:u w:val="single" w:color="auto"/>
          <w:color w:val="auto"/>
        </w:rPr>
        <w:t>67</w:t>
      </w:r>
      <w:r>
        <w:rPr>
          <w:rFonts w:ascii="Arial" w:cs="Arial" w:eastAsia="Arial" w:hAnsi="Arial"/>
          <w:sz w:val="22"/>
          <w:szCs w:val="22"/>
          <w:color w:val="auto"/>
        </w:rPr>
        <w:t>) (less taxes and other required deductions and withholdings);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4" w:name="page35"/>
    <w:bookmarkEnd w:id="34"/>
    <w:p>
      <w:pPr>
        <w:jc w:val="both"/>
        <w:ind w:left="-5" w:firstLine="5"/>
        <w:spacing w:after="0"/>
        <w:tabs>
          <w:tab w:leader="none" w:pos="305" w:val="left"/>
        </w:tabs>
        <w:numPr>
          <w:ilvl w:val="0"/>
          <w:numId w:val="19"/>
        </w:numPr>
        <w:rPr>
          <w:rFonts w:ascii="Arial" w:cs="Arial" w:eastAsia="Arial" w:hAnsi="Arial"/>
          <w:sz w:val="22"/>
          <w:szCs w:val="22"/>
          <w:color w:val="auto"/>
        </w:rPr>
      </w:pPr>
      <w:r>
        <w:rPr>
          <w:rFonts w:ascii="Arial" w:cs="Arial" w:eastAsia="Arial" w:hAnsi="Arial"/>
          <w:sz w:val="22"/>
          <w:szCs w:val="22"/>
          <w:color w:val="auto"/>
        </w:rPr>
        <w:t>pay to me in a lump sum an agreed portion of my annual target bonus in the gross amount of Sixty-One Thousand Seven Hundred Seventy-Five Dollars and Twenty-Eight Cents ($61,775.</w:t>
      </w:r>
      <w:r>
        <w:rPr>
          <w:rFonts w:ascii="Arial" w:cs="Arial" w:eastAsia="Arial" w:hAnsi="Arial"/>
          <w:sz w:val="18"/>
          <w:szCs w:val="18"/>
          <w:u w:val="single" w:color="auto"/>
          <w:color w:val="auto"/>
        </w:rPr>
        <w:t>28</w:t>
      </w:r>
      <w:r>
        <w:rPr>
          <w:rFonts w:ascii="Arial" w:cs="Arial" w:eastAsia="Arial" w:hAnsi="Arial"/>
          <w:sz w:val="22"/>
          <w:szCs w:val="22"/>
          <w:color w:val="auto"/>
        </w:rPr>
        <w:t>) (less taxes and other required deductions and withholdings);</w:t>
      </w:r>
    </w:p>
    <w:p>
      <w:pPr>
        <w:spacing w:after="0" w:line="186" w:lineRule="exact"/>
        <w:rPr>
          <w:rFonts w:ascii="Arial" w:cs="Arial" w:eastAsia="Arial" w:hAnsi="Arial"/>
          <w:sz w:val="22"/>
          <w:szCs w:val="22"/>
          <w:color w:val="auto"/>
        </w:rPr>
      </w:pPr>
    </w:p>
    <w:p>
      <w:pPr>
        <w:jc w:val="both"/>
        <w:ind w:left="-5" w:firstLine="5"/>
        <w:spacing w:after="0" w:line="238" w:lineRule="auto"/>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pay to me in a lump sum in the gross amount of Fifty Thousand Dollars ($50,000.00) which represents an amount equal to twenty-four (24) months of the amount of premium the Company would have contributed toward the Company's group medical and dental insurance had I not resigned pursuant to this Agreement, which may be used by me for any purpose, at my discretion;</w:t>
      </w:r>
    </w:p>
    <w:p>
      <w:pPr>
        <w:spacing w:after="0" w:line="185" w:lineRule="exact"/>
        <w:rPr>
          <w:rFonts w:ascii="Arial" w:cs="Arial" w:eastAsia="Arial" w:hAnsi="Arial"/>
          <w:sz w:val="22"/>
          <w:szCs w:val="22"/>
          <w:color w:val="auto"/>
        </w:rPr>
      </w:pPr>
    </w:p>
    <w:p>
      <w:pPr>
        <w:jc w:val="both"/>
        <w:ind w:left="-5" w:firstLine="5"/>
        <w:spacing w:after="0" w:line="252" w:lineRule="auto"/>
        <w:tabs>
          <w:tab w:leader="none" w:pos="362" w:val="left"/>
        </w:tabs>
        <w:numPr>
          <w:ilvl w:val="0"/>
          <w:numId w:val="19"/>
        </w:numPr>
        <w:rPr>
          <w:rFonts w:ascii="Arial" w:cs="Arial" w:eastAsia="Arial" w:hAnsi="Arial"/>
          <w:sz w:val="21"/>
          <w:szCs w:val="21"/>
          <w:color w:val="auto"/>
        </w:rPr>
      </w:pPr>
      <w:r>
        <w:rPr>
          <w:rFonts w:ascii="Arial" w:cs="Arial" w:eastAsia="Arial" w:hAnsi="Arial"/>
          <w:sz w:val="21"/>
          <w:szCs w:val="21"/>
          <w:color w:val="auto"/>
        </w:rPr>
        <w:t>contribute to my Supplemental Savings Plan account (at the time contributions customarily are made under the plan in accordance with its terms, but in no event later than March 15 of the year following the Separation Date) a payment equal to 1.0 times the average of my Supplemental Savings Plan benefit earned over the three (3) year period immediately preceding the Separation Date (less applicable withholdings);</w:t>
      </w:r>
    </w:p>
    <w:p>
      <w:pPr>
        <w:spacing w:after="0" w:line="174" w:lineRule="exact"/>
        <w:rPr>
          <w:rFonts w:ascii="Arial" w:cs="Arial" w:eastAsia="Arial" w:hAnsi="Arial"/>
          <w:sz w:val="21"/>
          <w:szCs w:val="21"/>
          <w:color w:val="auto"/>
        </w:rPr>
      </w:pPr>
    </w:p>
    <w:p>
      <w:pPr>
        <w:jc w:val="both"/>
        <w:ind w:left="-5" w:firstLine="5"/>
        <w:spacing w:after="0" w:line="271" w:lineRule="auto"/>
        <w:tabs>
          <w:tab w:leader="none" w:pos="282"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to me (and my spouse and eligible dependents, to the extent they have been provided with coverage on the date immediately prior to the Separation Date and otherwise continue to be eligible for coverage under the terms of the applicable governing documents) the opportunity to elect continuation coverage under COBRA in accordance with applicable law; however, if I (and my spouse and eligible dependents) waive the right to continuation coverage under COBRA, the Company will provide to me (and my spouse and eligible dependents, to the extent they have been provided with coverage on the date immediately prior to the Separation Date and otherwise continue to be eligible for coverage under the terms of the applicable governing documents) access to the Company's group medical and dental insurance for up to 24 months following the Separation Date; provided, that (i) during this 24-month period, I will be responsible for paying the full premium for any such coverage on an after-tax basis; (ii) after this 24-month period, I (and my spouse and eligible dependents, as applicable) will be eligible for an additional eighteen (18) months of coverage under the Company's group medical and dental insurance at my full cost on an after-tax basis if I am not otherwise eligible for another employer-sponsored group medical or dental plan; and (iii) notwithstanding any of the foregoing, the Company may find alternate medical and dental plan coverage if, by law or other restrictions outside the control of the Company, continued coverage under the Company’s health plans is not permitted;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5" w:firstLine="5"/>
        <w:spacing w:after="0" w:line="251" w:lineRule="auto"/>
        <w:tabs>
          <w:tab w:leader="none" w:pos="307"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provide to me full vesting credit for any unvested time-based equity awards that are outstanding as of the date of this Agreement; and</w:t>
      </w:r>
    </w:p>
    <w:p>
      <w:pPr>
        <w:spacing w:after="0" w:line="173" w:lineRule="exact"/>
        <w:rPr>
          <w:rFonts w:ascii="Arial" w:cs="Arial" w:eastAsia="Arial" w:hAnsi="Arial"/>
          <w:sz w:val="22"/>
          <w:szCs w:val="22"/>
          <w:color w:val="auto"/>
        </w:rPr>
      </w:pPr>
    </w:p>
    <w:p>
      <w:pPr>
        <w:jc w:val="both"/>
        <w:ind w:left="-5" w:firstLine="5"/>
        <w:spacing w:after="0" w:line="236" w:lineRule="auto"/>
        <w:tabs>
          <w:tab w:leader="none" w:pos="301" w:val="left"/>
        </w:tabs>
        <w:numPr>
          <w:ilvl w:val="0"/>
          <w:numId w:val="19"/>
        </w:numPr>
        <w:rPr>
          <w:rFonts w:ascii="Arial" w:cs="Arial" w:eastAsia="Arial" w:hAnsi="Arial"/>
          <w:sz w:val="22"/>
          <w:szCs w:val="22"/>
          <w:color w:val="auto"/>
        </w:rPr>
      </w:pPr>
      <w:r>
        <w:rPr>
          <w:rFonts w:ascii="Arial" w:cs="Arial" w:eastAsia="Arial" w:hAnsi="Arial"/>
          <w:sz w:val="22"/>
          <w:szCs w:val="22"/>
          <w:color w:val="auto"/>
        </w:rPr>
        <w:t>grant to me an equity award with a grant date value of Three Hundred Thousand Dollars and No Cents ($300,000.</w:t>
      </w:r>
      <w:r>
        <w:rPr>
          <w:rFonts w:ascii="Arial" w:cs="Arial" w:eastAsia="Arial" w:hAnsi="Arial"/>
          <w:sz w:val="18"/>
          <w:szCs w:val="18"/>
          <w:u w:val="single" w:color="auto"/>
          <w:color w:val="auto"/>
        </w:rPr>
        <w:t>00</w:t>
      </w:r>
      <w:r>
        <w:rPr>
          <w:rFonts w:ascii="Arial" w:cs="Arial" w:eastAsia="Arial" w:hAnsi="Arial"/>
          <w:sz w:val="22"/>
          <w:szCs w:val="22"/>
          <w:color w:val="auto"/>
        </w:rPr>
        <w:t>) (or as close as possible thereto depending on the type and terms of the award), with the number of units calculated based on the closing share price on the Separation Date (or the business day prior); provided that such equity award will be subject to vesting requirements set forth in the applicable award agreement and the terms and conditions of the Company’s 2017 Long-Term Incentive Plan.</w:t>
      </w:r>
    </w:p>
    <w:p>
      <w:pPr>
        <w:spacing w:after="0" w:line="200" w:lineRule="exact"/>
        <w:rPr>
          <w:sz w:val="20"/>
          <w:szCs w:val="20"/>
          <w:color w:val="auto"/>
        </w:rPr>
      </w:pPr>
    </w:p>
    <w:p>
      <w:pPr>
        <w:spacing w:after="0" w:line="204" w:lineRule="exact"/>
        <w:rPr>
          <w:sz w:val="20"/>
          <w:szCs w:val="20"/>
          <w:color w:val="auto"/>
        </w:rPr>
      </w:pPr>
    </w:p>
    <w:p>
      <w:pPr>
        <w:ind w:left="4775"/>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4" w:right="2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9"/>
          <w:szCs w:val="19"/>
          <w:color w:val="auto"/>
        </w:rPr>
        <w:t>I understand that the payments and other consideration described above shall commence no earlier than on the Company's regular payroll date occurring as soon as practical after the later of (i) the Separation Date, (ii) the date I have signed and returned the Agreement, or (iii) after the seven (7) day revocation period described in Paragraph 12 expires, and the equity award described above shall be granted no earlier than the later of (x) the Separation Date, (y) the date I have signed and returned the Agreement, or</w:t>
      </w:r>
    </w:p>
    <w:p>
      <w:pPr>
        <w:spacing w:after="0" w:line="4" w:lineRule="exact"/>
        <w:rPr>
          <w:sz w:val="20"/>
          <w:szCs w:val="20"/>
          <w:color w:val="auto"/>
        </w:rPr>
      </w:pPr>
    </w:p>
    <w:p>
      <w:pPr>
        <w:jc w:val="both"/>
        <w:ind w:firstLine="8"/>
        <w:spacing w:after="0" w:line="269" w:lineRule="auto"/>
        <w:tabs>
          <w:tab w:leader="none" w:pos="294"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date after expiration of the seven (7) day revocation period described in Paragraph 12; provided, however, that any payments or other consideration due hereunder (and after the effective date of this release) that would have been payable or provided within the first sixty (60) days following my Separation Date but that were not paid or provided within that period shall be paid or provided on the sixty-fifth (65</w:t>
      </w:r>
      <w:r>
        <w:rPr>
          <w:rFonts w:ascii="Arial" w:cs="Arial" w:eastAsia="Arial" w:hAnsi="Arial"/>
          <w:sz w:val="16"/>
          <w:szCs w:val="16"/>
          <w:color w:val="auto"/>
        </w:rPr>
        <w:t>th</w:t>
      </w:r>
      <w:r>
        <w:rPr>
          <w:rFonts w:ascii="Arial" w:cs="Arial" w:eastAsia="Arial" w:hAnsi="Arial"/>
          <w:sz w:val="19"/>
          <w:szCs w:val="19"/>
          <w:color w:val="auto"/>
        </w:rPr>
        <w:t>) day (or the next business day thereafter) following my Separation Date. I understand that, if I elect the additional eighteen months of group medical and/or dental coverage under subsection (f)(ii), I will be under a continuing obligation to immediately notify the Company if I become eligible for other employer-sponsored group medical and/or dental coverage. I understand that my failure to do so will result in the Company's right to seek recoupment of any claims paid on behalf of me, my spouse, or eligible dependents under the group medical or dental coverage retroactive to the date on which I became eligible for other employer-sponsored group medical or dental coverage. I acknowledge that the payments described above constitute full and fair consideration for the release of My Claims, that the Company is not otherwise obligated to make these payments to me in the absence of my execution and non-revocation of this Agreement, and that they are in addition to any other sums to which I am otherwise due. This consideration is in full satisfaction of any rights and benefits that I may otherwise be entitled to receive, if any, under any applicable Great Lakes Dredge &amp; Dock Company Severance Pay Plan and the Employment Agreement, which in any event require the execution of a release in a form satisfactory to the Company in exchange for any such benefits. I also acknowledge that I have received all other forms of compensation, of whatever kind, that may be due to me by the Company, including, without limitation, amounts earned by me prior to the Separation Date. I understand that the Company’s obligation to provide the consideration set forth above is conditioned on my continued compliance with my contractual obligations to the Company, including those set forth in Articles IV and V of the Employment Agreement, and in this Agreement, and subject to any other conditions and requirements as otherwise set forth in the Employment Agreement, including without limitation those set forth in Sections 3.6 and 4.6 thereof.</w:t>
      </w:r>
    </w:p>
    <w:p>
      <w:pPr>
        <w:spacing w:after="0" w:line="200" w:lineRule="exact"/>
        <w:rPr>
          <w:sz w:val="20"/>
          <w:szCs w:val="20"/>
          <w:color w:val="auto"/>
        </w:rPr>
      </w:pPr>
    </w:p>
    <w:p>
      <w:pPr>
        <w:spacing w:after="0" w:line="201" w:lineRule="exact"/>
        <w:rPr>
          <w:sz w:val="20"/>
          <w:szCs w:val="20"/>
          <w:color w:val="auto"/>
        </w:rPr>
      </w:pPr>
    </w:p>
    <w:p>
      <w:pPr>
        <w:jc w:val="both"/>
        <w:ind w:firstLine="8"/>
        <w:spacing w:after="0" w:line="239" w:lineRule="auto"/>
        <w:tabs>
          <w:tab w:leader="none" w:pos="81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color w:val="auto"/>
        </w:rPr>
        <w:t>. I hereby represent and warrant that I have returned to the Company all of its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that was ever in my possession or control. This property includes, but is not limited to, financial and other business records, personnel records, office and other keys, directories, computer hardware and software, passwords, books, documents, memoranda, and all other records, and copies of all such items.</w:t>
      </w:r>
    </w:p>
    <w:p>
      <w:pPr>
        <w:spacing w:after="0" w:line="180" w:lineRule="exact"/>
        <w:rPr>
          <w:rFonts w:ascii="Arial" w:cs="Arial" w:eastAsia="Arial" w:hAnsi="Arial"/>
          <w:sz w:val="22"/>
          <w:szCs w:val="22"/>
          <w:color w:val="auto"/>
        </w:rPr>
      </w:pPr>
    </w:p>
    <w:p>
      <w:pPr>
        <w:jc w:val="both"/>
        <w:ind w:firstLine="8"/>
        <w:spacing w:after="0" w:line="237" w:lineRule="auto"/>
        <w:tabs>
          <w:tab w:leader="none" w:pos="81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Relationship</w:t>
      </w:r>
      <w:r>
        <w:rPr>
          <w:rFonts w:ascii="Arial" w:cs="Arial" w:eastAsia="Arial" w:hAnsi="Arial"/>
          <w:sz w:val="22"/>
          <w:szCs w:val="22"/>
          <w:b w:val="1"/>
          <w:bCs w:val="1"/>
          <w:color w:val="auto"/>
        </w:rPr>
        <w:t xml:space="preserve">. </w:t>
      </w:r>
      <w:r>
        <w:rPr>
          <w:rFonts w:ascii="Arial" w:cs="Arial" w:eastAsia="Arial" w:hAnsi="Arial"/>
          <w:sz w:val="22"/>
          <w:szCs w:val="22"/>
          <w:color w:val="auto"/>
        </w:rPr>
        <w:t>I acknowledge that my employment has been separated by my voluntary resignation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referenced in the introductory paragraph to this Agreement. I further agree not to apply for future employment with the Company, or any of its affiliates or successors. I acknowledge that neither the Company nor its successors have any obligation, contractual or otherwise, to rehire, reemploy, recall, or hire me as an employee in the future. I understand that this Agreement does not constitute an admission of wrongdoing by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9"/>
          <w:szCs w:val="19"/>
          <w:color w:val="auto"/>
        </w:rPr>
        <w:t>party. I also understand and agree that all post-employment non-competition and/or other covenants and obligations to the Company, including without limitation those set forth in Articles IV and V of the Employment Agreement, which I acknowledge and reaffirm with this Agreement, remain in full force and effect for the period of time stated in the Employment Agreement and any other written agreement between me and the Company, including without limitation this Agreement, and as imposed by law.</w:t>
      </w:r>
    </w:p>
    <w:p>
      <w:pPr>
        <w:spacing w:after="0" w:line="137" w:lineRule="exact"/>
        <w:rPr>
          <w:sz w:val="20"/>
          <w:szCs w:val="20"/>
          <w:color w:val="auto"/>
        </w:rPr>
      </w:pPr>
    </w:p>
    <w:p>
      <w:pPr>
        <w:ind w:right="20" w:firstLine="8"/>
        <w:spacing w:after="0" w:line="256" w:lineRule="auto"/>
        <w:tabs>
          <w:tab w:leader="none" w:pos="81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Consultation with Attorney</w:t>
      </w:r>
      <w:r>
        <w:rPr>
          <w:rFonts w:ascii="Arial" w:cs="Arial" w:eastAsia="Arial" w:hAnsi="Arial"/>
          <w:sz w:val="22"/>
          <w:szCs w:val="22"/>
          <w:color w:val="auto"/>
        </w:rPr>
        <w:t>. I acknowledge that the Company has advised me that it is up to me as to whether I consult</w:t>
      </w:r>
      <w:r>
        <w:rPr>
          <w:rFonts w:ascii="Arial" w:cs="Arial" w:eastAsia="Arial" w:hAnsi="Arial"/>
          <w:sz w:val="22"/>
          <w:szCs w:val="22"/>
          <w:b w:val="1"/>
          <w:bCs w:val="1"/>
          <w:color w:val="auto"/>
        </w:rPr>
        <w:t xml:space="preserve"> </w:t>
      </w:r>
      <w:r>
        <w:rPr>
          <w:rFonts w:ascii="Arial" w:cs="Arial" w:eastAsia="Arial" w:hAnsi="Arial"/>
          <w:sz w:val="22"/>
          <w:szCs w:val="22"/>
          <w:color w:val="auto"/>
        </w:rPr>
        <w:t>an attorney prior to signing this Agreement, and that the Company has advised that I should do so.</w:t>
      </w:r>
    </w:p>
    <w:p>
      <w:pPr>
        <w:spacing w:after="0" w:line="162" w:lineRule="exact"/>
        <w:rPr>
          <w:rFonts w:ascii="Arial" w:cs="Arial" w:eastAsia="Arial" w:hAnsi="Arial"/>
          <w:sz w:val="22"/>
          <w:szCs w:val="22"/>
          <w:color w:val="auto"/>
        </w:rPr>
      </w:pPr>
    </w:p>
    <w:p>
      <w:pPr>
        <w:ind w:firstLine="8"/>
        <w:spacing w:after="0" w:line="256" w:lineRule="auto"/>
        <w:tabs>
          <w:tab w:leader="none" w:pos="81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 Non-Disparagement; Continued Assistance</w:t>
      </w:r>
      <w:r>
        <w:rPr>
          <w:rFonts w:ascii="Arial" w:cs="Arial" w:eastAsia="Arial" w:hAnsi="Arial"/>
          <w:sz w:val="22"/>
          <w:szCs w:val="22"/>
          <w:color w:val="auto"/>
        </w:rPr>
        <w:t>. In further consideration of the payments and benefits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above, I agree as follows:</w:t>
      </w:r>
    </w:p>
    <w:p>
      <w:pPr>
        <w:spacing w:after="0" w:line="168" w:lineRule="exact"/>
        <w:rPr>
          <w:rFonts w:ascii="Arial" w:cs="Arial" w:eastAsia="Arial" w:hAnsi="Arial"/>
          <w:sz w:val="22"/>
          <w:szCs w:val="22"/>
          <w:color w:val="auto"/>
        </w:rPr>
      </w:pPr>
    </w:p>
    <w:p>
      <w:pPr>
        <w:jc w:val="both"/>
        <w:ind w:firstLine="885"/>
        <w:spacing w:after="0" w:line="271" w:lineRule="auto"/>
        <w:tabs>
          <w:tab w:leader="none" w:pos="1266" w:val="left"/>
        </w:tabs>
        <w:numPr>
          <w:ilvl w:val="1"/>
          <w:numId w:val="22"/>
        </w:numPr>
        <w:rPr>
          <w:rFonts w:ascii="Arial" w:cs="Arial" w:eastAsia="Arial" w:hAnsi="Arial"/>
          <w:sz w:val="19"/>
          <w:szCs w:val="19"/>
          <w:color w:val="auto"/>
        </w:rPr>
      </w:pPr>
      <w:r>
        <w:rPr>
          <w:rFonts w:ascii="Arial" w:cs="Arial" w:eastAsia="Arial" w:hAnsi="Arial"/>
          <w:sz w:val="19"/>
          <w:szCs w:val="19"/>
          <w:i w:val="1"/>
          <w:iCs w:val="1"/>
          <w:u w:val="single" w:color="auto"/>
          <w:color w:val="auto"/>
        </w:rPr>
        <w:t>Confidentiality</w:t>
      </w:r>
      <w:r>
        <w:rPr>
          <w:rFonts w:ascii="Arial" w:cs="Arial" w:eastAsia="Arial" w:hAnsi="Arial"/>
          <w:sz w:val="19"/>
          <w:szCs w:val="19"/>
          <w:i w:val="1"/>
          <w:iCs w:val="1"/>
          <w:color w:val="auto"/>
        </w:rPr>
        <w:t xml:space="preserve">: </w:t>
      </w:r>
      <w:r>
        <w:rPr>
          <w:rFonts w:ascii="Arial" w:cs="Arial" w:eastAsia="Arial" w:hAnsi="Arial"/>
          <w:sz w:val="19"/>
          <w:szCs w:val="19"/>
          <w:color w:val="auto"/>
        </w:rPr>
        <w:t>I understand and agree that I have certain confidentiality and other continuing obligations as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in the Employment Agreement, including without limitation those set forth in Articles IV and V thereof, and subject to the terms and conditions set forth therein. All duties and obligations set forth in the Employment Agreement shall be in addition to those which exist under the applicable state trade secret act(s) and at common law. However, nothing in this Agreement prohibits me from reporting possible violations of federal, state, or local law or regulation to any governmental agency or entity, including, but not limited to, the Department of Justice, the Securities and Exchange Commission, the U.S. Congress, and any Agency Inspector General, or making other disclosures (including but not limited to providing documents or other information) that are protected under the whistleblower provisions of federal law or regulation. I do not need the prior authorization of the Company to make any such reports or disclosures, and I am not required to notify the Company that I have made such reports or disclosures. I am also not limited in my right to receive an award for information provided to any government agency. As provided by federal law (18 U.S.C. §1833), I understand that I will not be held criminally or civilly liable under any federal or state trade secret law for my disclosure of a trade secret that is made by me: (a) in confidence to a federal, state, or local government official, either directly or indirectly, or to an attorney, and solely for the purpose of reporting or investigating a suspected violation of law; or (b) in a complaint or other document filed by me in a lawsuit or other proceeding, on the condition that such filing is made under seal.</w:t>
      </w:r>
    </w:p>
    <w:p>
      <w:pPr>
        <w:spacing w:after="0" w:line="165" w:lineRule="exact"/>
        <w:rPr>
          <w:rFonts w:ascii="Arial" w:cs="Arial" w:eastAsia="Arial" w:hAnsi="Arial"/>
          <w:sz w:val="19"/>
          <w:szCs w:val="19"/>
          <w:color w:val="auto"/>
        </w:rPr>
      </w:pPr>
    </w:p>
    <w:p>
      <w:pPr>
        <w:jc w:val="both"/>
        <w:ind w:firstLine="885"/>
        <w:spacing w:after="0" w:line="297" w:lineRule="auto"/>
        <w:tabs>
          <w:tab w:leader="none" w:pos="1237" w:val="left"/>
        </w:tabs>
        <w:numPr>
          <w:ilvl w:val="1"/>
          <w:numId w:val="22"/>
        </w:numPr>
        <w:rPr>
          <w:rFonts w:ascii="Arial" w:cs="Arial" w:eastAsia="Arial" w:hAnsi="Arial"/>
          <w:sz w:val="19"/>
          <w:szCs w:val="19"/>
          <w:color w:val="auto"/>
        </w:rPr>
      </w:pPr>
      <w:r>
        <w:rPr>
          <w:rFonts w:ascii="Arial" w:cs="Arial" w:eastAsia="Arial" w:hAnsi="Arial"/>
          <w:sz w:val="19"/>
          <w:szCs w:val="19"/>
          <w:i w:val="1"/>
          <w:iCs w:val="1"/>
          <w:u w:val="single" w:color="auto"/>
          <w:color w:val="auto"/>
        </w:rPr>
        <w:t>Non-Disparagement: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 agree to refrain from making any disparaging or defamatory comments to anyone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but not limited to, the Company's customers) concerning the Company, its employees, agents, operations, or plans. I agree that any inquiries concerning the Company shall be directed to the Human Resources Department of Company for response.</w:t>
      </w:r>
    </w:p>
    <w:p>
      <w:pPr>
        <w:spacing w:after="0" w:line="134" w:lineRule="exact"/>
        <w:rPr>
          <w:rFonts w:ascii="Arial" w:cs="Arial" w:eastAsia="Arial" w:hAnsi="Arial"/>
          <w:sz w:val="19"/>
          <w:szCs w:val="19"/>
          <w:color w:val="auto"/>
        </w:rPr>
      </w:pPr>
    </w:p>
    <w:p>
      <w:pPr>
        <w:jc w:val="both"/>
        <w:ind w:firstLine="885"/>
        <w:spacing w:after="0" w:line="236" w:lineRule="auto"/>
        <w:tabs>
          <w:tab w:leader="none" w:pos="1171" w:val="left"/>
        </w:tabs>
        <w:numPr>
          <w:ilvl w:val="1"/>
          <w:numId w:val="22"/>
        </w:numPr>
        <w:rPr>
          <w:rFonts w:ascii="Arial" w:cs="Arial" w:eastAsia="Arial" w:hAnsi="Arial"/>
          <w:sz w:val="22"/>
          <w:szCs w:val="22"/>
          <w:color w:val="auto"/>
        </w:rPr>
      </w:pPr>
      <w:r>
        <w:rPr>
          <w:rFonts w:ascii="Arial" w:cs="Arial" w:eastAsia="Arial" w:hAnsi="Arial"/>
          <w:sz w:val="22"/>
          <w:szCs w:val="22"/>
          <w:i w:val="1"/>
          <w:iCs w:val="1"/>
          <w:u w:val="single" w:color="auto"/>
          <w:color w:val="auto"/>
        </w:rPr>
        <w:t>Continued Assistance</w:t>
      </w:r>
      <w:r>
        <w:rPr>
          <w:rFonts w:ascii="Arial" w:cs="Arial" w:eastAsia="Arial" w:hAnsi="Arial"/>
          <w:sz w:val="22"/>
          <w:szCs w:val="22"/>
          <w:color w:val="auto"/>
        </w:rPr>
        <w:t>: In further protection of the interests of the Company, I agree that, as to any matters currently</w:t>
      </w:r>
      <w:r>
        <w:rPr>
          <w:rFonts w:ascii="Arial" w:cs="Arial" w:eastAsia="Arial" w:hAnsi="Arial"/>
          <w:sz w:val="22"/>
          <w:szCs w:val="22"/>
          <w:i w:val="1"/>
          <w:iCs w:val="1"/>
          <w:color w:val="auto"/>
        </w:rPr>
        <w:t xml:space="preserve"> </w:t>
      </w:r>
      <w:r>
        <w:rPr>
          <w:rFonts w:ascii="Arial" w:cs="Arial" w:eastAsia="Arial" w:hAnsi="Arial"/>
          <w:sz w:val="22"/>
          <w:szCs w:val="22"/>
          <w:color w:val="auto"/>
        </w:rPr>
        <w:t>pending, or which arise relating to my employment with the Company, I will cooperate with the Company and its attorneys in connection with any proceeding involving the Company before a court, an administrative agency, governmental organization, or an arbitrator, and any other matters or requirements otherwise set forth in Section 5.2 of the Employment Agreement. The Company and I have agreed that such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7" w:name="page38"/>
    <w:bookmarkEnd w:id="37"/>
    <w:p>
      <w:pPr>
        <w:ind w:right="20"/>
        <w:spacing w:after="0" w:line="251" w:lineRule="auto"/>
        <w:rPr>
          <w:sz w:val="20"/>
          <w:szCs w:val="20"/>
          <w:color w:val="auto"/>
        </w:rPr>
      </w:pPr>
      <w:r>
        <w:rPr>
          <w:rFonts w:ascii="Arial" w:cs="Arial" w:eastAsia="Arial" w:hAnsi="Arial"/>
          <w:sz w:val="22"/>
          <w:szCs w:val="22"/>
          <w:color w:val="auto"/>
        </w:rPr>
        <w:t>cooperation and assistance will be provided for the 12-month period set out in Section 5.2 of the Employment Agreement, and thereafter as necessary.</w:t>
      </w:r>
    </w:p>
    <w:p>
      <w:pPr>
        <w:spacing w:after="0" w:line="167" w:lineRule="exact"/>
        <w:rPr>
          <w:sz w:val="20"/>
          <w:szCs w:val="20"/>
          <w:color w:val="auto"/>
        </w:rPr>
      </w:pPr>
    </w:p>
    <w:p>
      <w:pPr>
        <w:jc w:val="both"/>
        <w:ind w:firstLine="8"/>
        <w:spacing w:after="0" w:line="239" w:lineRule="auto"/>
        <w:tabs>
          <w:tab w:leader="none" w:pos="81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Violation of Agreement</w:t>
      </w:r>
      <w:r>
        <w:rPr>
          <w:rFonts w:ascii="Arial" w:cs="Arial" w:eastAsia="Arial" w:hAnsi="Arial"/>
          <w:sz w:val="22"/>
          <w:szCs w:val="22"/>
          <w:color w:val="auto"/>
        </w:rPr>
        <w:t>. If any legal action or other proceeding is brought for the enforcement of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non-breaching party shall be able to recover from the breaching party its reasonable attorney's fees, court costs and all expenses (including, without limitation, all such fees, costs and expenses incident to appeals), incurred in that action or proceeding, in addition to any other relief to which such party or parties may be entitled.</w:t>
      </w:r>
    </w:p>
    <w:p>
      <w:pPr>
        <w:spacing w:after="0" w:line="180" w:lineRule="exact"/>
        <w:rPr>
          <w:rFonts w:ascii="Arial" w:cs="Arial" w:eastAsia="Arial" w:hAnsi="Arial"/>
          <w:sz w:val="22"/>
          <w:szCs w:val="22"/>
          <w:color w:val="auto"/>
        </w:rPr>
      </w:pPr>
    </w:p>
    <w:p>
      <w:pPr>
        <w:jc w:val="both"/>
        <w:ind w:firstLine="8"/>
        <w:spacing w:after="0" w:line="243" w:lineRule="auto"/>
        <w:tabs>
          <w:tab w:leader="none" w:pos="918"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 understand, and it is my intent, that in the event this Agreement is ever held to be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whole or in part) as to any particular type of claim or charge or as to any particular circumstances, it shall remain fully valid and enforceable as to all other claims, charges, and circumstances.</w:t>
      </w:r>
    </w:p>
    <w:p>
      <w:pPr>
        <w:spacing w:after="0" w:line="176" w:lineRule="exact"/>
        <w:rPr>
          <w:rFonts w:ascii="Arial" w:cs="Arial" w:eastAsia="Arial" w:hAnsi="Arial"/>
          <w:sz w:val="22"/>
          <w:szCs w:val="22"/>
          <w:color w:val="auto"/>
        </w:rPr>
      </w:pPr>
    </w:p>
    <w:p>
      <w:pPr>
        <w:jc w:val="both"/>
        <w:ind w:firstLine="8"/>
        <w:spacing w:after="0" w:line="251" w:lineRule="auto"/>
        <w:tabs>
          <w:tab w:leader="none" w:pos="910"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Period to Consider Agreement and Expiration of Offer</w:t>
      </w:r>
      <w:r>
        <w:rPr>
          <w:rFonts w:ascii="Arial" w:cs="Arial" w:eastAsia="Arial" w:hAnsi="Arial"/>
          <w:sz w:val="21"/>
          <w:szCs w:val="21"/>
          <w:color w:val="auto"/>
        </w:rPr>
        <w:t>. As required by the ADEA and the OWBPA, I understand</w:t>
      </w:r>
      <w:r>
        <w:rPr>
          <w:rFonts w:ascii="Arial" w:cs="Arial" w:eastAsia="Arial" w:hAnsi="Arial"/>
          <w:sz w:val="21"/>
          <w:szCs w:val="21"/>
          <w:b w:val="1"/>
          <w:bCs w:val="1"/>
          <w:color w:val="auto"/>
        </w:rPr>
        <w:t xml:space="preserve"> </w:t>
      </w:r>
      <w:r>
        <w:rPr>
          <w:rFonts w:ascii="Arial" w:cs="Arial" w:eastAsia="Arial" w:hAnsi="Arial"/>
          <w:sz w:val="21"/>
          <w:szCs w:val="21"/>
          <w:color w:val="auto"/>
        </w:rPr>
        <w:t>that I have twenty-one (21) calendar days from the day that I receive this Agreement, not counting the day upon which I received it, to consider whether I wish to sign it. If I sign this Agreement before the end of the twenty-one (21) calendar day period, it will be my personal and voluntary decision to do so. I also understand that if I fail to deliver this Agreement to the Company within said period of time, it shall expire and be deemed withdrawn by the Company.</w:t>
      </w:r>
    </w:p>
    <w:p>
      <w:pPr>
        <w:spacing w:after="0" w:line="168" w:lineRule="exact"/>
        <w:rPr>
          <w:rFonts w:ascii="Arial" w:cs="Arial" w:eastAsia="Arial" w:hAnsi="Arial"/>
          <w:sz w:val="21"/>
          <w:szCs w:val="21"/>
          <w:color w:val="auto"/>
        </w:rPr>
      </w:pPr>
    </w:p>
    <w:p>
      <w:pPr>
        <w:jc w:val="both"/>
        <w:ind w:firstLine="8"/>
        <w:spacing w:after="0" w:line="239" w:lineRule="auto"/>
        <w:tabs>
          <w:tab w:leader="none" w:pos="918"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Revoke Agreement</w:t>
      </w:r>
      <w:r>
        <w:rPr>
          <w:rFonts w:ascii="Arial" w:cs="Arial" w:eastAsia="Arial" w:hAnsi="Arial"/>
          <w:sz w:val="22"/>
          <w:szCs w:val="22"/>
          <w:color w:val="auto"/>
        </w:rPr>
        <w:t>. I understand that I may revoke this Agreement at any time within seven (7) calendar days</w:t>
      </w:r>
      <w:r>
        <w:rPr>
          <w:rFonts w:ascii="Arial" w:cs="Arial" w:eastAsia="Arial" w:hAnsi="Arial"/>
          <w:sz w:val="22"/>
          <w:szCs w:val="22"/>
          <w:b w:val="1"/>
          <w:bCs w:val="1"/>
          <w:color w:val="auto"/>
        </w:rPr>
        <w:t xml:space="preserve"> </w:t>
      </w:r>
      <w:r>
        <w:rPr>
          <w:rFonts w:ascii="Arial" w:cs="Arial" w:eastAsia="Arial" w:hAnsi="Arial"/>
          <w:sz w:val="22"/>
          <w:szCs w:val="22"/>
          <w:color w:val="auto"/>
        </w:rPr>
        <w:t>after I sign it, not counting the day upon which I sign it. This Agreement will not become effective or enforceable unless and until the seven (7) calendar day revocation period has expired without my revoking it, i.e. on the eighth calendar day after I sign this Agreement.</w:t>
      </w:r>
    </w:p>
    <w:p>
      <w:pPr>
        <w:spacing w:after="0" w:line="180" w:lineRule="exact"/>
        <w:rPr>
          <w:rFonts w:ascii="Arial" w:cs="Arial" w:eastAsia="Arial" w:hAnsi="Arial"/>
          <w:sz w:val="22"/>
          <w:szCs w:val="22"/>
          <w:color w:val="auto"/>
        </w:rPr>
      </w:pPr>
    </w:p>
    <w:p>
      <w:pPr>
        <w:jc w:val="both"/>
        <w:ind w:firstLine="8"/>
        <w:spacing w:after="0" w:line="246" w:lineRule="auto"/>
        <w:tabs>
          <w:tab w:leader="none" w:pos="918"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Procedure to Accept or Revoke</w:t>
      </w:r>
      <w:r>
        <w:rPr>
          <w:rFonts w:ascii="Arial" w:cs="Arial" w:eastAsia="Arial" w:hAnsi="Arial"/>
          <w:sz w:val="21"/>
          <w:szCs w:val="21"/>
          <w:color w:val="auto"/>
        </w:rPr>
        <w:t>. To accept this Agreement, I must deliver the Agreement, after it has been signed and</w:t>
      </w:r>
      <w:r>
        <w:rPr>
          <w:rFonts w:ascii="Arial" w:cs="Arial" w:eastAsia="Arial" w:hAnsi="Arial"/>
          <w:sz w:val="21"/>
          <w:szCs w:val="21"/>
          <w:b w:val="1"/>
          <w:bCs w:val="1"/>
          <w:color w:val="auto"/>
        </w:rPr>
        <w:t xml:space="preserve"> </w:t>
      </w:r>
      <w:r>
        <w:rPr>
          <w:rFonts w:ascii="Arial" w:cs="Arial" w:eastAsia="Arial" w:hAnsi="Arial"/>
          <w:sz w:val="21"/>
          <w:szCs w:val="21"/>
          <w:color w:val="auto"/>
        </w:rPr>
        <w:t>dated by me, to the Company, by hand or by mail, and it must be received by the Company within the twenty-one (21) calendar day period that I have to consider this Agreement. To revoke my acceptance, I must deliver a written, signed statement that I revoke my acceptance to the Company by hand or by mail and any such notice of revocation must be received by the Company within seven (7) calendar days after I signed the Agreement. All deliveries shall be made to the Company at the following address, marked “Personal and Confidential”: Great Lakes Dredge &amp; Dock Company, LLC, 2122 York Road, Oak Brook, IL 60523, ATTN: Legal Department. If I choose to deliver my acceptance or revocation notice by mail, it must be: (a) postmarked and received by the Company within the applicable period stated above; (b) properly addressed to the Company at the address stated above; and (c) sent by certified mail, return receipt requested.</w:t>
      </w:r>
    </w:p>
    <w:p>
      <w:pPr>
        <w:spacing w:after="0" w:line="176" w:lineRule="exact"/>
        <w:rPr>
          <w:rFonts w:ascii="Arial" w:cs="Arial" w:eastAsia="Arial" w:hAnsi="Arial"/>
          <w:sz w:val="21"/>
          <w:szCs w:val="21"/>
          <w:color w:val="auto"/>
        </w:rPr>
      </w:pPr>
    </w:p>
    <w:p>
      <w:pPr>
        <w:jc w:val="both"/>
        <w:ind w:firstLine="8"/>
        <w:spacing w:after="0" w:line="243" w:lineRule="auto"/>
        <w:tabs>
          <w:tab w:leader="none" w:pos="918"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My Representations</w:t>
      </w:r>
      <w:r>
        <w:rPr>
          <w:rFonts w:ascii="Arial" w:cs="Arial" w:eastAsia="Arial" w:hAnsi="Arial"/>
          <w:sz w:val="22"/>
          <w:szCs w:val="22"/>
          <w:color w:val="auto"/>
        </w:rPr>
        <w:t>. I HAVE READ THIS AGREEMENT CAREFULLY, I HAVE HAD AN ADEQUATE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CONSULT AN ATTORNEY, AND I UNDERSTAND ALL OF ITS TERMS. IN AGREEING TO SIGN THIS AGREEMENT, I HAVE NOT RELIED ON ANY STATEMENTS OR EXPLANATIONS MADE BY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 w:name="page39"/>
    <w:bookmarkEnd w:id="38"/>
    <w:p>
      <w:pPr>
        <w:jc w:val="both"/>
        <w:spacing w:after="0" w:line="235" w:lineRule="auto"/>
        <w:rPr>
          <w:sz w:val="20"/>
          <w:szCs w:val="20"/>
          <w:color w:val="auto"/>
        </w:rPr>
      </w:pPr>
      <w:r>
        <w:rPr>
          <w:rFonts w:ascii="Arial" w:cs="Arial" w:eastAsia="Arial" w:hAnsi="Arial"/>
          <w:sz w:val="22"/>
          <w:szCs w:val="22"/>
          <w:color w:val="auto"/>
        </w:rPr>
        <w:t>COMPANY, EXCEPT AS SPECIFICALLY SET FORTH IN THIS AGREEMENT. I ALSO UNDERSTAND AND AGREE THAT THIS AGREEMENT CONTAINS ALL OF THE AGREEMENTS BETWEEN THE COMPANY AND ME RELATING TO THE MATTERS INCLUDED IN THIS AGREEMENT, EXCEPT AS TO ANY ADDITIONAL NON-COMPETE AND CONFIDENTIALITY AGREEMENTS TO WHICH I AM ALSO A PARTY. I ALSO AGREE THAT THIS AGREEMENT MAY BE EXECUTED IN ONE OR MORE COUNTERPARTS, ALL OF WHICH, TAKEN TOGETHER, SHALL CONSTITUTE ONE AND THE SAME AGREEMENT.</w:t>
      </w:r>
    </w:p>
    <w:p>
      <w:pPr>
        <w:spacing w:after="0" w:line="182" w:lineRule="exact"/>
        <w:rPr>
          <w:sz w:val="20"/>
          <w:szCs w:val="20"/>
          <w:color w:val="auto"/>
        </w:rPr>
      </w:pPr>
    </w:p>
    <w:p>
      <w:pPr>
        <w:jc w:val="both"/>
        <w:ind w:firstLine="8"/>
        <w:spacing w:after="0" w:line="278" w:lineRule="auto"/>
        <w:tabs>
          <w:tab w:leader="none" w:pos="918"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All payments and benefits to be made under this Agreement are intended to be exempt from or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Section 409A of the Internal Revenue Code of 1986, as amended (“Code”). To the extent that this Agreement addresses equity-based awards, the timing and form of settlement of such awards shall be governed by the applicable plan and award agreement. For purposes of Code Section 409A, the right to receive a series of installment payments under this Agreement shall be treated as a right to a series of separate payments. Further, for purposes of the limitations on nonqualified deferred compensation under Code Section 409A, each payment of compensation under this Agreement shall be treated as a separate payment. In no event may the Executive, directly or indirectly, designate the calendar year of a payment.</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Severance benefits under this Agreement are intended to be exempt from Code section 409A under the “separation pay exception,” to the maximum extent applicable. Any payments hereunder that qualify for the “short-term deferral” exception or another exception under Code Section 409A shall be paid under the applicable exception.</w:t>
      </w:r>
    </w:p>
    <w:p>
      <w:pPr>
        <w:spacing w:after="0" w:line="180" w:lineRule="exact"/>
        <w:rPr>
          <w:sz w:val="20"/>
          <w:szCs w:val="20"/>
          <w:color w:val="auto"/>
        </w:rPr>
      </w:pPr>
    </w:p>
    <w:p>
      <w:pPr>
        <w:ind w:firstLine="8"/>
        <w:spacing w:after="0" w:line="256" w:lineRule="auto"/>
        <w:tabs>
          <w:tab w:leader="none" w:pos="918"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t>Medicare Addendum</w:t>
      </w:r>
      <w:r>
        <w:rPr>
          <w:rFonts w:ascii="Arial" w:cs="Arial" w:eastAsia="Arial" w:hAnsi="Arial"/>
          <w:sz w:val="22"/>
          <w:szCs w:val="22"/>
          <w:color w:val="auto"/>
        </w:rPr>
        <w:t>. I represent that (a) I am not enrolled in Medicare, and (b) have not received any treatment from</w:t>
      </w:r>
      <w:r>
        <w:rPr>
          <w:rFonts w:ascii="Arial" w:cs="Arial" w:eastAsia="Arial" w:hAnsi="Arial"/>
          <w:sz w:val="22"/>
          <w:szCs w:val="22"/>
          <w:b w:val="1"/>
          <w:bCs w:val="1"/>
          <w:color w:val="auto"/>
        </w:rPr>
        <w:t xml:space="preserve"> </w:t>
      </w:r>
      <w:r>
        <w:rPr>
          <w:rFonts w:ascii="Arial" w:cs="Arial" w:eastAsia="Arial" w:hAnsi="Arial"/>
          <w:sz w:val="22"/>
          <w:szCs w:val="22"/>
          <w:color w:val="auto"/>
        </w:rPr>
        <w:t>Medicare related to My Claims.</w:t>
      </w:r>
    </w:p>
    <w:p>
      <w:pPr>
        <w:spacing w:after="0" w:line="162" w:lineRule="exact"/>
        <w:rPr>
          <w:rFonts w:ascii="Arial" w:cs="Arial" w:eastAsia="Arial" w:hAnsi="Arial"/>
          <w:sz w:val="22"/>
          <w:szCs w:val="22"/>
          <w:color w:val="auto"/>
        </w:rPr>
      </w:pPr>
    </w:p>
    <w:p>
      <w:pPr>
        <w:jc w:val="both"/>
        <w:ind w:firstLine="8"/>
        <w:spacing w:after="0" w:line="278" w:lineRule="auto"/>
        <w:tabs>
          <w:tab w:leader="none" w:pos="918" w:val="left"/>
        </w:tabs>
        <w:numPr>
          <w:ilvl w:val="0"/>
          <w:numId w:val="25"/>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Consent to Jurisdiction; Waiver of Jury</w:t>
      </w:r>
      <w:r>
        <w:rPr>
          <w:rFonts w:ascii="Arial" w:cs="Arial" w:eastAsia="Arial" w:hAnsi="Arial"/>
          <w:sz w:val="19"/>
          <w:szCs w:val="19"/>
          <w:color w:val="auto"/>
        </w:rPr>
        <w:t>. This Agreement shall be governed by and construed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accordance with the internal laws of the State of Illinois, without regard to its conflict of law principles. For the purposes of any suit, action, or other proceeding arising out of this Agreement or with respect to the Employment Agreement referenced herein, the parties: (i) agree to submit to the exclusive jurisdiction of the federal courts located in Cook County, Illinois or state courts located in DuPage County, Illinois; (ii) waive any objection to personal jurisdiction or venue in such jurisdiction, and agree not to plead or claim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(iii) WAIVE THEIR RESPECTIVE RIGHTS TO A JURY TRIAL OF ANY CLAIMS AND CAUSES OF ACTION, AND AGREE TO HAVE ANY MATTER HEARD AND DECIDED SOLELY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9" w:name="page40"/>
    <w:bookmarkEnd w:id="39"/>
    <w:p>
      <w:pPr>
        <w:ind w:left="2920"/>
        <w:spacing w:after="0"/>
        <w:rPr>
          <w:sz w:val="20"/>
          <w:szCs w:val="20"/>
          <w:color w:val="auto"/>
        </w:rPr>
      </w:pPr>
      <w:r>
        <w:rPr>
          <w:rFonts w:ascii="Arial" w:cs="Arial" w:eastAsia="Arial" w:hAnsi="Arial"/>
          <w:sz w:val="22"/>
          <w:szCs w:val="22"/>
          <w:color w:val="auto"/>
        </w:rPr>
        <w:t>Date:_____</w:t>
      </w:r>
      <w:r>
        <w:rPr>
          <w:rFonts w:ascii="Arial" w:cs="Arial" w:eastAsia="Arial" w:hAnsi="Arial"/>
          <w:sz w:val="22"/>
          <w:szCs w:val="22"/>
          <w:u w:val="single" w:color="auto"/>
          <w:color w:val="auto"/>
        </w:rPr>
        <w:t>July 30, 2019</w:t>
      </w:r>
      <w:r>
        <w:rPr>
          <w:rFonts w:ascii="Arial" w:cs="Arial" w:eastAsia="Arial" w:hAnsi="Arial"/>
          <w:sz w:val="22"/>
          <w:szCs w:val="22"/>
          <w:color w:val="auto"/>
        </w:rPr>
        <w:t>___________________</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 Christopher P. Shea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60"/>
        <w:spacing w:after="0" w:line="328" w:lineRule="auto"/>
        <w:rPr>
          <w:sz w:val="20"/>
          <w:szCs w:val="20"/>
          <w:color w:val="auto"/>
        </w:rPr>
      </w:pPr>
      <w:r>
        <w:rPr>
          <w:rFonts w:ascii="Arial" w:cs="Arial" w:eastAsia="Arial" w:hAnsi="Arial"/>
          <w:sz w:val="19"/>
          <w:szCs w:val="19"/>
          <w:color w:val="auto"/>
        </w:rPr>
        <w:t>Received and agreed to by Great Lakes Dredge &amp; Dock Corporation on behalf of itself and all other persons and entities released herein:</w:t>
      </w:r>
    </w:p>
    <w:p>
      <w:pPr>
        <w:spacing w:after="0" w:line="10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By: /s/ Mark S. Marinko</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Date:_____</w:t>
      </w:r>
      <w:r>
        <w:rPr>
          <w:rFonts w:ascii="Arial" w:cs="Arial" w:eastAsia="Arial" w:hAnsi="Arial"/>
          <w:sz w:val="22"/>
          <w:szCs w:val="22"/>
          <w:u w:val="single" w:color="auto"/>
          <w:color w:val="auto"/>
        </w:rPr>
        <w:t>July 31, 2019</w:t>
      </w:r>
      <w:r>
        <w:rPr>
          <w:rFonts w:ascii="Arial" w:cs="Arial" w:eastAsia="Arial" w:hAnsi="Arial"/>
          <w:sz w:val="22"/>
          <w:szCs w:val="22"/>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20"/>
          </w:cols>
          <w:pgMar w:left="1440" w:top="33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CONSULTING AGREEMENT</w:t>
      </w:r>
    </w:p>
    <w:p>
      <w:pPr>
        <w:spacing w:after="0" w:line="182"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 xml:space="preserve">THIS CONSULTING AGREEMENT </w:t>
      </w:r>
      <w:r>
        <w:rPr>
          <w:rFonts w:ascii="Arial" w:cs="Arial" w:eastAsia="Arial" w:hAnsi="Arial"/>
          <w:sz w:val="21"/>
          <w:szCs w:val="21"/>
          <w:color w:val="auto"/>
        </w:rPr>
        <w:t>is made and entered into this 31st day of July, 2019 (“Effective Date”), by and</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Great Lakes Dredge &amp; Dock Corporation with and on behalf of its wholly owned subsidiary, Great Lakes Environmental &amp; Infrastructure Solutions, LLC (collectively the “Company”) and Christopher P. Shea (“Consultant”).</w:t>
      </w:r>
    </w:p>
    <w:p>
      <w:pPr>
        <w:spacing w:after="0" w:line="164"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WHEREAS, the Company desires to engage the services of Consultant, and Consultant desires to serve, as an independent contractor to the Company, in connection with certain services related to the divestiture of the Environmental &amp; Infrastructure Division of the Company and transition activities provided therewith, all in accordance with the terms and conditions set forth in this Consulting Agreement.</w:t>
      </w:r>
    </w:p>
    <w:p>
      <w:pPr>
        <w:spacing w:after="0" w:line="18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NOW, THEREFORE, in consideration of the promises and mutual covenants contained in this Consulting Agreement, the parties agree as follows:</w:t>
      </w:r>
    </w:p>
    <w:p>
      <w:pPr>
        <w:spacing w:after="0" w:line="167" w:lineRule="exact"/>
        <w:rPr>
          <w:sz w:val="20"/>
          <w:szCs w:val="20"/>
          <w:color w:val="auto"/>
        </w:rPr>
      </w:pPr>
    </w:p>
    <w:p>
      <w:pPr>
        <w:jc w:val="both"/>
        <w:ind w:firstLine="885"/>
        <w:spacing w:after="0" w:line="243" w:lineRule="auto"/>
        <w:tabs>
          <w:tab w:leader="none" w:pos="168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Engagement</w:t>
      </w:r>
      <w:r>
        <w:rPr>
          <w:rFonts w:ascii="Arial" w:cs="Arial" w:eastAsia="Arial" w:hAnsi="Arial"/>
          <w:sz w:val="22"/>
          <w:szCs w:val="22"/>
          <w:color w:val="auto"/>
        </w:rPr>
        <w:t>. Pursuant to the terms and conditions contained in this Consulting Agreement, the Company now</w:t>
      </w:r>
      <w:r>
        <w:rPr>
          <w:rFonts w:ascii="Arial" w:cs="Arial" w:eastAsia="Arial" w:hAnsi="Arial"/>
          <w:sz w:val="22"/>
          <w:szCs w:val="22"/>
          <w:b w:val="1"/>
          <w:bCs w:val="1"/>
          <w:color w:val="auto"/>
        </w:rPr>
        <w:t xml:space="preserve"> </w:t>
      </w:r>
      <w:r>
        <w:rPr>
          <w:rFonts w:ascii="Arial" w:cs="Arial" w:eastAsia="Arial" w:hAnsi="Arial"/>
          <w:sz w:val="22"/>
          <w:szCs w:val="22"/>
          <w:color w:val="auto"/>
        </w:rPr>
        <w:t>engages Consultant to provide, and Consultant hereby agrees to provide to the Company, the “Consulting Services” (as defined below).</w:t>
      </w:r>
    </w:p>
    <w:p>
      <w:pPr>
        <w:spacing w:after="0" w:line="176" w:lineRule="exact"/>
        <w:rPr>
          <w:rFonts w:ascii="Arial" w:cs="Arial" w:eastAsia="Arial" w:hAnsi="Arial"/>
          <w:sz w:val="22"/>
          <w:szCs w:val="22"/>
          <w:b w:val="1"/>
          <w:bCs w:val="1"/>
          <w:color w:val="auto"/>
        </w:rPr>
      </w:pPr>
    </w:p>
    <w:p>
      <w:pPr>
        <w:jc w:val="both"/>
        <w:ind w:firstLine="885"/>
        <w:spacing w:after="0" w:line="236" w:lineRule="auto"/>
        <w:tabs>
          <w:tab w:leader="none" w:pos="168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Consulting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this Consulting Agreement, Consultant shall provide Consulting</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to the Company such as but not limited to services of a general nature related to the divestiture of the Environmental &amp; Infrastructure Division of the Company and transition activities provided therewith including wrapping up open issues with the Company, assisting in facilitating transition services, and ensure smooth transition of staff. Consultant shall devote such time, effort, and attention to providing the Consulting Services as may be required to fully, timely and professionally perform the Consulting Services.</w:t>
      </w:r>
    </w:p>
    <w:p>
      <w:pPr>
        <w:spacing w:after="0" w:line="182" w:lineRule="exact"/>
        <w:rPr>
          <w:rFonts w:ascii="Arial" w:cs="Arial" w:eastAsia="Arial" w:hAnsi="Arial"/>
          <w:sz w:val="22"/>
          <w:szCs w:val="22"/>
          <w:b w:val="1"/>
          <w:bCs w:val="1"/>
          <w:color w:val="auto"/>
        </w:rPr>
      </w:pPr>
    </w:p>
    <w:p>
      <w:pPr>
        <w:ind w:left="1700" w:hanging="815"/>
        <w:spacing w:after="0"/>
        <w:tabs>
          <w:tab w:leader="none" w:pos="17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Relationship of the Parties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85"/>
        <w:spacing w:after="0" w:line="277" w:lineRule="auto"/>
        <w:tabs>
          <w:tab w:leader="none" w:pos="1688"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The Company shall provide Consultant with instructions, if any, and information necessary to perform the Consulting Services as required by the Company; provided, however, that Consultant shall be free from direction and control by the Company in connection with the actual performance of the Consulting Services, both as to the work done and the manner and means in which it is performed. Consultant acknowledges and agrees that he is engaged in an occupation or business distinct from that of the Company, that the Consulting Services are not a part of the regular business of the Company, that Consultant is customarily engaged in an independently established trade, occupation, profession, or business of the same nature as the Consulting Services, and that the nature of the Consulting Services requires a special skill.</w:t>
      </w:r>
    </w:p>
    <w:p>
      <w:pPr>
        <w:spacing w:after="0" w:line="147" w:lineRule="exact"/>
        <w:rPr>
          <w:sz w:val="20"/>
          <w:szCs w:val="20"/>
          <w:color w:val="auto"/>
        </w:rPr>
      </w:pPr>
    </w:p>
    <w:p>
      <w:pPr>
        <w:jc w:val="both"/>
        <w:ind w:left="40"/>
        <w:spacing w:after="0" w:line="237" w:lineRule="auto"/>
        <w:rPr>
          <w:sz w:val="20"/>
          <w:szCs w:val="20"/>
          <w:color w:val="auto"/>
        </w:rPr>
      </w:pPr>
      <w:r>
        <w:rPr>
          <w:rFonts w:ascii="Arial" w:cs="Arial" w:eastAsia="Arial" w:hAnsi="Arial"/>
          <w:sz w:val="22"/>
          <w:szCs w:val="22"/>
          <w:b w:val="1"/>
          <w:bCs w:val="1"/>
          <w:color w:val="auto"/>
        </w:rPr>
        <w:t>b.</w:t>
      </w:r>
      <w:r>
        <w:rPr>
          <w:rFonts w:ascii="Arial" w:cs="Arial" w:eastAsia="Arial" w:hAnsi="Arial"/>
          <w:sz w:val="22"/>
          <w:szCs w:val="22"/>
          <w:color w:val="auto"/>
        </w:rPr>
        <w:t>Except as otherwise required by this Consulting Agreement, Consultant shall have no obligation to work any particular hours or</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hours, but it is expected that the Consulting Services will be completed in a timely manner as required by the Company. Consultant shall supply the instrumentalities, tools, and the place for performing the Consulting Services. Consultant acknowledges that the working relationship is of limited duration and is limited to the performance of the Consulting Services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jc w:val="both"/>
        <w:ind w:firstLine="885"/>
        <w:spacing w:after="0" w:line="235" w:lineRule="auto"/>
        <w:tabs>
          <w:tab w:leader="none" w:pos="1676"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 xml:space="preserve">The parties mutually agree, intend and understand that, in performance of the Consulting Services under this Consulting Agreement, </w:t>
      </w:r>
      <w:r>
        <w:rPr>
          <w:rFonts w:ascii="Arial" w:cs="Arial" w:eastAsia="Arial" w:hAnsi="Arial"/>
          <w:sz w:val="22"/>
          <w:szCs w:val="22"/>
          <w:u w:val="single" w:color="auto"/>
          <w:color w:val="auto"/>
        </w:rPr>
        <w:t>Consultant at all times will act and perform solely as an independent contractor in the performance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Consulting Services and otherwise, and not as (and shall not be) an employee of the Company</w:t>
      </w:r>
      <w:r>
        <w:rPr>
          <w:rFonts w:ascii="Arial" w:cs="Arial" w:eastAsia="Arial" w:hAnsi="Arial"/>
          <w:sz w:val="22"/>
          <w:szCs w:val="22"/>
          <w:color w:val="auto"/>
        </w:rPr>
        <w:t>. This Consulting Agreement shall not be deemed to represent in any way that Consultant was hired by the Company as an employee, nor does it constitute a contract of employment. Consultant will make no representations to third parties inconsistent with the relationship established by this Consulting Agreement.</w:t>
      </w:r>
    </w:p>
    <w:p>
      <w:pPr>
        <w:spacing w:after="0" w:line="188" w:lineRule="exact"/>
        <w:rPr>
          <w:rFonts w:ascii="Arial" w:cs="Arial" w:eastAsia="Arial" w:hAnsi="Arial"/>
          <w:sz w:val="22"/>
          <w:szCs w:val="22"/>
          <w:b w:val="1"/>
          <w:bCs w:val="1"/>
          <w:color w:val="auto"/>
        </w:rPr>
      </w:pPr>
    </w:p>
    <w:p>
      <w:pPr>
        <w:jc w:val="both"/>
        <w:ind w:firstLine="885"/>
        <w:spacing w:after="0" w:line="272" w:lineRule="auto"/>
        <w:tabs>
          <w:tab w:leader="none" w:pos="1754"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 xml:space="preserve">All amounts payable through this Consulting Agreement to Consultant shall be paid without any reduction by the Company for any taxes, including but not limited to foreign or federal, state or local income, employment, self-employment or withholding taxes. It is the intention of the parties that Consultant shall be solely responsible for the payment of all taxes, fines, penalties or assessments imposed on or related to Consultant’s activities pursuant to this Consulting Agreement. Consultant shall indemnify, defend, and hold harmless the Company, and each of its respective officers, directors, representatives, agents, and employees, from and against any and all liabilities which the Company may incur as a result of any failure by Consultant to pay any local, state or federal income, employment, self-employment, or withholding tax, including without limitation any failure to timely pay any estimated tax. If it is determined at any time that Consultant is not an independent contractor under this Consulting Agreement, Consultant agrees to indemnify and hold harmless the Company for any and all taxes, interest, penalties, liabilities, expenses, and any other costs resulting from or arising out of such determination. This obligation shall survive the expiration or earlier termination of this Consulting Agreement. </w:t>
      </w:r>
      <w:r>
        <w:rPr>
          <w:rFonts w:ascii="Arial" w:cs="Arial" w:eastAsia="Arial" w:hAnsi="Arial"/>
          <w:sz w:val="19"/>
          <w:szCs w:val="19"/>
          <w:u w:val="single" w:color="auto"/>
          <w:color w:val="auto"/>
        </w:rPr>
        <w:t>Consultant is not entitled to unemployment insurance benefits unless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unemployment compensation coverage is provided by Consultant or some other entity, and Consultant is obligated to pay federal and state income tax on any moneys paid pursuant to this Agreement.</w:t>
      </w:r>
    </w:p>
    <w:p>
      <w:pPr>
        <w:spacing w:after="0" w:line="200" w:lineRule="exact"/>
        <w:rPr>
          <w:rFonts w:ascii="Arial" w:cs="Arial" w:eastAsia="Arial" w:hAnsi="Arial"/>
          <w:sz w:val="19"/>
          <w:szCs w:val="19"/>
          <w:b w:val="1"/>
          <w:bCs w:val="1"/>
          <w:color w:val="auto"/>
        </w:rPr>
      </w:pPr>
    </w:p>
    <w:p>
      <w:pPr>
        <w:spacing w:after="0" w:line="204" w:lineRule="exact"/>
        <w:rPr>
          <w:rFonts w:ascii="Arial" w:cs="Arial" w:eastAsia="Arial" w:hAnsi="Arial"/>
          <w:sz w:val="19"/>
          <w:szCs w:val="19"/>
          <w:b w:val="1"/>
          <w:bCs w:val="1"/>
          <w:color w:val="auto"/>
        </w:rPr>
      </w:pPr>
    </w:p>
    <w:p>
      <w:pPr>
        <w:ind w:firstLine="885"/>
        <w:spacing w:after="0" w:line="251" w:lineRule="auto"/>
        <w:tabs>
          <w:tab w:leader="none" w:pos="1676" w:val="left"/>
        </w:tabs>
        <w:numPr>
          <w:ilvl w:val="0"/>
          <w:numId w:val="28"/>
        </w:numPr>
        <w:rPr>
          <w:rFonts w:ascii="Arial" w:cs="Arial" w:eastAsia="Arial" w:hAnsi="Arial"/>
          <w:sz w:val="22"/>
          <w:szCs w:val="22"/>
          <w:b w:val="1"/>
          <w:bCs w:val="1"/>
          <w:color w:val="auto"/>
        </w:rPr>
      </w:pPr>
      <w:r>
        <w:rPr>
          <w:rFonts w:ascii="Arial" w:cs="Arial" w:eastAsia="Arial" w:hAnsi="Arial"/>
          <w:sz w:val="22"/>
          <w:szCs w:val="22"/>
          <w:color w:val="auto"/>
        </w:rPr>
        <w:t>Unless otherwise agreed in writing by the parties, Consultant shall be solely responsible for any and all expenses incurred in connection with the provision of Consulting Services pursuant to this Consulting Agreement.</w:t>
      </w:r>
    </w:p>
    <w:p>
      <w:pPr>
        <w:spacing w:after="0" w:line="173" w:lineRule="exact"/>
        <w:rPr>
          <w:rFonts w:ascii="Arial" w:cs="Arial" w:eastAsia="Arial" w:hAnsi="Arial"/>
          <w:sz w:val="22"/>
          <w:szCs w:val="22"/>
          <w:b w:val="1"/>
          <w:bCs w:val="1"/>
          <w:color w:val="auto"/>
        </w:rPr>
      </w:pPr>
    </w:p>
    <w:p>
      <w:pPr>
        <w:ind w:firstLine="885"/>
        <w:spacing w:after="0" w:line="328" w:lineRule="auto"/>
        <w:tabs>
          <w:tab w:leader="none" w:pos="1652"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Consultant shall not be entitled by virtue of his engagement pursuant to this Consulting Agreement to participate in any insurance, pension plans, bonus plans, or other employee benefits provided by the Company to its employees.</w:t>
      </w:r>
    </w:p>
    <w:p>
      <w:pPr>
        <w:spacing w:after="0" w:line="99" w:lineRule="exact"/>
        <w:rPr>
          <w:sz w:val="20"/>
          <w:szCs w:val="20"/>
          <w:color w:val="auto"/>
        </w:rPr>
      </w:pPr>
    </w:p>
    <w:p>
      <w:pPr>
        <w:ind w:firstLine="885"/>
        <w:spacing w:after="0" w:line="256" w:lineRule="auto"/>
        <w:tabs>
          <w:tab w:leader="none" w:pos="1688"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Remuneration</w:t>
      </w:r>
      <w:r>
        <w:rPr>
          <w:rFonts w:ascii="Arial" w:cs="Arial" w:eastAsia="Arial" w:hAnsi="Arial"/>
          <w:sz w:val="22"/>
          <w:szCs w:val="22"/>
          <w:color w:val="auto"/>
        </w:rPr>
        <w:t>. In full payment and satisfaction for Consultant’s provision of Consulting Services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Consulting Agreement, the Company shall:</w:t>
      </w:r>
    </w:p>
    <w:p>
      <w:pPr>
        <w:spacing w:after="0" w:line="169" w:lineRule="exact"/>
        <w:rPr>
          <w:sz w:val="20"/>
          <w:szCs w:val="20"/>
          <w:color w:val="auto"/>
        </w:rPr>
      </w:pPr>
    </w:p>
    <w:p>
      <w:pPr>
        <w:jc w:val="both"/>
        <w:ind w:firstLine="885"/>
        <w:spacing w:after="0" w:line="297" w:lineRule="auto"/>
        <w:tabs>
          <w:tab w:leader="none" w:pos="1688"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pay Consultant a retainer for the first twelve (12) months of the Term in the amount of Sixteen Thousand Six Hundred Sixty-Seven Dollars and No Cents ($16,667.00) per month (or pro rata portion thereof) of Consulting Services, following which remuneration shall be agreed in writing on a task-by-task basis prior to the provision of such Consulting Services; and</w:t>
      </w:r>
    </w:p>
    <w:p>
      <w:pPr>
        <w:spacing w:after="0" w:line="134" w:lineRule="exact"/>
        <w:rPr>
          <w:rFonts w:ascii="Arial" w:cs="Arial" w:eastAsia="Arial" w:hAnsi="Arial"/>
          <w:sz w:val="19"/>
          <w:szCs w:val="19"/>
          <w:b w:val="1"/>
          <w:bCs w:val="1"/>
          <w:color w:val="auto"/>
        </w:rPr>
      </w:pPr>
    </w:p>
    <w:p>
      <w:pPr>
        <w:ind w:firstLine="885"/>
        <w:spacing w:after="0" w:line="251" w:lineRule="auto"/>
        <w:tabs>
          <w:tab w:leader="none" w:pos="1700"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allow Consultant to retain the performance-based restricted stock unit awards granted by Great Lakes Dredge &amp; Dock Corporation in 2018 and to have the opportunity to vest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2" w:name="page43"/>
    <w:bookmarkEnd w:id="42"/>
    <w:p>
      <w:pPr>
        <w:jc w:val="both"/>
        <w:spacing w:after="0" w:line="252" w:lineRule="auto"/>
        <w:rPr>
          <w:sz w:val="20"/>
          <w:szCs w:val="20"/>
          <w:color w:val="auto"/>
        </w:rPr>
      </w:pPr>
      <w:r>
        <w:rPr>
          <w:rFonts w:ascii="Arial" w:cs="Arial" w:eastAsia="Arial" w:hAnsi="Arial"/>
          <w:sz w:val="21"/>
          <w:szCs w:val="21"/>
          <w:color w:val="auto"/>
        </w:rPr>
        <w:t>in such awards in accordance with their terms; provided that (i) Consultant has performed the Consulting Services to the satisfaction of the Company, as determined in the Company’s sole discretion, (ii) this Consulting Agreement has not been earlier terminated by Consultant or the Company as set forth in Paragraph 6, below, and (iii) such awards shall be subject to the terms and conditions of the applicable award agreement and the Company’s 2017 Long-Term Incentive Plan.</w:t>
      </w:r>
    </w:p>
    <w:p>
      <w:pPr>
        <w:spacing w:after="0" w:line="174"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21"/>
          <w:szCs w:val="21"/>
          <w:color w:val="auto"/>
        </w:rPr>
        <w:t>The Company will reimburse Consultant for reasonable travel and/or expenses related to his provision of Consulting Services, so long as receipts for the amount of such expenses are submitted and approved by the Company.</w:t>
      </w:r>
    </w:p>
    <w:p>
      <w:pPr>
        <w:spacing w:after="0" w:line="15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Consultant shall invoice the Company on a monthly basis for any expenses incurred and, upon request from the Company, will provide a detailed summary of Consultant Services performed and the time engaged on each matter.</w:t>
      </w:r>
    </w:p>
    <w:p>
      <w:pPr>
        <w:spacing w:after="0" w:line="145" w:lineRule="exact"/>
        <w:rPr>
          <w:sz w:val="20"/>
          <w:szCs w:val="20"/>
          <w:color w:val="auto"/>
        </w:rPr>
      </w:pPr>
    </w:p>
    <w:p>
      <w:pPr>
        <w:jc w:val="both"/>
        <w:ind w:firstLine="885"/>
        <w:spacing w:after="0" w:line="249" w:lineRule="auto"/>
        <w:tabs>
          <w:tab w:leader="none" w:pos="1688"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Outside Business Activities</w:t>
      </w:r>
      <w:r>
        <w:rPr>
          <w:rFonts w:ascii="Arial" w:cs="Arial" w:eastAsia="Arial" w:hAnsi="Arial"/>
          <w:sz w:val="21"/>
          <w:szCs w:val="21"/>
          <w:color w:val="auto"/>
        </w:rPr>
        <w:t>. Consultant retains the right to engage in any outside business activities;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however, his involvement in such outside activities does not cause Consultant to breach any provision of this Consulting Agreement, including without limitation those contained in </w:t>
      </w:r>
      <w:r>
        <w:rPr>
          <w:rFonts w:ascii="Arial" w:cs="Arial" w:eastAsia="Arial" w:hAnsi="Arial"/>
          <w:sz w:val="21"/>
          <w:szCs w:val="21"/>
          <w:u w:val="single" w:color="auto"/>
          <w:color w:val="auto"/>
        </w:rPr>
        <w:t>Sections 7, 8, 9, and 10</w:t>
      </w:r>
      <w:r>
        <w:rPr>
          <w:rFonts w:ascii="Arial" w:cs="Arial" w:eastAsia="Arial" w:hAnsi="Arial"/>
          <w:sz w:val="21"/>
          <w:szCs w:val="21"/>
          <w:color w:val="auto"/>
        </w:rPr>
        <w:t>, and/or under the terms of any other agreement between the parties, including those continuing obligations set forth in that certain Employment Agreement between the parties dated November 2, 2015 as amended (“Employment Agreement”) and under the terms of the Separation and General Release Agreement dated July 31, 2019 (“Separation Agreement”).</w:t>
      </w:r>
    </w:p>
    <w:p>
      <w:pPr>
        <w:spacing w:after="0" w:line="171" w:lineRule="exact"/>
        <w:rPr>
          <w:rFonts w:ascii="Arial" w:cs="Arial" w:eastAsia="Arial" w:hAnsi="Arial"/>
          <w:sz w:val="21"/>
          <w:szCs w:val="21"/>
          <w:b w:val="1"/>
          <w:bCs w:val="1"/>
          <w:color w:val="auto"/>
        </w:rPr>
      </w:pPr>
    </w:p>
    <w:p>
      <w:pPr>
        <w:ind w:firstLine="885"/>
        <w:spacing w:after="0" w:line="256" w:lineRule="auto"/>
        <w:tabs>
          <w:tab w:leader="none" w:pos="1688"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Consultant’s engagement under this Consulting Agreement shall commence on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shall continue through March 31, 2021 (“Term”).</w:t>
      </w:r>
    </w:p>
    <w:p>
      <w:pPr>
        <w:spacing w:after="0" w:line="16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This Consulting Agreement may be terminated by Consultant during the Term upon ten (10) days’ written notice. This Consulting Agreement may be terminated by the Company for Cause during the Term upon thirty (30) days’ written notice. “</w:t>
      </w:r>
      <w:r>
        <w:rPr>
          <w:rFonts w:ascii="Arial" w:cs="Arial" w:eastAsia="Arial" w:hAnsi="Arial"/>
          <w:sz w:val="19"/>
          <w:szCs w:val="19"/>
          <w:u w:val="single" w:color="auto"/>
          <w:color w:val="auto"/>
        </w:rPr>
        <w:t>Cause</w:t>
      </w:r>
      <w:r>
        <w:rPr>
          <w:rFonts w:ascii="Arial" w:cs="Arial" w:eastAsia="Arial" w:hAnsi="Arial"/>
          <w:sz w:val="19"/>
          <w:szCs w:val="19"/>
          <w:color w:val="auto"/>
        </w:rPr>
        <w:t>” means, unless Consultant fully corrects the circumstances constituting Cause (provided such circumstances are capable of correction) prior to the expiration of the notice period: (a) Consultant’s willful and continued failure to substantially perform his services to the Company (other than any such failure resulting from Consultant’s incapacity due to physical or mental illness), (b) Consultant’s willful commission of an act of fraud or dishonesty resulting in material economic or financial injury to the Company,</w:t>
      </w:r>
    </w:p>
    <w:p>
      <w:pPr>
        <w:spacing w:after="0" w:line="2" w:lineRule="exact"/>
        <w:rPr>
          <w:sz w:val="20"/>
          <w:szCs w:val="20"/>
          <w:color w:val="auto"/>
        </w:rPr>
      </w:pPr>
    </w:p>
    <w:p>
      <w:pPr>
        <w:jc w:val="both"/>
        <w:ind w:firstLine="8"/>
        <w:spacing w:after="0" w:line="246" w:lineRule="auto"/>
        <w:tabs>
          <w:tab w:leader="none" w:pos="3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Consultant’s conviction of, or entry by Consultant of a guilty or no contest plea to, the commission of a felony involving moral turpitude, or (d) Consultant’s breach of the non-disparagement provisions of Section 7 of this Agreement or the restrictive covenant provisions of Section 8 of this Agreement or any other restrictive covenants or terms contained in other agreements between the parties, including without limitation the Employment Agreement and the Separation Agreement.</w:t>
      </w:r>
    </w:p>
    <w:p>
      <w:pPr>
        <w:spacing w:after="0" w:line="174" w:lineRule="exact"/>
        <w:rPr>
          <w:rFonts w:ascii="Arial" w:cs="Arial" w:eastAsia="Arial" w:hAnsi="Arial"/>
          <w:sz w:val="21"/>
          <w:szCs w:val="21"/>
          <w:color w:val="auto"/>
        </w:rPr>
      </w:pPr>
    </w:p>
    <w:p>
      <w:pPr>
        <w:jc w:val="both"/>
        <w:ind w:firstLine="885"/>
        <w:spacing w:after="0" w:line="239" w:lineRule="auto"/>
        <w:tabs>
          <w:tab w:leader="none" w:pos="1688"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color w:val="auto"/>
        </w:rPr>
        <w:t>. In further consideration of the payments and benefits set forth above, Consultant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refrain from making any disparaging or defamatory comments to anyone (including, but not limited to, the Company’s customers) concerning the Company, its employees, agents, operations, or plans. Consultant agrees that any inquiries concerning the Company shall be directed to the Company for response.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ind w:left="1700" w:hanging="815"/>
        <w:spacing w:after="0"/>
        <w:tabs>
          <w:tab w:leader="none" w:pos="170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In the event of a conflict between these restrictive covenants and a restrictive covenant in any other agreement between the Parties, the stricter covenant(s) shall govern.</w:t>
      </w:r>
    </w:p>
    <w:p>
      <w:pPr>
        <w:spacing w:after="0" w:line="167" w:lineRule="exact"/>
        <w:rPr>
          <w:sz w:val="20"/>
          <w:szCs w:val="20"/>
          <w:color w:val="auto"/>
        </w:rPr>
      </w:pPr>
    </w:p>
    <w:p>
      <w:pPr>
        <w:jc w:val="both"/>
        <w:ind w:firstLine="885"/>
        <w:spacing w:after="0" w:line="278" w:lineRule="auto"/>
        <w:tabs>
          <w:tab w:leader="none" w:pos="1688"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Consultant acknowledges and agrees that the Confidential Information (as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below) of the Company and any other entity related to the Company (each, a “Related Entity”) that he obtained during the course of his employment by the Company or in the performance of the Consulting Services under this Consulting Agreement is the property of the Company or such other Related Entity. Consultant will never, directly or indirectly, disclose, publish or use any Confidential Information of which Consultant has become aware, whether or not such information was developed by him. All duties and obligations set forth in this Consulting Agreement regarding Confidential Information shall be in addition to those which exist under any applicable trade secrets law(s) and at common law.</w:t>
      </w:r>
    </w:p>
    <w:p>
      <w:pPr>
        <w:spacing w:after="0" w:line="152" w:lineRule="exact"/>
        <w:rPr>
          <w:sz w:val="20"/>
          <w:szCs w:val="20"/>
          <w:color w:val="auto"/>
        </w:rPr>
      </w:pPr>
    </w:p>
    <w:p>
      <w:pPr>
        <w:jc w:val="both"/>
        <w:ind w:firstLine="805"/>
        <w:spacing w:after="0"/>
        <w:rPr>
          <w:sz w:val="20"/>
          <w:szCs w:val="20"/>
          <w:color w:val="auto"/>
        </w:rPr>
      </w:pPr>
      <w:r>
        <w:rPr>
          <w:rFonts w:ascii="Arial" w:cs="Arial" w:eastAsia="Arial" w:hAnsi="Arial"/>
          <w:sz w:val="22"/>
          <w:szCs w:val="22"/>
          <w:color w:val="auto"/>
        </w:rPr>
        <w:t>As used in this Consulting Agreement, “Confidential Information” means information that is not generally known to the public and that was or is used, developed or obtained by the Company or any other Related Entity, in connection with its businesses, including but not limited to:</w:t>
      </w:r>
    </w:p>
    <w:p>
      <w:pPr>
        <w:spacing w:after="0" w:line="186" w:lineRule="exact"/>
        <w:rPr>
          <w:sz w:val="20"/>
          <w:szCs w:val="20"/>
          <w:color w:val="auto"/>
        </w:rPr>
      </w:pPr>
    </w:p>
    <w:p>
      <w:pPr>
        <w:ind w:left="1740" w:hanging="868"/>
        <w:spacing w:after="0" w:line="239"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products or services, unannounced products or services, product or service development information (or other proprietary product or service information);</w:t>
      </w:r>
    </w:p>
    <w:p>
      <w:pPr>
        <w:ind w:left="1740" w:right="20" w:hanging="868"/>
        <w:spacing w:after="0" w:line="267" w:lineRule="auto"/>
        <w:tabs>
          <w:tab w:leader="none" w:pos="17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fees, costs, bids and pricing structures and quotations or proposals given to agents, customers, sureties, suppliers, or prospective customers, agents, sureties or suppliers, or received from any such person or entity;</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accounting or financial records;</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strategic business plans;</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information system applications or strategies;</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customer and vendor lists and employee lists and directories;</w:t>
      </w:r>
    </w:p>
    <w:p>
      <w:pPr>
        <w:ind w:left="1740" w:hanging="868"/>
        <w:spacing w:after="0"/>
        <w:tabs>
          <w:tab w:leader="none" w:pos="17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marketing plans, bidding strategies and processes, and negotiation strategies, whether past, current, or future;</w:t>
      </w:r>
    </w:p>
    <w:p>
      <w:pPr>
        <w:spacing w:after="0" w:line="24" w:lineRule="exact"/>
        <w:rPr>
          <w:rFonts w:ascii="Arial" w:cs="Arial" w:eastAsia="Arial" w:hAnsi="Arial"/>
          <w:sz w:val="19"/>
          <w:szCs w:val="19"/>
          <w:color w:val="auto"/>
        </w:rPr>
      </w:pP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accounting and business methods;</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legal advice and/or attorney work product;</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trade secrets and other proprietary information;</w:t>
      </w:r>
    </w:p>
    <w:p>
      <w:pPr>
        <w:ind w:left="1740" w:hanging="868"/>
        <w:spacing w:after="0" w:line="230" w:lineRule="auto"/>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information, analysis or strategies regarding acquisitions, mergers, other business combinations, divestitures, recapitalizations, or new ventures; and</w:t>
      </w:r>
    </w:p>
    <w:p>
      <w:pPr>
        <w:spacing w:after="0" w:line="1" w:lineRule="exact"/>
        <w:rPr>
          <w:rFonts w:ascii="Arial" w:cs="Arial" w:eastAsia="Arial" w:hAnsi="Arial"/>
          <w:sz w:val="22"/>
          <w:szCs w:val="22"/>
          <w:color w:val="auto"/>
        </w:rPr>
      </w:pPr>
    </w:p>
    <w:p>
      <w:pPr>
        <w:ind w:left="1740" w:hanging="868"/>
        <w:spacing w:after="0" w:line="308" w:lineRule="auto"/>
        <w:tabs>
          <w:tab w:leader="none" w:pos="17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nonpublic information that was acquired by Consultant concerning the requirements and specifications of the Company’s or any other Related Entity’s agents, vendors, contractors, customers, or potential customers.</w:t>
      </w:r>
    </w:p>
    <w:p>
      <w:pPr>
        <w:spacing w:after="0" w:line="123"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color w:val="auto"/>
        </w:rPr>
        <w:t>Notwithstanding anything to the contrary, Confidential Information does not include any information that: (i) is publicly disclosed by law or pursuant to, and to the extent required by, an order of a court of competent jurisdiction or governmental agency;</w:t>
      </w:r>
    </w:p>
    <w:p>
      <w:pPr>
        <w:spacing w:after="0" w:line="2" w:lineRule="exact"/>
        <w:rPr>
          <w:sz w:val="20"/>
          <w:szCs w:val="20"/>
          <w:color w:val="auto"/>
        </w:rPr>
      </w:pPr>
    </w:p>
    <w:p>
      <w:pPr>
        <w:jc w:val="both"/>
        <w:ind w:firstLine="8"/>
        <w:spacing w:after="0" w:line="233" w:lineRule="auto"/>
        <w:tabs>
          <w:tab w:leader="none" w:pos="319" w:val="left"/>
        </w:tabs>
        <w:numPr>
          <w:ilvl w:val="0"/>
          <w:numId w:val="36"/>
        </w:numPr>
        <w:rPr>
          <w:rFonts w:ascii="Arial" w:cs="Arial" w:eastAsia="Arial" w:hAnsi="Arial"/>
          <w:sz w:val="22"/>
          <w:szCs w:val="22"/>
          <w:color w:val="auto"/>
        </w:rPr>
      </w:pPr>
      <w:r>
        <w:rPr>
          <w:rFonts w:ascii="Arial" w:cs="Arial" w:eastAsia="Arial" w:hAnsi="Arial"/>
          <w:sz w:val="22"/>
          <w:szCs w:val="22"/>
          <w:color w:val="auto"/>
        </w:rPr>
        <w:t>becomes publicly available through no fault of Consultant; or (iii) has been published in a form generally available to the public before Consultant proposes to disclose, publish, or use such information. Further, nothing in this Consulting Agreement prohibits Consultant from reporting possible violations of federal, state, or local law or regulation to any governmental agency or entity, including, but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4" w:name="page45"/>
    <w:bookmarkEnd w:id="44"/>
    <w:p>
      <w:pPr>
        <w:jc w:val="both"/>
        <w:spacing w:after="0" w:line="273" w:lineRule="auto"/>
        <w:rPr>
          <w:sz w:val="20"/>
          <w:szCs w:val="20"/>
          <w:color w:val="auto"/>
        </w:rPr>
      </w:pPr>
      <w:r>
        <w:rPr>
          <w:rFonts w:ascii="Arial" w:cs="Arial" w:eastAsia="Arial" w:hAnsi="Arial"/>
          <w:sz w:val="19"/>
          <w:szCs w:val="19"/>
          <w:color w:val="auto"/>
        </w:rPr>
        <w:t>limited to, the Department of Justice, the Securities and Exchange Commission, the U.S. Congress, and any Agency Inspector General, or making other disclosures (including but not limited to providing documents or other information) that are protected under the whistleblower provisions of federal law or regulation. Consultant does not need the prior authorization of the Company to make any such reports or disclosures, and Consultant is not required to notify the Company that Consultant has made such reports or disclosures. Consultant also is not limited in Consultant’s right to receive an award for information provided to any government agency. As provided by federal law (18 U.S.C. §1833), Consultant understands that Consultant will not be held criminally or civilly liable under any federal or state trade secret law for Consultant’s disclosure of a trade secret that is made by Consultant: (a) in confidence to a federal, state, or local government official, either directly or indirectly, or to an attorney, and solely for the purpose of reporting or investigating a suspected violation of law; or (b) in a complaint or other document filed by me in a lawsuit or other proceeding, on the condition that such filing is made under seal.</w:t>
      </w:r>
    </w:p>
    <w:p>
      <w:pPr>
        <w:spacing w:after="0" w:line="156" w:lineRule="exact"/>
        <w:rPr>
          <w:sz w:val="20"/>
          <w:szCs w:val="20"/>
          <w:color w:val="auto"/>
        </w:rPr>
      </w:pPr>
    </w:p>
    <w:p>
      <w:pPr>
        <w:jc w:val="both"/>
        <w:ind w:firstLine="885"/>
        <w:spacing w:after="0" w:line="243" w:lineRule="auto"/>
        <w:tabs>
          <w:tab w:leader="none" w:pos="17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Equitable Modification</w:t>
      </w:r>
      <w:r>
        <w:rPr>
          <w:rFonts w:ascii="Arial" w:cs="Arial" w:eastAsia="Arial" w:hAnsi="Arial"/>
          <w:sz w:val="22"/>
          <w:szCs w:val="22"/>
          <w:color w:val="auto"/>
        </w:rPr>
        <w:t>. If any court of competent jurisdiction shall deem any provision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too</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the other provisions shall stand, and the court shall modify the unduly restrictive provision to the point of greatest restriction permissible by law.</w:t>
      </w:r>
    </w:p>
    <w:p>
      <w:pPr>
        <w:spacing w:after="0" w:line="176" w:lineRule="exact"/>
        <w:rPr>
          <w:rFonts w:ascii="Arial" w:cs="Arial" w:eastAsia="Arial" w:hAnsi="Arial"/>
          <w:sz w:val="22"/>
          <w:szCs w:val="22"/>
          <w:b w:val="1"/>
          <w:bCs w:val="1"/>
          <w:color w:val="auto"/>
        </w:rPr>
      </w:pPr>
    </w:p>
    <w:p>
      <w:pPr>
        <w:ind w:firstLine="885"/>
        <w:spacing w:after="0" w:line="275" w:lineRule="auto"/>
        <w:tabs>
          <w:tab w:leader="none" w:pos="1676"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Remedies</w:t>
      </w:r>
      <w:r>
        <w:rPr>
          <w:rFonts w:ascii="Arial" w:cs="Arial" w:eastAsia="Arial" w:hAnsi="Arial"/>
          <w:sz w:val="19"/>
          <w:szCs w:val="19"/>
          <w:color w:val="auto"/>
        </w:rPr>
        <w:t>. Consultant acknowledges that the agreements and covenants contained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w:t>
      </w:r>
      <w:r>
        <w:rPr>
          <w:rFonts w:ascii="Arial" w:cs="Arial" w:eastAsia="Arial" w:hAnsi="Arial"/>
          <w:sz w:val="19"/>
          <w:szCs w:val="19"/>
          <w:b w:val="1"/>
          <w:bCs w:val="1"/>
          <w:color w:val="auto"/>
        </w:rPr>
        <w:t xml:space="preserve"> </w:t>
      </w:r>
      <w:r>
        <w:rPr>
          <w:rFonts w:ascii="Arial" w:cs="Arial" w:eastAsia="Arial" w:hAnsi="Arial"/>
          <w:sz w:val="19"/>
          <w:szCs w:val="19"/>
          <w:color w:val="auto"/>
        </w:rPr>
        <w:t>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essential to protect the Company and its business and are a condition precedent to entering into this Consulting Agreement. Should Consultant breach any covenants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then among other remedies, the duration of the covenant shall be extended by the period of any such breach. Consultant agrees that irreparable harm would result from Consultant’s breach or threat to breach any provision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that monetary damages alone would not provide adequate relief to the Company for the harm incurred. Consultant agrees that in addition to money damages, the Company shall be entitled to seek and obtain temporary, preliminary, and permanent injunctive relief restraining Consultant from committing or continuing any breach without being required to post a bond. Without limiting the foregoing, upon a breach by Consultant of any provision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any outstanding Remuneration for the Consulting Services under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cease and be forfeited .</w:t>
      </w:r>
    </w:p>
    <w:p>
      <w:pPr>
        <w:spacing w:after="0" w:line="151" w:lineRule="exact"/>
        <w:rPr>
          <w:sz w:val="20"/>
          <w:szCs w:val="20"/>
          <w:color w:val="auto"/>
        </w:rPr>
      </w:pPr>
    </w:p>
    <w:p>
      <w:pPr>
        <w:jc w:val="both"/>
        <w:ind w:firstLine="885"/>
        <w:spacing w:after="0" w:line="247" w:lineRule="auto"/>
        <w:tabs>
          <w:tab w:leader="none" w:pos="1688"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Representation of Consultant</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 represents and warrants to the Company that Consultant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all applicable provisions of law and other rules and regulations of any and all governmental authorities, including those relating to licensure or certification and the regulation of the provision of Consulting Services by Consultant pursuant to this Consulting Agreement. Any and all ideas of literary, artistic, or musical materials of Consultant which Consultant may use in provision of the Consulting Services will be original and will not contravene any common law or any statutory copyright, proprietary, or other right whatsoever. Consultant has not accepted nor agreed to accept, and will not solicit, receive, accept, or agree to accept, directly or indirectly, from any person, other than the Company, any money, service, or other valuable consideration for the inclusion of any matter as a part of these Consulting Services.</w:t>
      </w:r>
    </w:p>
    <w:p>
      <w:pPr>
        <w:spacing w:after="0" w:line="172" w:lineRule="exact"/>
        <w:rPr>
          <w:rFonts w:ascii="Arial" w:cs="Arial" w:eastAsia="Arial" w:hAnsi="Arial"/>
          <w:sz w:val="21"/>
          <w:szCs w:val="21"/>
          <w:b w:val="1"/>
          <w:bCs w:val="1"/>
          <w:color w:val="auto"/>
        </w:rPr>
      </w:pPr>
    </w:p>
    <w:p>
      <w:pPr>
        <w:ind w:right="20" w:firstLine="885"/>
        <w:spacing w:after="0" w:line="256" w:lineRule="auto"/>
        <w:tabs>
          <w:tab w:leader="none" w:pos="1796"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Ownership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work product created, conceived, or developed by Consultant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Services, or which derive from information or materials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9"/>
          <w:szCs w:val="19"/>
          <w:color w:val="auto"/>
        </w:rPr>
        <w:t>Consultant has received from the Company, including but not limited to any writings of Consultant (the “Work Product”) shall be and is the exclusive property of the Company, including all copyrights and other intellectual property rights embodied therein. If any Work Product or any portion thereof, whether or not such Work Product was created at the direction of the Company, is copyrightable, it shall be deemed to be a “work made for hire,” as such term is defined in the United States Copyright Act. If, for any reason, any such copyrightable Work Product created by Consultant is excluded from the definition of a “work made for hire,” Consultant hereby assigns and conveys to the Company the entire right, title, and interest in and to such Work Product, including Work Product created in connection with Services performed for the Company prior to the date of execution of this Consulting Agreement. Consultant shall cooperate with the Company or its designees and execute documents of assignment, declarations, and other documents which may be prepared by the Company, and take other necessary actions as reasonably directed by the Company, to effect the foregoing or to perfect or enforce any proprietary rights resulting from or related to this Consulting Agreement.</w:t>
      </w:r>
    </w:p>
    <w:p>
      <w:pPr>
        <w:spacing w:after="0" w:line="156" w:lineRule="exact"/>
        <w:rPr>
          <w:sz w:val="20"/>
          <w:szCs w:val="20"/>
          <w:color w:val="auto"/>
        </w:rPr>
      </w:pPr>
    </w:p>
    <w:p>
      <w:pPr>
        <w:jc w:val="both"/>
        <w:ind w:firstLine="885"/>
        <w:spacing w:after="0" w:line="243" w:lineRule="auto"/>
        <w:tabs>
          <w:tab w:leader="none" w:pos="1784"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 by Consultant</w:t>
      </w:r>
      <w:r>
        <w:rPr>
          <w:rFonts w:ascii="Arial" w:cs="Arial" w:eastAsia="Arial" w:hAnsi="Arial"/>
          <w:sz w:val="22"/>
          <w:szCs w:val="22"/>
          <w:b w:val="1"/>
          <w:bCs w:val="1"/>
          <w:color w:val="auto"/>
        </w:rPr>
        <w:t xml:space="preserve">. </w:t>
      </w:r>
      <w:r>
        <w:rPr>
          <w:rFonts w:ascii="Arial" w:cs="Arial" w:eastAsia="Arial" w:hAnsi="Arial"/>
          <w:sz w:val="22"/>
          <w:szCs w:val="22"/>
          <w:color w:val="auto"/>
        </w:rPr>
        <w:t>Any claim or cause of action by Consultant against the Company shall not constitute a</w:t>
      </w:r>
      <w:r>
        <w:rPr>
          <w:rFonts w:ascii="Arial" w:cs="Arial" w:eastAsia="Arial" w:hAnsi="Arial"/>
          <w:sz w:val="22"/>
          <w:szCs w:val="22"/>
          <w:b w:val="1"/>
          <w:bCs w:val="1"/>
          <w:color w:val="auto"/>
        </w:rPr>
        <w:t xml:space="preserve"> </w:t>
      </w:r>
      <w:r>
        <w:rPr>
          <w:rFonts w:ascii="Arial" w:cs="Arial" w:eastAsia="Arial" w:hAnsi="Arial"/>
          <w:sz w:val="22"/>
          <w:szCs w:val="22"/>
          <w:color w:val="auto"/>
        </w:rPr>
        <w:t>defense to the enforcement of the covenants set forth in this Consulting Agreement and shall not be used to prohibit injunctive relief.</w:t>
      </w:r>
    </w:p>
    <w:p>
      <w:pPr>
        <w:spacing w:after="0" w:line="176" w:lineRule="exact"/>
        <w:rPr>
          <w:rFonts w:ascii="Arial" w:cs="Arial" w:eastAsia="Arial" w:hAnsi="Arial"/>
          <w:sz w:val="22"/>
          <w:szCs w:val="22"/>
          <w:b w:val="1"/>
          <w:bCs w:val="1"/>
          <w:color w:val="auto"/>
        </w:rPr>
      </w:pPr>
    </w:p>
    <w:p>
      <w:pPr>
        <w:jc w:val="both"/>
        <w:ind w:firstLine="885"/>
        <w:spacing w:after="0" w:line="289" w:lineRule="auto"/>
        <w:tabs>
          <w:tab w:leader="none" w:pos="179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any provision, term, condition, paragraph, sentence, or subpart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Consulting Agreement shall for any reason be held by a court of competent jurisdiction to be invalid, illegal, or unenforceable in any respect, such invalidity, illegality or unenforceability shall not affect any other term or condition of this Consulting Agreement, but this Consulting Agreement shall be construed in all respects as if such invalid, illegal, or unenforceable term had been omitted.</w:t>
      </w:r>
    </w:p>
    <w:p>
      <w:pPr>
        <w:spacing w:after="0" w:line="136" w:lineRule="exact"/>
        <w:rPr>
          <w:rFonts w:ascii="Arial" w:cs="Arial" w:eastAsia="Arial" w:hAnsi="Arial"/>
          <w:sz w:val="19"/>
          <w:szCs w:val="19"/>
          <w:b w:val="1"/>
          <w:bCs w:val="1"/>
          <w:color w:val="auto"/>
        </w:rPr>
      </w:pPr>
    </w:p>
    <w:p>
      <w:pPr>
        <w:jc w:val="both"/>
        <w:ind w:firstLine="885"/>
        <w:spacing w:after="0" w:line="301" w:lineRule="auto"/>
        <w:tabs>
          <w:tab w:leader="none" w:pos="179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Reasonable Restrictions</w:t>
      </w:r>
      <w:r>
        <w:rPr>
          <w:rFonts w:ascii="Arial" w:cs="Arial" w:eastAsia="Arial" w:hAnsi="Arial"/>
          <w:sz w:val="19"/>
          <w:szCs w:val="19"/>
          <w:color w:val="auto"/>
        </w:rPr>
        <w:t>. Each of the provisions of this Consulting Agreement is intended not to violate</w:t>
      </w:r>
      <w:r>
        <w:rPr>
          <w:rFonts w:ascii="Arial" w:cs="Arial" w:eastAsia="Arial" w:hAnsi="Arial"/>
          <w:sz w:val="19"/>
          <w:szCs w:val="19"/>
          <w:b w:val="1"/>
          <w:bCs w:val="1"/>
          <w:color w:val="auto"/>
        </w:rPr>
        <w:t xml:space="preserve"> </w:t>
      </w:r>
      <w:r>
        <w:rPr>
          <w:rFonts w:ascii="Arial" w:cs="Arial" w:eastAsia="Arial" w:hAnsi="Arial"/>
          <w:sz w:val="19"/>
          <w:szCs w:val="19"/>
          <w:color w:val="auto"/>
        </w:rPr>
        <w:t>public policy. Consultant acknowledges that all of the provisions contained in this Consulting Agreement, including the covenants and confidentiality provisions, are reasonable and necessary to protect the legitimate interests of the Company.</w:t>
      </w:r>
    </w:p>
    <w:p>
      <w:pPr>
        <w:spacing w:after="0" w:line="123" w:lineRule="exact"/>
        <w:rPr>
          <w:rFonts w:ascii="Arial" w:cs="Arial" w:eastAsia="Arial" w:hAnsi="Arial"/>
          <w:sz w:val="19"/>
          <w:szCs w:val="19"/>
          <w:b w:val="1"/>
          <w:bCs w:val="1"/>
          <w:color w:val="auto"/>
        </w:rPr>
      </w:pPr>
    </w:p>
    <w:p>
      <w:pPr>
        <w:jc w:val="both"/>
        <w:ind w:firstLine="885"/>
        <w:spacing w:after="0" w:line="289" w:lineRule="auto"/>
        <w:tabs>
          <w:tab w:leader="none" w:pos="179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Except as otherwise provided herein, the Company agrees, to the fullest extent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law, to indemnify and hold harmless the Consultant against all damages, liabilities or costs including reasonable attorneys’ fees and defense costs, arising out of or in any way connected with (i) a breach of any provision of this Consulting Agreement by the Company or (ii) any acts or omissions of the Company in connection with the provision of the Consulting Services.</w:t>
      </w:r>
    </w:p>
    <w:p>
      <w:pPr>
        <w:spacing w:after="0" w:line="136" w:lineRule="exact"/>
        <w:rPr>
          <w:rFonts w:ascii="Arial" w:cs="Arial" w:eastAsia="Arial" w:hAnsi="Arial"/>
          <w:sz w:val="19"/>
          <w:szCs w:val="19"/>
          <w:b w:val="1"/>
          <w:bCs w:val="1"/>
          <w:color w:val="auto"/>
        </w:rPr>
      </w:pPr>
    </w:p>
    <w:p>
      <w:pPr>
        <w:jc w:val="both"/>
        <w:ind w:firstLine="885"/>
        <w:spacing w:after="0" w:line="289" w:lineRule="auto"/>
        <w:tabs>
          <w:tab w:leader="none" w:pos="179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Voluntary Execution</w:t>
      </w:r>
      <w:r>
        <w:rPr>
          <w:rFonts w:ascii="Arial" w:cs="Arial" w:eastAsia="Arial" w:hAnsi="Arial"/>
          <w:sz w:val="19"/>
          <w:szCs w:val="19"/>
          <w:color w:val="auto"/>
        </w:rPr>
        <w:t>. Each of the parties hereto has read this Consulting Agreement, understands it, and</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agrees to be bound by its terms. Consultant acknowledges that he has had adequate opportunity to consult with legal counsel before signing this Consulting Agreement. In agreeing to sign this Consulting Agreement, Consultant has not relied on any statements or explanations made by the Company, except as specifically set forth in this Consulting Agreement.</w:t>
      </w:r>
    </w:p>
    <w:p>
      <w:pPr>
        <w:spacing w:after="0" w:line="136" w:lineRule="exact"/>
        <w:rPr>
          <w:rFonts w:ascii="Arial" w:cs="Arial" w:eastAsia="Arial" w:hAnsi="Arial"/>
          <w:sz w:val="19"/>
          <w:szCs w:val="19"/>
          <w:b w:val="1"/>
          <w:bCs w:val="1"/>
          <w:color w:val="auto"/>
        </w:rPr>
      </w:pPr>
    </w:p>
    <w:p>
      <w:pPr>
        <w:ind w:firstLine="885"/>
        <w:spacing w:after="0" w:line="256" w:lineRule="auto"/>
        <w:tabs>
          <w:tab w:leader="none" w:pos="1796"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Consent to Jurisdiction; Waiver of Jury</w:t>
      </w:r>
      <w:r>
        <w:rPr>
          <w:rFonts w:ascii="Arial" w:cs="Arial" w:eastAsia="Arial" w:hAnsi="Arial"/>
          <w:sz w:val="22"/>
          <w:szCs w:val="22"/>
          <w:color w:val="auto"/>
        </w:rPr>
        <w:t>. This Consulting Agreement shall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in accordance with the internal laws of the State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9"/>
          <w:szCs w:val="19"/>
          <w:color w:val="auto"/>
        </w:rPr>
        <w:t xml:space="preserve">of Illinois, without regard to its conflict of law principles. For the purposes of any suit, action, or other proceeding arising out of this Consulting Agreement or with respect to Consultant’s services hereunder, the parties: (i) agree to submit to the exclusive jurisdiction of the federal courts located in Cook County, Illinois or state courts located in DuPage County, Illinois; (ii) waive any objection to personal jurisdiction or venue in such jurisdiction, and agree not to plead or claim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(iii)</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WAIVE THEIR RESPECTIVE RIGHTS TO A JURY TRIAL OF ANY CLAIMS AND CAUSES OF ACTION, AND AGREE TO HAVE ANY MATTER HEARD AND DECIDED SOLELY BY THE COURT.</w:t>
      </w:r>
    </w:p>
    <w:p>
      <w:pPr>
        <w:spacing w:after="0" w:line="185" w:lineRule="exact"/>
        <w:rPr>
          <w:sz w:val="20"/>
          <w:szCs w:val="20"/>
          <w:color w:val="auto"/>
        </w:rPr>
      </w:pPr>
    </w:p>
    <w:p>
      <w:pPr>
        <w:ind w:left="5980" w:hanging="752"/>
        <w:spacing w:after="0"/>
        <w:tabs>
          <w:tab w:leader="none" w:pos="59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p>
    <w:p>
      <w:pPr>
        <w:spacing w:after="0" w:line="8" w:lineRule="exact"/>
        <w:rPr>
          <w:sz w:val="20"/>
          <w:szCs w:val="20"/>
          <w:color w:val="auto"/>
        </w:rPr>
      </w:pPr>
    </w:p>
    <w:p>
      <w:pPr>
        <w:ind w:firstLine="877"/>
        <w:spacing w:after="0" w:line="23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to this Consulting Agreement have executed or caused to be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Consulting Agreement as of the date first written above.</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CONSULTANT</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Signature: /s/ Christopher P. Shea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GREAT LAKES DREDGE &amp; DOCK CORPORATION</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Signature: /s/ Mark W. Marinko</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3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2019,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2019,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2019</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7"/>
    </w:lvl>
  </w:abstractNum>
  <w:abstractNum w:abstractNumId="10">
    <w:nsid w:val="71F32454"/>
    <w:multiLevelType w:val="hybridMultilevel"/>
    <w:lvl w:ilvl="0">
      <w:lvlJc w:val="left"/>
      <w:lvlText w:val="%1."/>
      <w:numFmt w:val="decimal"/>
      <w:start w:val="8"/>
    </w:lvl>
  </w:abstractNum>
  <w:abstractNum w:abstractNumId="11">
    <w:nsid w:val="2CA88611"/>
    <w:multiLevelType w:val="hybridMultilevel"/>
    <w:lvl w:ilvl="0">
      <w:lvlJc w:val="left"/>
      <w:lvlText w:val="%1."/>
      <w:numFmt w:val="decimal"/>
      <w:start w:val="9"/>
    </w:lvl>
  </w:abstractNum>
  <w:abstractNum w:abstractNumId="12">
    <w:nsid w:val="836C40E"/>
    <w:multiLevelType w:val="hybridMultilevel"/>
    <w:lvl w:ilvl="0">
      <w:lvlJc w:val="left"/>
      <w:lvlText w:val="%1."/>
      <w:numFmt w:val="decimal"/>
      <w:start w:val="10"/>
    </w:lvl>
  </w:abstractNum>
  <w:abstractNum w:abstractNumId="13">
    <w:nsid w:val="2901D82"/>
    <w:multiLevelType w:val="hybridMultilevel"/>
    <w:lvl w:ilvl="0">
      <w:lvlJc w:val="left"/>
      <w:lvlText w:val="%1."/>
      <w:numFmt w:val="decimal"/>
      <w:start w:val="1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7">
    <w:nsid w:val="7C3DBD3D"/>
    <w:multiLevelType w:val="hybridMultilevel"/>
    <w:lvl w:ilvl="0">
      <w:lvlJc w:val="left"/>
      <w:lvlText w:val="%1."/>
      <w:numFmt w:val="decimal"/>
      <w:start w:val="3"/>
    </w:lvl>
    <w:lvl w:ilvl="1">
      <w:lvlJc w:val="left"/>
      <w:lvlText w:val="(%2)"/>
      <w:numFmt w:val="lowerLetter"/>
      <w:start w:val="1"/>
    </w:lvl>
  </w:abstractNum>
  <w:abstractNum w:abstractNumId="18">
    <w:nsid w:val="737B8DDC"/>
    <w:multiLevelType w:val="hybridMultilevel"/>
    <w:lvl w:ilvl="0">
      <w:lvlJc w:val="left"/>
      <w:lvlText w:val="(%1)"/>
      <w:numFmt w:val="lowerLetter"/>
      <w:start w:val="3"/>
    </w:lvl>
  </w:abstractNum>
  <w:abstractNum w:abstractNumId="19">
    <w:nsid w:val="6CEAF087"/>
    <w:multiLevelType w:val="hybridMultilevel"/>
    <w:lvl w:ilvl="0">
      <w:lvlJc w:val="left"/>
      <w:lvlText w:val="(%1)"/>
      <w:numFmt w:val="lowerLetter"/>
      <w:start w:val="26"/>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decimal"/>
      <w:start w:val="7"/>
    </w:lvl>
    <w:lvl w:ilvl="1">
      <w:lvlJc w:val="left"/>
      <w:lvlText w:val="(%2)"/>
      <w:numFmt w:val="lowerLetter"/>
      <w:start w:val="1"/>
    </w:lvl>
  </w:abstractNum>
  <w:abstractNum w:abstractNumId="22">
    <w:nsid w:val="3006C83E"/>
    <w:multiLevelType w:val="hybridMultilevel"/>
    <w:lvl w:ilvl="0">
      <w:lvlJc w:val="left"/>
      <w:lvlText w:val="%1."/>
      <w:numFmt w:val="decimal"/>
      <w:start w:val="9"/>
    </w:lvl>
  </w:abstractNum>
  <w:abstractNum w:abstractNumId="23">
    <w:nsid w:val="614FD4A1"/>
    <w:multiLevelType w:val="hybridMultilevel"/>
    <w:lvl w:ilvl="0">
      <w:lvlJc w:val="left"/>
      <w:lvlText w:val="%1."/>
      <w:numFmt w:val="decimal"/>
      <w:start w:val="15"/>
    </w:lvl>
  </w:abstractNum>
  <w:abstractNum w:abstractNumId="24">
    <w:nsid w:val="419AC241"/>
    <w:multiLevelType w:val="hybridMultilevel"/>
    <w:lvl w:ilvl="0">
      <w:lvlJc w:val="left"/>
      <w:lvlText w:val="%1."/>
      <w:numFmt w:val="decimal"/>
      <w:start w:val="16"/>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decimal"/>
      <w:start w:val="5"/>
    </w:lvl>
  </w:abstractNum>
  <w:abstractNum w:abstractNumId="31">
    <w:nsid w:val="5C482A97"/>
    <w:multiLevelType w:val="hybridMultilevel"/>
    <w:lvl w:ilvl="0">
      <w:lvlJc w:val="left"/>
      <w:lvlText w:val="(%1)"/>
      <w:numFmt w:val="lowerLetter"/>
      <w:start w:val="3"/>
    </w:lvl>
    <w:lvl w:ilvl="1">
      <w:lvlJc w:val="left"/>
      <w:lvlText w:val="%2."/>
      <w:numFmt w:val="decimal"/>
      <w:start w:val="7"/>
    </w:lvl>
  </w:abstractNum>
  <w:abstractNum w:abstractNumId="32">
    <w:nsid w:val="2463B9EA"/>
    <w:multiLevelType w:val="hybridMultilevel"/>
    <w:lvl w:ilvl="0">
      <w:lvlJc w:val="left"/>
      <w:lvlText w:val="%1."/>
      <w:numFmt w:val="decimal"/>
      <w:start w:val="8"/>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decimal"/>
      <w:start w:val="9"/>
    </w:lvl>
  </w:abstractNum>
  <w:abstractNum w:abstractNumId="38">
    <w:nsid w:val="3855585C"/>
    <w:multiLevelType w:val="hybridMultilevel"/>
    <w:lvl w:ilvl="0">
      <w:lvlJc w:val="left"/>
      <w:lvlText w:val="%1."/>
      <w:numFmt w:val="decimal"/>
      <w:start w:val="1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71" Type="http://schemas.openxmlformats.org/officeDocument/2006/relationships/hyperlink" Target="http://www.sec.gov/Archives/edgar/data/0001372020/000156459019018122/gldd-ex101_1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2019-12-28T08:43:02Z</dcterms:created>
  <dcterms:modified xsi:type="dcterms:W3CDTF">2019-12-28T08:43:02Z</dcterms:modified>
</cp:coreProperties>
</file>