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60" w:type="dxa"/>
            <w:vAlign w:val="bottom"/>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60" w:type="dxa"/>
            <w:vAlign w:val="bottom"/>
          </w:tcPr>
          <w:p>
            <w:pPr>
              <w:jc w:val="center"/>
              <w:ind w:right="35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060" w:type="dxa"/>
            <w:vAlign w:val="bottom"/>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2122 York Road, Oak Brook, IL</w:t>
            </w:r>
          </w:p>
        </w:tc>
        <w:tc>
          <w:tcPr>
            <w:tcW w:w="15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60523</w:t>
            </w:r>
          </w:p>
        </w:tc>
      </w:tr>
      <w:tr>
        <w:trPr>
          <w:trHeight w:val="190"/>
        </w:trPr>
        <w:tc>
          <w:tcPr>
            <w:tcW w:w="6060" w:type="dxa"/>
            <w:vAlign w:val="bottom"/>
          </w:tcPr>
          <w:p>
            <w:pPr>
              <w:jc w:val="center"/>
              <w:ind w:right="35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00" w:type="dxa"/>
            <w:vAlign w:val="bottom"/>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60" w:type="dxa"/>
            <w:vAlign w:val="bottom"/>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(630) 574-3000</w:t>
            </w:r>
          </w:p>
        </w:tc>
        <w:tc>
          <w:tcPr>
            <w:tcW w:w="1500" w:type="dxa"/>
            <w:vAlign w:val="bottom"/>
          </w:tcPr>
          <w:p>
            <w:pPr>
              <w:spacing w:after="0"/>
              <w:rPr>
                <w:sz w:val="24"/>
                <w:szCs w:val="24"/>
                <w:color w:val="auto"/>
              </w:rPr>
            </w:pPr>
          </w:p>
        </w:tc>
      </w:tr>
      <w:tr>
        <w:trPr>
          <w:trHeight w:val="190"/>
        </w:trPr>
        <w:tc>
          <w:tcPr>
            <w:tcW w:w="6060" w:type="dxa"/>
            <w:vAlign w:val="bottom"/>
          </w:tcPr>
          <w:p>
            <w:pPr>
              <w:jc w:val="cente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212090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620" w:space="420"/>
            <w:col w:w="160" w:space="80"/>
            <w:col w:w="5860" w:space="720"/>
            <w:col w:w="1980" w:space="420"/>
            <w:col w:w="160"/>
          </w:cols>
          <w:pgMar w:left="240" w:top="226" w:right="23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640" w:space="180"/>
            <w:col w:w="260" w:space="80"/>
            <w:col w:w="160" w:space="180"/>
            <w:col w:w="1920"/>
          </w:cols>
          <w:pgMar w:left="240" w:top="226" w:right="239" w:bottom="1440" w:gutter="0" w:footer="0" w:header="0"/>
          <w:type w:val="continuous"/>
        </w:sectPr>
      </w:pP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October 31, 2014, 60,135,711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20" w:type="dxa"/>
            <w:vAlign w:val="bottom"/>
            <w:gridSpan w:val="24"/>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 (Unaudited)</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6"/>
        </w:trPr>
        <w:tc>
          <w:tcPr>
            <w:tcW w:w="11020" w:type="dxa"/>
            <w:vAlign w:val="bottom"/>
            <w:gridSpan w:val="24"/>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160" w:type="dxa"/>
            <w:vAlign w:val="bottom"/>
            <w:tcBorders>
              <w:top w:val="single" w:sz="8" w:color="0000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500" w:type="dxa"/>
            <w:vAlign w:val="bottom"/>
            <w:tcBorders>
              <w:top w:val="single" w:sz="8" w:color="0000EE"/>
            </w:tcBorders>
            <w:gridSpan w:val="2"/>
          </w:tcPr>
          <w:p>
            <w:pPr>
              <w:spacing w:after="0"/>
              <w:rPr>
                <w:sz w:val="24"/>
                <w:szCs w:val="24"/>
                <w:color w:val="auto"/>
              </w:rPr>
            </w:pPr>
          </w:p>
        </w:tc>
        <w:tc>
          <w:tcPr>
            <w:tcW w:w="784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September 30, 2014 and December 31, 2013</w:t>
              </w:r>
            </w:hyperlink>
          </w:p>
        </w:tc>
        <w:tc>
          <w:tcPr>
            <w:tcW w:w="348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and Nine Months ended September 30, 2014 and 2013</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(Loss) for the Three and Nine Months ended September 30, 2014 and</w:t>
              </w:r>
            </w:hyperlink>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2013</w:t>
              </w:r>
            </w:hyperlink>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Equity for the Nine Months ended September 30, 2014 and 2013</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September 30, 2014 and 2013</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19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Controls and Procedures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4"/>
          </w:tcPr>
          <w:p>
            <w:pPr>
              <w:spacing w:after="0"/>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Part II 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Legal Proceedings</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52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Unregistered Sales of Equity Securities and Use of Proceeds</w:t>
              </w:r>
            </w:hyperlink>
          </w:p>
        </w:tc>
        <w:tc>
          <w:tcPr>
            <w:tcW w:w="550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Defaults Upon Senior Securities</w:t>
              </w:r>
            </w:hyperlink>
          </w:p>
        </w:tc>
        <w:tc>
          <w:tcPr>
            <w:tcW w:w="75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Mine Safety Disclosures</w:t>
              </w:r>
            </w:hyperlink>
          </w:p>
        </w:tc>
        <w:tc>
          <w:tcPr>
            <w:tcW w:w="80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21"/>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Other Information</w:t>
              </w:r>
            </w:hyperlink>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w:t>
              </w:r>
            </w:hyperlink>
          </w:p>
        </w:tc>
        <w:tc>
          <w:tcPr>
            <w:tcW w:w="85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8"/>
              </w:rPr>
            </w:pPr>
            <w:hyperlink w:anchor="page40">
              <w:r>
                <w:rPr>
                  <w:rFonts w:ascii="Times New Roman" w:cs="Times New Roman" w:eastAsia="Times New Roman" w:hAnsi="Times New Roman"/>
                  <w:sz w:val="18"/>
                  <w:szCs w:val="18"/>
                  <w:b w:val="1"/>
                  <w:bCs w:val="1"/>
                  <w:color w:val="0000EE"/>
                  <w:w w:val="98"/>
                </w:rPr>
                <w:t>Signature</w:t>
              </w:r>
            </w:hyperlink>
          </w:p>
        </w:tc>
        <w:tc>
          <w:tcPr>
            <w:tcW w:w="400" w:type="dxa"/>
            <w:vAlign w:val="bottom"/>
            <w:gridSpan w:val="2"/>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60" w:type="dxa"/>
            <w:vAlign w:val="bottom"/>
            <w:gridSpan w:val="3"/>
          </w:tcPr>
          <w:p>
            <w:pPr>
              <w:spacing w:after="0"/>
              <w:rPr>
                <w:rFonts w:ascii="Times New Roman" w:cs="Times New Roman" w:eastAsia="Times New Roman" w:hAnsi="Times New Roman"/>
                <w:sz w:val="18"/>
                <w:szCs w:val="18"/>
                <w:b w:val="1"/>
                <w:bCs w:val="1"/>
                <w:color w:val="0000EE"/>
              </w:rPr>
            </w:pPr>
            <w:hyperlink w:anchor="page41">
              <w:r>
                <w:rPr>
                  <w:rFonts w:ascii="Times New Roman" w:cs="Times New Roman" w:eastAsia="Times New Roman" w:hAnsi="Times New Roman"/>
                  <w:sz w:val="18"/>
                  <w:szCs w:val="18"/>
                  <w:b w:val="1"/>
                  <w:bCs w:val="1"/>
                  <w:color w:val="0000EE"/>
                </w:rPr>
                <w:t>Exhibit Index</w:t>
              </w:r>
            </w:hyperlink>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380" w:type="dxa"/>
            <w:vAlign w:val="bottom"/>
            <w:gridSpan w:val="15"/>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06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7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GREAT LAKES DREDGE &amp; DOCK CORPORATION AND SUBSIDIARIES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7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70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7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7"/>
                <w:szCs w:val="17"/>
                <w:color w:val="auto"/>
              </w:rPr>
            </w:pPr>
          </w:p>
        </w:tc>
        <w:tc>
          <w:tcPr>
            <w:tcW w:w="7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21,088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75,338</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receivable—net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98,118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96,515</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85,628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67,432</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33,194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58,440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44,164</w:t>
            </w:r>
          </w:p>
        </w:tc>
      </w:tr>
      <w:tr>
        <w:trPr>
          <w:trHeight w:val="223"/>
        </w:trPr>
        <w:tc>
          <w:tcPr>
            <w:tcW w:w="20" w:type="dxa"/>
            <w:vAlign w:val="bottom"/>
          </w:tcPr>
          <w:p>
            <w:pPr>
              <w:spacing w:after="0"/>
              <w:rPr>
                <w:sz w:val="19"/>
                <w:szCs w:val="19"/>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296,468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361,053</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382,331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345,620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80,885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81,302</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37,324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38,496</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8,445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8,256</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9,062</w:t>
            </w:r>
          </w:p>
        </w:tc>
      </w:tr>
      <w:tr>
        <w:trPr>
          <w:trHeight w:val="223"/>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817,198</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139,341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116,121</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49,755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38,531</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6,754</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32,493</w:t>
            </w: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194,447</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NOTE PAYABLE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90,040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108,511</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581,644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610,544</w:t>
            </w:r>
          </w:p>
        </w:tc>
      </w:tr>
      <w:tr>
        <w:trPr>
          <w:trHeight w:val="223"/>
        </w:trPr>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EQUITY:</w:t>
            </w:r>
          </w:p>
        </w:tc>
        <w:tc>
          <w:tcPr>
            <w:tcW w:w="6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904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stock—$.0001 par value; 90,000 authorized, 60,136 and 59,670 shares issued and outstanding at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September 30, 2014 and December 31, 2013, respectively</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277,097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275,183</w:t>
            </w:r>
          </w:p>
        </w:tc>
      </w:tr>
      <w:tr>
        <w:trPr>
          <w:trHeight w:val="216"/>
        </w:trPr>
        <w:tc>
          <w:tcPr>
            <w:tcW w:w="20" w:type="dxa"/>
            <w:vAlign w:val="bottom"/>
          </w:tcPr>
          <w:p>
            <w:pPr>
              <w:spacing w:after="0"/>
              <w:rPr>
                <w:sz w:val="18"/>
                <w:szCs w:val="18"/>
                <w:color w:val="auto"/>
              </w:rPr>
            </w:pPr>
          </w:p>
        </w:tc>
        <w:tc>
          <w:tcPr>
            <w:tcW w:w="90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(40,488)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(31,770)</w:t>
            </w: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9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235,554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235,554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817,198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852,645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187,862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561,289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177,739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160,026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489,720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442,798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16,062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49,850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21,161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(14,730)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(23,511)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00" w:type="dxa"/>
            <w:vAlign w:val="bottom"/>
          </w:tcPr>
          <w:p>
            <w:pPr>
              <w:ind w:left="34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 Dock</w:t>
            </w: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Corporation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continuing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discontinued operations, net of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Great Lakes Dredge &amp; Dock Corporation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60,040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59,526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59,870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continuing operations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 attributable to discontinued operations, net of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Great Lakes Dredge &amp; Dock Corporation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60,040</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60,491</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(2,086)</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$ 1,266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$(8,718)</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(23,511)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 on derivatives—net of tax (2)</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(199)</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(2,671)</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1,127</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(9,306)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6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 Dock Corporation</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 (2,671)</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$ 1,309</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(9,306)</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8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benefit of $276 and $(34) for the three months ended September 30, 2014 and 2013, respectively, and $259 and $(85) for nine months ended September 30, 2014 and 2013, respectively.</w:t>
      </w:r>
    </w:p>
    <w:p>
      <w:pPr>
        <w:ind w:left="460" w:right="460" w:hanging="452"/>
        <w:spacing w:after="0" w:line="261"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expense of $111 and $58 for the three months ended September 30, 2014 and 2013, respectively, and $132 and $81 for the nine months ended September 30, 2014 and 2013,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1"/>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Great Lakes Dredge &amp; Dock Corporation shareholders</w:t>
            </w:r>
          </w:p>
        </w:tc>
        <w:tc>
          <w:tcPr>
            <w:tcW w:w="7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6</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$275,183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(31,770)</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including</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impact of shares withheld for taxes</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plans</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Excess income tax benefit from share-based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845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2014</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277,097</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(40,488)</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235,554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1"/>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Great Lakes Dredge &amp; Dock Corporation shareholders</w:t>
            </w:r>
          </w:p>
        </w:tc>
        <w:tc>
          <w:tcPr>
            <w:tcW w:w="74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1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BALANCE—January 1, 2013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70"/>
              </w:rPr>
              <w:t>6</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$271,418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including</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impact of shares withheld for taxes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plans</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Excess income tax benefit from share-based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compensation</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Distributions paid to noncontrolling interests</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(23,360)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loss—net of tax</w:t>
            </w:r>
          </w:p>
        </w:tc>
        <w:tc>
          <w:tcPr>
            <w:tcW w:w="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11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BALANCE—September 30, 2013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274,279</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(20,769)</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(364)</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28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(8,718)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(11,034)</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net loss from mark-to-market valuations of derivatives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(18,292)</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provided by operating activities of continuing operations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used in operating activities of discontinued operations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(66,433)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(payments on) vendor performance obligations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of businesses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 of discontinued operations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fees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 term note payable</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(105,000)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(149,500)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 of continuing operations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flows used in financing activities of discontinued operations</w:t>
            </w:r>
          </w:p>
        </w:tc>
        <w:tc>
          <w:tcPr>
            <w:tcW w:w="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(54,250)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75,338</w:t>
            </w:r>
          </w:p>
        </w:tc>
        <w:tc>
          <w:tcPr>
            <w:tcW w:w="4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21,088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41,322</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42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paid (refunded) for income taxes</w:t>
            </w: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18,401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purchased on capital leases and equipment notes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420"/>
          </w:cols>
          <w:pgMar w:left="240" w:top="455" w:right="239" w:bottom="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2013.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2014, and its results of operations for the three and nine months ended September 30, 2014 and 2013 and cash flows for the nine months ended September 30, 2014 and 2013 have been included.</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cost structure includes significant annual equipment-related costs, including depreciation, maintenance, insurance and long-term rentals. These costs have averaged approximately 22% to 23%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The Company performed its most recent annual test of impairment as of July 1, 2014 for the goodwill in both the dredging and environmental &amp; remediation segments with no indication of goodwill impairment as of the test date. The Company will perform its next scheduled annual test of goodwill in the third quarter of 2015.</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Accounting Standard Update No. 2014-09 (“ASU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which supersedes the existing revenue recognition requirements. ASU 2014-09 is based on the principle that revenue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to depict the transfer of goods or services to customers in an amount that reflects the consideration to which the entity expects to be entitled in exchange for those goods or services. ASU 2014-09 is effective for fiscal years beginning after December 15, 2016, including interim periods within that reporting period, which will be our first quarter of fiscal 2017. Early adoption is not permitted. We are currently evaluating the impact of ASU 2014-09 on our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For the three months ended September 30, 2014, the dilutive effect of 521 thousand shares of stock options and restricted stock units were excluded from the diluted weighted-average common shares outstanding as the Company incurred a loss during these periods. Additionally, for the three and nine months ended September 30, 2014,</w:t>
      </w:r>
    </w:p>
    <w:p>
      <w:pPr>
        <w:spacing w:after="0" w:line="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664 thousand and 500 thousand shares, respectively, of stock options or restricted stock units were excluded from the calculation of diluted earnings per share based on the application of the treasury stock method. The computations for basic and diluted earnings per share from continuing operations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gridSpan w:val="4"/>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640" w:type="dxa"/>
            <w:vAlign w:val="bottom"/>
            <w:gridSpan w:val="4"/>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48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4"/>
              </w:rPr>
              <w:t>$ (1,027)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6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Loss on discontinued operations, net of income taxes, attributable to Great Lakes</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6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(1,059)</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(5,128)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(38,467)</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61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w:t>
            </w:r>
          </w:p>
        </w:tc>
        <w:tc>
          <w:tcPr>
            <w:tcW w:w="3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(2,086)</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1,448</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60,040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6"/>
              </w:rPr>
              <w:t>59,526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59,870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3"/>
        </w:trPr>
        <w:tc>
          <w:tcPr>
            <w:tcW w:w="664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60,040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60,082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60,491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basic</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diluted</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522"/>
        </w:trPr>
        <w:tc>
          <w:tcPr>
            <w:tcW w:w="66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3. Accounts receivable and contracts in progress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w w:val="99"/>
              </w:rPr>
              <w:t>Accounts receivable at September 30, 2014 and December 31, 2013 are as follows: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48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17,361</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71,402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62,177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Retainage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18,506</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100,570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6"/>
              </w:rPr>
              <w:t>98,044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1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99,041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w w:val="96"/>
              </w:rPr>
              <w:t>96,515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accounts receivable—net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96,515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accounts receivable and retainage</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96,515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gridSpan w:val="4"/>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contracts in progress at September 30, 2014 and December 31, 2013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Costs and earnings in excess of billings:</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9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737,986</w:t>
            </w:r>
          </w:p>
        </w:tc>
        <w:tc>
          <w:tcPr>
            <w:tcW w:w="3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billed</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(660,952)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(370,730)</w:t>
            </w:r>
          </w:p>
        </w:tc>
        <w:tc>
          <w:tcPr>
            <w:tcW w:w="0" w:type="dxa"/>
            <w:vAlign w:val="bottom"/>
          </w:tcPr>
          <w:p>
            <w:pPr>
              <w:spacing w:after="0"/>
              <w:rPr>
                <w:sz w:val="1"/>
                <w:szCs w:val="1"/>
                <w:color w:val="auto"/>
              </w:rPr>
            </w:pPr>
          </w:p>
        </w:tc>
      </w:tr>
      <w:tr>
        <w:trPr>
          <w:trHeight w:val="223"/>
        </w:trPr>
        <w:tc>
          <w:tcPr>
            <w:tcW w:w="6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77,034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85,628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billed</w:t>
            </w:r>
          </w:p>
        </w:tc>
        <w:tc>
          <w:tcPr>
            <w:tcW w:w="98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(175,854)</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(156,794)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at September 30, 2014 and December 31, 2013 are as follows: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80" w:type="dxa"/>
            <w:vAlign w:val="bottom"/>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completion adjustment</w:t>
            </w: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9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5. Long-term debt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A new lender provided an incremental commitment of $35,000 increasing the aggregate revolving commitment to $210,000. Additionally, the Fifth Amendment allowed full use of the aggregate revolving commitment for the issuance of letters of credit and decreased the required ratio of aggregate orderly liquidation value of pledged collateral from 1.5 times to 1.27 times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40"/>
          </w:cols>
          <w:pgMar w:left="240" w:top="455" w:right="3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entry into the Fifth Amendment, Zurich American Insurance Company, the Company’s surety provider, secured permitted second mortgages on the same vessels securing the obligations under the Credit Agreement.</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8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2014, the Company had $35,000 of borrowings on the revolver and $117,761 of letters of credit outstanding, resulting in $57,239 of availability under the Credit Agreement. At September 30, 2014, the Company was in compliance with its various financial covenants under its Credit Agreement.</w:t>
      </w:r>
    </w:p>
    <w:p>
      <w:pPr>
        <w:spacing w:after="0" w:line="184"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On September 15, 2014, the Company terminated its $24,000 international letter of credit facility with Wells Fargo Bank, National Association, as successor by merger to Wells Fargo HSBC Trade Bank, as amended. On the date of termination, there were no letters of credit or other indebtedness outstanding under this facility, and the loan documents providing for the facility, and the liens and security interests securing it, were terminated and released.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2014, the Company also had $250,000 of 7.375% senior notes outstanding, which mature in February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2014, the Company entered into transactions affecting its long-term debt. See Note 12.</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and commodity price risk. The Company does not hold or issue derivatives for speculative or trading purposes. In addition, other nonfinancial assets and liabilities are measured at fair value in the financial statements on a nonrecurring basis. The fair values of these financial instruments and nonfinancial assets and liabilities measured at the reporting date are summarized as follows: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780" w:type="dxa"/>
            <w:vAlign w:val="bottom"/>
          </w:tcPr>
          <w:p>
            <w:pPr>
              <w:spacing w:after="0"/>
              <w:rPr>
                <w:sz w:val="10"/>
                <w:szCs w:val="10"/>
                <w:color w:val="auto"/>
              </w:rPr>
            </w:pPr>
          </w:p>
        </w:tc>
        <w:tc>
          <w:tcPr>
            <w:tcW w:w="188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September 30,</w:t>
            </w:r>
          </w:p>
        </w:tc>
        <w:tc>
          <w:tcPr>
            <w:tcW w:w="3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7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80" w:type="dxa"/>
            <w:vAlign w:val="bottom"/>
          </w:tcPr>
          <w:p>
            <w:pPr>
              <w:spacing w:after="0"/>
              <w:rPr>
                <w:sz w:val="12"/>
                <w:szCs w:val="12"/>
                <w:color w:val="auto"/>
              </w:rPr>
            </w:pPr>
          </w:p>
        </w:tc>
        <w:tc>
          <w:tcPr>
            <w:tcW w:w="188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Fuel hedge</w:t>
            </w:r>
          </w:p>
        </w:tc>
        <w:tc>
          <w:tcPr>
            <w:tcW w:w="1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780" w:type="dxa"/>
            <w:vAlign w:val="bottom"/>
          </w:tcPr>
          <w:p>
            <w:pPr>
              <w:spacing w:after="0"/>
              <w:rPr>
                <w:sz w:val="10"/>
                <w:szCs w:val="10"/>
                <w:color w:val="auto"/>
              </w:rPr>
            </w:pPr>
          </w:p>
        </w:tc>
        <w:tc>
          <w:tcPr>
            <w:tcW w:w="1880" w:type="dxa"/>
            <w:vAlign w:val="bottom"/>
            <w:gridSpan w:val="3"/>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2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w:t>
            </w:r>
          </w:p>
        </w:tc>
        <w:tc>
          <w:tcPr>
            <w:tcW w:w="3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78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780" w:type="dxa"/>
            <w:vAlign w:val="bottom"/>
          </w:tcPr>
          <w:p>
            <w:pPr>
              <w:spacing w:after="0"/>
              <w:rPr>
                <w:sz w:val="12"/>
                <w:szCs w:val="12"/>
                <w:color w:val="auto"/>
              </w:rPr>
            </w:pPr>
          </w:p>
        </w:tc>
        <w:tc>
          <w:tcPr>
            <w:tcW w:w="188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73"/>
        </w:trPr>
        <w:tc>
          <w:tcPr>
            <w:tcW w:w="248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5"/>
                <w:szCs w:val="15"/>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Fuel hedge</w:t>
            </w:r>
          </w:p>
        </w:tc>
        <w:tc>
          <w:tcPr>
            <w:tcW w:w="1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contracts</w:t>
            </w:r>
          </w:p>
        </w:tc>
        <w:tc>
          <w:tcPr>
            <w:tcW w:w="1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contracts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exposure to foreign currencies that fluctuate in relation to the U.S. dollar. The Company periodically enters into foreign exchange forward contracts to hedge this risk. At September 30, 2014 and December 31, 2013, there were no outstanding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backlog.</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September 30, 2014, the Company was party to various swap arrangements to hedge the price of a portion of its diesel fuel purchase requirements for work in its backlog to be performed through August 2015. As of September 30, 2014, there were 4.1 million gallons remaining on these contracts which represent approximately 80% of the Company’s forecasted fuel purchases through August 2015. Under these swap agreements, the Company will pay fixed prices ranging from $2.86 to $3.01 per gallon.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September 30, 2014, the fair value liability of the fuel hedge contracts was estimated to be $1,051 and is recorded in accrued expenses. The gain reclassified to earnings from changes in fair value of derivatives, net of cash settlements and taxes, for the nine months ended September 30, 2014 was $332. The fair values of fuel hedges are corroborated using inputs that are readily observable in public markets; therefore, the Company determines fair value of these fuel hedges using Level 2 inputs.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fuel hedge contracts outstanding as of September 30, 2014 and December 31, 2013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5"/>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8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0" w:type="dxa"/>
            <w:vAlign w:val="bottom"/>
          </w:tcPr>
          <w:p>
            <w:pPr>
              <w:spacing w:after="0"/>
              <w:rPr>
                <w:sz w:val="11"/>
                <w:szCs w:val="11"/>
                <w:color w:val="auto"/>
              </w:rPr>
            </w:pPr>
          </w:p>
        </w:tc>
        <w:tc>
          <w:tcPr>
            <w:tcW w:w="1020" w:type="dxa"/>
            <w:vAlign w:val="bottom"/>
            <w:gridSpan w:val="6"/>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4"/>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 derivatives:</w:t>
            </w:r>
          </w:p>
        </w:tc>
        <w:tc>
          <w:tcPr>
            <w:tcW w:w="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instruments</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Fuel hedge contracts</w:t>
            </w:r>
          </w:p>
        </w:tc>
        <w:tc>
          <w:tcPr>
            <w:tcW w:w="3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332</w:t>
            </w:r>
          </w:p>
        </w:tc>
        <w:tc>
          <w:tcPr>
            <w:tcW w:w="34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hedging instruments</w:t>
            </w:r>
          </w:p>
        </w:tc>
        <w:tc>
          <w:tcPr>
            <w:tcW w:w="3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340" w:type="dxa"/>
            <w:vAlign w:val="bottom"/>
            <w:tcBorders>
              <w:left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Fuel hedge contracts</w:t>
            </w:r>
          </w:p>
        </w:tc>
        <w:tc>
          <w:tcPr>
            <w:tcW w:w="38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8"/>
                <w:szCs w:val="18"/>
                <w:color w:val="auto"/>
              </w:rPr>
            </w:pPr>
          </w:p>
        </w:tc>
        <w:tc>
          <w:tcPr>
            <w:tcW w:w="58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8"/>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4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7"/>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adjustments—net of tax</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1"/>
              </w:rPr>
              <w:t>(389)</w:t>
            </w: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of derivative (gains) losses to earnings—net of tax</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3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1"/>
              </w:rPr>
              <w:t>132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 on derivatives—net of tax</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4"/>
              </w:rPr>
              <w:t>(588</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520" w:type="dxa"/>
            <w:vAlign w:val="bottom"/>
          </w:tcPr>
          <w:p>
            <w:pPr>
              <w:spacing w:after="0"/>
              <w:rPr>
                <w:sz w:val="15"/>
                <w:szCs w:val="15"/>
                <w:color w:val="auto"/>
              </w:rPr>
            </w:pPr>
          </w:p>
        </w:tc>
        <w:tc>
          <w:tcPr>
            <w:tcW w:w="2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3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w:t>
            </w:r>
          </w:p>
        </w:tc>
        <w:tc>
          <w:tcPr>
            <w:tcW w:w="2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Fuel hedge contracts</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3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the timing of the cash flows and comparison to current market interest rates, the carrying value of our senior revolving credit agreement approximates fair value. In January 2011, the Company issued $250,000 of 7.375% senior notes due February 1, 2019, which were outstanding at September 30, 2014. The senior notes are senior unsecured obligations of the Company and its subsidiaries that guarantee the senior notes. The fair value of the senior notes was $256,875 at September 30, 2014, which is a Level 1 fair value measurement as the senior notes value was obtained using quoted prices in active markets.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7. Share-based compensation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May 2014, the Company granted 337 thousand options to purchase shares of common stock and 182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$828 and $1,816, respectively, for the three and nine months ended September 30, 2014 and $1,000 and $2,452 for the three and nine months ended September 30, 2013, respectively.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$1,000 to $10,000. At September 30, 2014, the Company had outstanding performance bonds totaling approximately $822,283, of which $49,613 relates to projects accounted for in discontinued operations. The revenue value remaining in backlog related to the projects of continuing operations totaled approximately $603,748.</w:t>
      </w:r>
    </w:p>
    <w:p>
      <w:pPr>
        <w:spacing w:after="0" w:line="18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After briefing and oral argument by the parties, the Court entered an order on October 21, 2014 denying that motion to dismiss. The Company denies liability and intends to vigorously defend this action.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 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have agreed to continue to stay these matters until early December 2014.</w:t>
      </w:r>
    </w:p>
    <w:p>
      <w:pPr>
        <w:spacing w:after="0" w:line="1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discussed in Note 10, on April 23, 2014, the Company completed the sale of NASDI, LLC (“NASDI”) and Yankee Environmental Services, LLC, which together comprised the Company’s historical demolition business, to a privately owned demolition company. Under the terms of the divestiture, the Company retained certain pre-closing liabilities relating to the disposed business. Certain of these liabilities are described below.</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2011, NASDI received a subpoena from a federal grand jury in the District of Massachusetts directing NASDI to furnish certain documents relating to certain projects performed by NASDI since January 2005. The Company conducted an internal investigation into this matter and has cooperated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April 24, 2014, NASDI received a subpoena from a federal grand jury in the District of Massachusetts directing NASDI to furnish certain emails for the years 2004 to the present for the email accounts of certain former and present NASDI employees. The Company is cooperating with the grand jury’s investigation. Based on the limited information known to the Company, the Company cannot predict the outcome of the investigation, the U.S. Attorney’s views of the issues being investigated, and any action the U.S. Attorney may take.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9. Investments</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owns 50% of TerraSea Environmental Solutions (“TerraSea”) as a joint venture. TerraSea is engaged in the environmental services business through its ability to remediate contaminated soil and dredged sediment treatment. The Company has begun the discussion with its joint venture partner in TerraSea regarding the winddown of operations and liquidation of the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this investment under the equity method. The following is summarized financial information for this entity:</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9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9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3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660" w:type="dxa"/>
            <w:vAlign w:val="bottom"/>
            <w:tcBorders>
              <w:top w:val="single" w:sz="8" w:color="auto"/>
            </w:tcBorders>
          </w:tcPr>
          <w:p>
            <w:pPr>
              <w:jc w:val="right"/>
              <w:ind w:right="12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2"/>
                <w:szCs w:val="12"/>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5,853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(15,241)</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4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(16,110)</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(1,608)</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(16,110)</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(1,608)</w:t>
            </w:r>
          </w:p>
        </w:tc>
      </w:tr>
      <w:tr>
        <w:trPr>
          <w:trHeight w:val="346"/>
        </w:trPr>
        <w:tc>
          <w:tcPr>
            <w:tcW w:w="3300" w:type="dxa"/>
            <w:vAlign w:val="bottom"/>
          </w:tcPr>
          <w:p>
            <w:pPr>
              <w:spacing w:after="0"/>
              <w:rPr>
                <w:sz w:val="24"/>
                <w:szCs w:val="24"/>
                <w:color w:val="auto"/>
              </w:rPr>
            </w:pPr>
          </w:p>
        </w:tc>
        <w:tc>
          <w:tcPr>
            <w:tcW w:w="340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10. Business dispositions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23, 2014, the Company entered into an agreement and completed the sale of NASDI, LLC and Yankee Environmental Services, LLC, its two former subsidiaries that comprised the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and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which is subject to change based upon subsequent adjustments to the purchase price related to additional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businesses have been reported in discontinued operations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(1,053)</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(7,687)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(18,393)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$(48,608)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2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(5,310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(38,618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1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3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4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Dredging</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167,079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155,469</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486,153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465,915</w:t>
            </w: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46,698</w:t>
            </w:r>
          </w:p>
        </w:tc>
        <w:tc>
          <w:tcPr>
            <w:tcW w:w="12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Environmental &amp; remediation</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20" w:type="dxa"/>
            <w:vAlign w:val="bottom"/>
            <w:shd w:val="clear" w:color="auto" w:fill="CCEEFF"/>
          </w:tcPr>
          <w:p>
            <w:pPr>
              <w:spacing w:after="0"/>
              <w:rPr>
                <w:sz w:val="18"/>
                <w:szCs w:val="18"/>
                <w:color w:val="auto"/>
              </w:rPr>
            </w:pPr>
          </w:p>
        </w:tc>
      </w:tr>
      <w:tr>
        <w:trPr>
          <w:trHeight w:val="216"/>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(6,643)</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(3,990)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revenues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202,198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187,862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561,289</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515,140</w:t>
            </w:r>
          </w:p>
        </w:tc>
        <w:tc>
          <w:tcPr>
            <w:tcW w:w="120" w:type="dxa"/>
            <w:vAlign w:val="bottom"/>
            <w:shd w:val="clear" w:color="auto" w:fill="CCEEFF"/>
          </w:tcPr>
          <w:p>
            <w:pPr>
              <w:spacing w:after="0"/>
              <w:rPr>
                <w:sz w:val="18"/>
                <w:szCs w:val="18"/>
                <w:color w:val="auto"/>
              </w:rPr>
            </w:pPr>
          </w:p>
        </w:tc>
      </w:tr>
      <w:tr>
        <w:trPr>
          <w:trHeight w:val="234"/>
        </w:trPr>
        <w:tc>
          <w:tcPr>
            <w:tcW w:w="3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Foreign dredging revenue of $40,040 and $85,691 for the three and nine months ended September 30, 2014, respectively, was primarily attributable to work on the Wheatstone LNG project in Western Australia as well as work done in Brazil and the Middle East. Foreign dredging revenue for the three and nine months ended September 30, 2013 was $32,651 and $104,384, respectively.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2014, the Company earned significant revenue from a large, single customer foreign contract. As a result of the successful resolution of contingencies with the customer, a revision to the estimated gross profit percentage was recorded in the period. The cumulative net impact of this change increased gross profit by $12,423 for the three months ended September 30, 2014. Due to uncertainties inherent in estimations, the Company could record further revisions to our gross profit percentage on this contract as it is completed.</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4, 2014, the Company entered into a new senior secured term loan facility consisting of a term loan in an aggregate principal amount of</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$50,000 (the “Term Loan Facility”) pursuant to a Loan and Security Agreement (the “Loan Agreement”) by and among, the lenders party thereto from time to time and Bank of America, N.A., as administrative agent. Pursuant to the term loan, the Company borrowed an aggregate principal amount of $46,840.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w:t>
      </w:r>
    </w:p>
    <w:p>
      <w:pPr>
        <w:spacing w:after="0" w:line="18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Facility provides for monthly amortization payments, payable in arrears, commencing on December 4, 2014, at an annual amount of</w:t>
      </w:r>
    </w:p>
    <w:p>
      <w:pPr>
        <w:spacing w:after="0" w:line="27" w:lineRule="exact"/>
        <w:rPr>
          <w:sz w:val="20"/>
          <w:szCs w:val="20"/>
          <w:color w:val="auto"/>
        </w:rPr>
      </w:pPr>
    </w:p>
    <w:p>
      <w:pPr>
        <w:ind w:firstLine="8"/>
        <w:spacing w:after="0" w:line="273" w:lineRule="auto"/>
        <w:tabs>
          <w:tab w:leader="none" w:pos="2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November 4, 2014, the Company acquired Magnus Pacific Corporation, a California corporation (“Magnus”), for an aggregate purchase price of approximately $50,000, subject to a customary working capital adjustment. Magnus is engaged in the business of environmental remediation, geotechnical construction, demolition, and sediments and wetlands construction.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acquisition, the aggregate purchase price is satisfied by payment of $25,000 paid at closing, the issuance of a promissory note of approximately $14,000 (the “Promissory Note”), and an earnout payment (the “Earnout Payment”). The original principal amount of the Promissory Note will be finally determined within 60 days after the 2014 fiscal year end. Payments on the Promissory Note will be made in two equal installments on January 1, 2017 and January 1, 2018. The Promissory Note shall bear interest at 5% per annum, which shall begin to accrue on January 1, 2015, and shall continue to accrue until payment of the second installment. In the event Magnus does not achieve minimum earnings before interest, taxes, depreciation and amortization, as adjusted (“Adjusted EBITDA”) in the 2015 fiscal year, the principal amount of the Promissory Note will be reduced. The Promissory Note also is subject to reduction based on certain indemnification obligations of the shareholders. The maximum potential aggregate Earnout Payment is $11,400 and will be determined based on the attainment of combined Adjusted EBITDA targets of Magnus and Terra Contracting Services, LLC, a wholly-owned subsidiary of the Company for the year ending December 31, 2019. The Earnout Payment may be paid in cash or shares of the Company’s common stock, at the Company’s option.</w:t>
      </w:r>
    </w:p>
    <w:p>
      <w:pPr>
        <w:spacing w:after="0" w:line="18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Magnus Pacific Corporation and the Term Loan Facility on November 4, 2014, Great Lakes Dredge &amp; Dock Corporation entered into the sixth amendment (“Sixth Amendment’) to the Company’s Credit Agreement. The Sixth Amendment amends the Credit Agreement to permit the Term Loan Facility, permit the acquisition of Magnus Pacific and permit the issuance of up to an additional $50,000 in aggregate principal amount of the Company’s currently outstanding 7.375% senior notes due 2019.</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13. Subsidiary guarantors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long-term debt at September 30, 2014 includes $250,000 of 7.375% senior notes due February 1, 2019. The Company’s obligations under these senior unsecured notes are guaranteed by the Company’s 100% owned domestic subsidiaries. Such guarantees are full, unconditional and joint and several.</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67" w:lineRule="exact"/>
        <w:rPr>
          <w:sz w:val="20"/>
          <w:szCs w:val="20"/>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sheets as of September 30, 2014 and December 31, 2013;</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operations and comprehensive loss for the three and nine months ended September 30, 2014 and 2013;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cash flows for the nine months ended September 30, 2014 and 2013.</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Certain amounts included in the following condensed consolidating statements of cash flows for the nine months ended September 30, 2013 have been corrected to conform with current year presentation reflecting intercompany borrowings and payments as either investing or financing activities.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SEPTEMBER 30,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6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6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18,212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net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98,118</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164,731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3,561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(201,698)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82,717</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2,911</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33,194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60,207</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457,179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10,220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(201,698)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382,325</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80,885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37,324</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(598,086)</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977,289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(799,784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138,137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Payables to affiliates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5"/>
              </w:rPr>
              <w:t>175,587</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12,327</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(201,698)</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45,663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364,738</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(201,698)</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NOTE PAYABLE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11,121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375,981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7"/>
              </w:rPr>
              <w:t>(201,698)</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601,308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(598,086)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5"/>
              </w:rPr>
              <w:t>601,308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(598,086)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977,289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629,464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6"/>
              </w:rPr>
              <w:t>(799,784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9"/>
              </w:rPr>
              <w:t>Corporation</w:t>
            </w:r>
          </w:p>
        </w:tc>
        <w:tc>
          <w:tcPr>
            <w:tcW w:w="10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71,939</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from affiliates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131,984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12,205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(151,526)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20,478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held for sale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460,802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32,683</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(160,062)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345,612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81,302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 Noncurrent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38,496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638,955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(640,167)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9,062</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948,362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676,831</w:t>
            </w: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(800,249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115,235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Payables to affiliates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30,394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(151,526)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10,430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 term debt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284,503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40,956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(160,062)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7 3/8% SENIOR NOTES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108,531</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307,394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434,730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(160,082)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 Great Lakes Dredge &amp; Dock Corporation Equity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640,968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242,946</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(640,167)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640,968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242,101</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(640,167)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948,362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676,831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(800,249)</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852,645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4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20</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FOR THE THREE MONTHS ENDED SEPTEMBER 30, 2014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198,934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(170,911)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(177,739)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24,459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15,988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16,062</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8,007</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(4,642)</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(4,702)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3,316</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5"/>
        </w:trPr>
        <w:tc>
          <w:tcPr>
            <w:tcW w:w="544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6,238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544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Great Lakes Dredge &amp; 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5,876</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(3,565)</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(2,311)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5,707</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(2,671)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(1,726)</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FOR THE THREE MONTHS ENDED SEPTEMBER 30, 2013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(149,966)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(160,026)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29,548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27,836</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17,121</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(5,406)</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5"/>
        </w:trPr>
        <w:tc>
          <w:tcPr>
            <w:tcW w:w="544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7,305</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(13,015)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(5,310)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(5,310)</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5"/>
        </w:trPr>
        <w:tc>
          <w:tcPr>
            <w:tcW w:w="544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Great Lakes Dredge &amp; Dock Corporation</w:t>
            </w: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9,479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1,448</w:t>
            </w:r>
          </w:p>
        </w:tc>
        <w:tc>
          <w:tcPr>
            <w:tcW w:w="1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9,391</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(7,368)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FOR THE NINE MONTHS ENDED SEPTEMBER 30, 2014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8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540,199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(463,718)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(489,720)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76,481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71,569</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49,850</w:t>
            </w:r>
          </w:p>
        </w:tc>
        <w:tc>
          <w:tcPr>
            <w:tcW w:w="0" w:type="dxa"/>
            <w:vAlign w:val="bottom"/>
          </w:tcPr>
          <w:p>
            <w:pPr>
              <w:spacing w:after="0"/>
              <w:rPr>
                <w:sz w:val="1"/>
                <w:szCs w:val="1"/>
                <w:color w:val="auto"/>
              </w:rPr>
            </w:pPr>
          </w:p>
        </w:tc>
      </w:tr>
      <w:tr>
        <w:trPr>
          <w:trHeight w:val="223"/>
        </w:trPr>
        <w:tc>
          <w:tcPr>
            <w:tcW w:w="5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sale of assets—net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21,161</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(14,560)</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(14,730)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15,915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(9,063)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2,197</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19,723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1,282</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(882)</w:t>
            </w: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(9,118)</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(9,118)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23"/>
        </w:trPr>
        <w:tc>
          <w:tcPr>
            <w:tcW w:w="54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Great Lakes Dredge &amp; 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11,912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(6,510)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(8,718)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(5,402)</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11,713</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(6,899)</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(9,306)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(4,814)</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(9,306)</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ind w:right="314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FOR THE NINE MONTHS ENDED SEPTEMBER 30, 2013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00" w:type="dxa"/>
            <w:vAlign w:val="bottom"/>
          </w:tcPr>
          <w:p>
            <w:pPr>
              <w:spacing w:after="0"/>
              <w:rPr>
                <w:sz w:val="13"/>
                <w:szCs w:val="13"/>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GLDD</w:t>
            </w:r>
          </w:p>
        </w:tc>
        <w:tc>
          <w:tcPr>
            <w:tcW w:w="200" w:type="dxa"/>
            <w:vAlign w:val="bottom"/>
          </w:tcPr>
          <w:p>
            <w:pPr>
              <w:spacing w:after="0"/>
              <w:rPr>
                <w:sz w:val="13"/>
                <w:szCs w:val="13"/>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20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497,486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(422,764)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(442,798)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72,342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48,700</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(3,141)</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39,777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of joint ventures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Income (loss) from continuing operations before income</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42,929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23,480</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(40,083)</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23,433</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15,107</w:t>
            </w:r>
          </w:p>
        </w:tc>
        <w:tc>
          <w:tcPr>
            <w:tcW w:w="0" w:type="dxa"/>
            <w:vAlign w:val="bottom"/>
          </w:tcPr>
          <w:p>
            <w:pPr>
              <w:spacing w:after="0"/>
              <w:rPr>
                <w:sz w:val="1"/>
                <w:szCs w:val="1"/>
                <w:color w:val="auto"/>
              </w:rPr>
            </w:pPr>
          </w:p>
        </w:tc>
      </w:tr>
      <w:tr>
        <w:trPr>
          <w:trHeight w:val="216"/>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(23,511)</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8"/>
        </w:trPr>
        <w:tc>
          <w:tcPr>
            <w:tcW w:w="5380" w:type="dxa"/>
            <w:vAlign w:val="bottom"/>
            <w:shd w:val="clear" w:color="auto" w:fill="CCEEFF"/>
          </w:tcPr>
          <w:p>
            <w:pPr>
              <w:ind w:left="7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 of</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Great Lakes Dredge &amp; Dock Corporation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4,356</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(3,156)</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(23,360)</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(1,200)</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Great Lakes Dredge &amp;</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Dock Corporation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4,234</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(3,287)</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(23,613)</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(23,613)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provided by (used in)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24,488</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(3,357)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(5,840)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used in operating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vendor performance obligations</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for acquisitions of businesses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9,402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used in investing activities of</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(79,369)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5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9,402</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(69,967)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provided by investing activities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(74,094)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9,402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fees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(845)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equipment debt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noncontrolling interest</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5,807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(9,402)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 employee stock</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1,542</w:t>
            </w:r>
          </w:p>
        </w:tc>
        <w:tc>
          <w:tcPr>
            <w:tcW w:w="2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105,000</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(105,000)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Net cash flows provided by (used in) financing</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5,843</w:t>
            </w:r>
          </w:p>
        </w:tc>
        <w:tc>
          <w:tcPr>
            <w:tcW w:w="20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(9,402)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5,843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(9,402)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260</w:t>
            </w: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(53,727)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71,939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18,212</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2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GLDD</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Guarantors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10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provided by (used in) operating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47,543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(6,776)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(29,542)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used in operating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(29,542)</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vendor performance obligations</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5,309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Pr>
          <w:p>
            <w:pPr>
              <w:ind w:left="700"/>
              <w:spacing w:after="0" w:line="205" w:lineRule="exact"/>
              <w:rPr>
                <w:sz w:val="20"/>
                <w:szCs w:val="20"/>
                <w:color w:val="auto"/>
              </w:rPr>
            </w:pPr>
            <w:r>
              <w:rPr>
                <w:rFonts w:ascii="Times New Roman" w:cs="Times New Roman" w:eastAsia="Times New Roman" w:hAnsi="Times New Roman"/>
                <w:sz w:val="18"/>
                <w:szCs w:val="18"/>
                <w:color w:val="auto"/>
              </w:rPr>
              <w:t>Net cash flows used in investing activities of</w:t>
            </w: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5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5,309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used in investing activities of</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(25,632)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8"/>
              </w:rPr>
              <w:t>5,309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Repayments of long term note payable</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(10,547)</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equipment debt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(4,391)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(5,309)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Exercise of options and purchases from employee stock</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income tax benefit from share-based compensation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194,500</w:t>
            </w:r>
          </w:p>
        </w:tc>
        <w:tc>
          <w:tcPr>
            <w:tcW w:w="20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(149,500)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contributions</w:t>
            </w:r>
          </w:p>
        </w:tc>
        <w:tc>
          <w:tcPr>
            <w:tcW w:w="1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provided by (used in) financing</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activities of continuing operations</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29,545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(5,309)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ind w:left="700"/>
              <w:spacing w:after="0" w:line="198" w:lineRule="exact"/>
              <w:rPr>
                <w:sz w:val="20"/>
                <w:szCs w:val="20"/>
                <w:color w:val="auto"/>
              </w:rPr>
            </w:pPr>
            <w:r>
              <w:rPr>
                <w:rFonts w:ascii="Times New Roman" w:cs="Times New Roman" w:eastAsia="Times New Roman" w:hAnsi="Times New Roman"/>
                <w:sz w:val="18"/>
                <w:szCs w:val="18"/>
                <w:color w:val="auto"/>
              </w:rPr>
              <w:t>Net cash flows used in financing activities of</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10,626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29,542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(5,309)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foreign currency exchange rates on cash and cash</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equivalents</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0"/>
                <w:szCs w:val="20"/>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16,882</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168</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38,087</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2013, and in other securities filings by Great Lakes with the SEC.</w:t>
      </w:r>
    </w:p>
    <w:p>
      <w:pPr>
        <w:spacing w:after="0" w:line="1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In addition, the Company is the only U.S. dredging service provider with significant international operations, which represented 18% of its dredging revenues for the first nine months of 2014, in line with the Company’s prior three year average of 18%. The mobility of the Company’s fleet enables the Company to move equipment in response to changes in demand for dredging services.</w:t>
      </w:r>
    </w:p>
    <w:p>
      <w:pPr>
        <w:spacing w:after="0" w:line="17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46% over the prior three years, including 46%, 58%, 33% and 50% of the domestic capital, coastal protection, maintenance and rivers &amp; lakes sectors, respectively.</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2014, the Company’s dredging revenues earned from contracts with federal government agencies, including the Corps as well as other federal entities such as the U.S. Coast Guard and the U.S. Navy were approximately 76% of dredging revenues, an increase compared to the Company’s prior three year average of 59%.</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environmental &amp; remediation subsidiaries provide soil, water and sediment environmental remediation for the municipal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In the first nine months of 2014, environmental &amp; remediation revenues accounted for 14% of total revenues.</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operates in four operating segments that, through aggregation, comprise two reportable segments: dredging and environmental &amp; remediation, previously referred to as the demolition segment. The historical demolition business has been retrospectively presented as discontinued operations and is no longer reflected in continuing operations.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attributable to Great Lakes Dredge &amp; Dock Corporation and Adjusted EBITDA from continuing operations, as defined below, as a percentage of contract revenues for the three and nine months ended September 30, 2014 and 2013:</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16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2160" w:type="dxa"/>
            <w:vAlign w:val="bottom"/>
            <w:gridSpan w:val="4"/>
          </w:tcPr>
          <w:p>
            <w:pPr>
              <w:jc w:val="right"/>
              <w:ind w:right="8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8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(87.9)</w:t>
            </w: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(85.2)</w:t>
            </w: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(87.2)</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12.8</w:t>
            </w:r>
          </w:p>
        </w:tc>
        <w:tc>
          <w:tcPr>
            <w:tcW w:w="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7.9</w:t>
            </w:r>
          </w:p>
        </w:tc>
        <w:tc>
          <w:tcPr>
            <w:tcW w:w="10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8.9</w:t>
            </w:r>
          </w:p>
        </w:tc>
        <w:tc>
          <w:tcPr>
            <w:tcW w:w="7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loss of use claim</w:t>
            </w:r>
          </w:p>
        </w:tc>
        <w:tc>
          <w:tcPr>
            <w:tcW w:w="11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tcPr>
          <w:p>
            <w:pPr>
              <w:spacing w:after="0"/>
              <w:rPr>
                <w:sz w:val="18"/>
                <w:szCs w:val="18"/>
                <w:color w:val="auto"/>
              </w:rPr>
            </w:pP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7.4</w:t>
            </w:r>
          </w:p>
        </w:tc>
        <w:tc>
          <w:tcPr>
            <w:tcW w:w="11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3.8</w:t>
            </w:r>
          </w:p>
        </w:tc>
        <w:tc>
          <w:tcPr>
            <w:tcW w:w="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(2.3)</w:t>
            </w:r>
          </w:p>
        </w:tc>
        <w:tc>
          <w:tcPr>
            <w:tcW w:w="10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earnings (loss) of joint ventures</w:t>
            </w:r>
          </w:p>
        </w:tc>
        <w:tc>
          <w:tcPr>
            <w:tcW w:w="11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(2.9)</w:t>
            </w:r>
          </w:p>
        </w:tc>
        <w:tc>
          <w:tcPr>
            <w:tcW w:w="10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112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(0.5)</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1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(0.5)</w:t>
            </w:r>
          </w:p>
        </w:tc>
        <w:tc>
          <w:tcPr>
            <w:tcW w:w="10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c>
          <w:tcPr>
            <w:tcW w:w="7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tcPr>
          <w:p>
            <w:pPr>
              <w:spacing w:after="0"/>
              <w:rPr>
                <w:sz w:val="19"/>
                <w:szCs w:val="19"/>
                <w:color w:val="auto"/>
              </w:rPr>
            </w:pP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540" w:type="dxa"/>
            <w:vAlign w:val="bottom"/>
            <w:vMerge w:val="continue"/>
          </w:tcPr>
          <w:p>
            <w:pPr>
              <w:spacing w:after="0"/>
              <w:rPr>
                <w:sz w:val="19"/>
                <w:szCs w:val="19"/>
                <w:color w:val="auto"/>
              </w:rPr>
            </w:pPr>
          </w:p>
        </w:tc>
        <w:tc>
          <w:tcPr>
            <w:tcW w:w="11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1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4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w:t>
            </w:r>
          </w:p>
        </w:tc>
        <w:tc>
          <w:tcPr>
            <w:tcW w:w="5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Dredge &amp; Dock Corporation</w:t>
            </w: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14.1 %</w:t>
            </w:r>
          </w:p>
        </w:tc>
        <w:tc>
          <w:tcPr>
            <w:tcW w:w="11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Adjusted EBITDA from continuing operations, as provided herein, represents net income attributable to common stockholders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 attributable to common stockholders of Great Lakes Dredge &amp; Dock Corporation: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7"/>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Pr>
          <w:p>
            <w:pPr>
              <w:spacing w:after="0"/>
              <w:rPr>
                <w:sz w:val="15"/>
                <w:szCs w:val="15"/>
                <w:color w:val="auto"/>
              </w:rPr>
            </w:pPr>
          </w:p>
        </w:tc>
        <w:tc>
          <w:tcPr>
            <w:tcW w:w="198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7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income (loss) attributable to common stockholders of Great Lakes Dredge &amp; Dock</w:t>
            </w: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Corporation</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 (2,086)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1,448</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 (8,718)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$(23,360)</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8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(5,310)</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(9,118)</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(38,618)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182</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4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expense—net</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5,542</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14,730</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3,060</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(425)</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8,326</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11,297</w:t>
            </w:r>
          </w:p>
        </w:tc>
        <w:tc>
          <w:tcPr>
            <w:tcW w:w="4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32,744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33,777</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bargain purchase acquisition</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(2,197)</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13,429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26,475</w:t>
            </w: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45,252</w:t>
            </w:r>
          </w:p>
        </w:tc>
        <w:tc>
          <w:tcPr>
            <w:tcW w:w="4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$ 73,881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segment and type of work, the Company’s contract revenues for each of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98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9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Capital—U.S.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57,514</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43,045</w:t>
            </w: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33.6 %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$133,683</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$128,027</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32,651</w:t>
            </w:r>
          </w:p>
        </w:tc>
        <w:tc>
          <w:tcPr>
            <w:tcW w:w="9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22.6 %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85,691</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104,384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Coastal protection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31,939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54,398</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(41.3)%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158,548</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163,546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26,577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12,687</w:t>
            </w:r>
          </w:p>
        </w:tc>
        <w:tc>
          <w:tcPr>
            <w:tcW w:w="9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109.5 %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85,228</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47,090</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81.0 %</w:t>
            </w:r>
          </w:p>
        </w:tc>
        <w:tc>
          <w:tcPr>
            <w:tcW w:w="0" w:type="dxa"/>
            <w:vAlign w:val="bottom"/>
          </w:tcPr>
          <w:p>
            <w:pPr>
              <w:spacing w:after="0"/>
              <w:rPr>
                <w:sz w:val="1"/>
                <w:szCs w:val="1"/>
                <w:color w:val="auto"/>
              </w:rPr>
            </w:pPr>
          </w:p>
        </w:tc>
      </w:tr>
      <w:tr>
        <w:trPr>
          <w:trHeight w:val="216"/>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Rivers &amp; lakes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12,688</w:t>
            </w: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23,003</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22,868</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dredging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167,079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155,469</w:t>
            </w:r>
          </w:p>
        </w:tc>
        <w:tc>
          <w:tcPr>
            <w:tcW w:w="9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7.5 %</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486,153</w:t>
            </w:r>
          </w:p>
        </w:tc>
        <w:tc>
          <w:tcPr>
            <w:tcW w:w="12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465,915</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&amp; remediation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37,182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36,114</w:t>
            </w:r>
          </w:p>
        </w:tc>
        <w:tc>
          <w:tcPr>
            <w:tcW w:w="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3.0 %</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79,224</w:t>
            </w:r>
          </w:p>
        </w:tc>
        <w:tc>
          <w:tcPr>
            <w:tcW w:w="12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53,215</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48.9 %</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(3,721)</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(44.6)%</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(4,088)</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(3,990)</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202,198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187,862</w:t>
            </w:r>
          </w:p>
        </w:tc>
        <w:tc>
          <w:tcPr>
            <w:tcW w:w="3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561,289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515,140</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revenue for the 2014 third quarter was $202.2 million, an increase of $14.3 million or 8% from $187.9 million during the 2013 third quarter. For the nine months ended September 30, 2014, total revenue increased to $561.3 million from $515.1 million during the same period in the prior year, an increase of 9%. For the nine months ended September 30, 2014, increases in maintenance, domestic capital, rivers &amp; lakes and environmental &amp; remediation revenues were slightly offset by decreases in foreign capital and coastal protection revenues.</w:t>
      </w:r>
    </w:p>
    <w:p>
      <w:pPr>
        <w:spacing w:after="0" w:line="18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by $14.5 million, or 34%, to $57.5 million, in the 2014 third quarter when compared to the same quarter in 2013. For the nine months ended September 30, 2014, domestic capital dredging revenues increased $5.7 million, or 4%, compared to the same period in 2013. Domestic capital dredging revenues in the nine months ended September 30, 2014 were primarily earned by port deepening projects in Miami and on the Delaware River. These projects were offset by two 2013 coastal restoration projects in Louisiana that did not repeat in the current year.</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In the third quarter of 2014 foreign dredging revenue was $40.0 million, an increase of $7.4 million, or 23%. Foreign dredging revenue was $85.7 million for the nine months ended September 30, 2014, a decrease of $18.7 million, or 18% compared to the same period in 2013. Revenue in the nine months ended September 30, 2014 was driven by the Wheatstone LNG Project in Western Australia, a project in the Middle East and two projects in Brazil. In comparison, revenue for the first nine months of 2013 was driven by two higher revenue producing projects in the Middle East.</w:t>
      </w:r>
    </w:p>
    <w:p>
      <w:pPr>
        <w:spacing w:after="0" w:line="18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Coastal protection projects generally involve moving sand from the ocean floor to shoreline locations where erosion threatens shoreline assets. Coastal protection revenue decreased $22.5 million or 41% to $31.9 million in the 2014 third quarter compared to the 2013 third quarter. Year-to-date 2014 coastal protection revenue decreased $5.0 million, or 3% to $158.5 million compared to the first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three quarters of 2013. A large number of projects in New York and New Jersey for the repair of shorelines damaged as a result of Superstorm Sandy continued to add to revenue during the nine months ended September 30, 2014; however, the dollar value of these Superstorm Sandy projects was lower than in the same period of the prior year. Additionally, the Company continued work on projects in South Carolina, North Carolina and Florida during the nine months ended September 30, 2014.</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Maintenance revenue in the third quarter of 2014 increased by $13.9 million, or 109%, compared to the same period in 2013. Maintenance revenue for the nine months ended September 30, 2014 increased $38.1 million, or 81% to $85.2 million compared to the first nine months of 2013. Year-to-date increases were the result of large maintenance projects in New York as well as significant harbor work in Maryland and Georgia. The Company also worked on projects in Florida, Tennessee and Mississippi during the first nine months of 2014.</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third quarter of 2014 was $11.0 million, a decrease of $1.7 million or 13% compared to the third quarter of 2013. Rivers &amp; lakes revenue for the nine months ended September 30, 2014 was up $0.1 million or 1% to $23.0 million. Rivers &amp; lakes revenue was driven by a large lake project in Illinois, a river project in Nebraska and a private company project in Florida. Year-to-date 2014 increases were slightly offset by a large municipal lake project in Texas that did not repeat in the current year.</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environmental &amp; remediation segment recorded revenues of $37.2 million for the three months ended September 30, 2014, up 3% compared to $36.1 million for the same period in 2013. Environmental &amp; remediation segment revenues for the nine months ended September 30, 2014 were $79.2, an increase of $26.0 million or 49% compared to the same period in 2013. The increase is attributable to a greater number of environmental &amp; remediation projects in the first nine months of 2014, including large remediation projects in New Jersey and Michigan. Additionally, the environmental &amp; remediation segment teamed with Rivers &amp; lakes to work on a large lake project in Illinois during the first three quarters of 2014.</w:t>
      </w:r>
    </w:p>
    <w:p>
      <w:pPr>
        <w:spacing w:after="0" w:line="18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Consolidated gross profit for the 2014 third quarter decreased by 12% to $24.5 million, from $27.8 million in the third quarter of 2013. Gross profit margin (gross profit divided by revenue) for the 2014 third quarter decreased to 12.1% from 14.8% in the 2013 third quarter. Gross profit for the nine months ended September 30, 2014 decreased by 1% to $71.6 million, from $72.3 million in the first nine months of 2013, resulting in a decrease in gross profit margin to 12.8% from 14.0%. Gross profit margin year-to-date 2014 was lower due to higher unearned plant costs associated with two dredges which were in dry dock during the 2014 third quarter in addition to higher operating overhead costs compared to same period in the prior year. Additionally, fewer projects in the Middle East in 2014 further lowered the gross profit margin in the first nine months of the current year as fixed costs impacted the gross profit of our foreign operations. Improved contract margins in the environmental &amp; remediation segment partially offset the dredging gross profit margin decreases.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totaled $16.1 million for the quarter ended September 30, 2014, down $1.1 million or 6% from the third quarter of 2013. General and administrative expenses totaled $49.9 million for the nine months ended September 30, 2014 which was slightly higher than the same period in the prior year. Additional payroll and benefit expenses of $2.4 million and higher office expenses of $1.0 million were mostly offset by a $1.5 million decrease in legal and professional fees during the first nine months of 2014.</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income for the three months ended September 30, 2014 was $8.0 million compared to $13.9 million in the same period of 2013. The operating income for the nine months ended September 30, 2014 was $21.2 million compared to $40.1 million in the same period of 2013. Besides the change in gross profit and general and administrative expenses, the lower operating income for the nine months ended September 30, 2014 is primarily due to the $13.3 million in proceeds from a loss of use claim received during the 2013 second quarter.</w:t>
      </w:r>
    </w:p>
    <w:p>
      <w:pPr>
        <w:spacing w:after="0" w:line="18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Net interest expense totaled $4.7 million for the three months ended September 30, 2014, down from interest expense of $5.5 million from the same period of 2013. Net interest expense totaled $14.7 million and $16.7 million for the nine months ended September 30, 2014 and 2013, respectively. Net interest expense for the first three quarters of 2014 is down compared to the same period in the prior year due to lower interest expense associated with the Company’s revolving credit facility during the current year as well as higher financing fees associated with amendments to our debt facilities in the prior year.</w:t>
      </w:r>
    </w:p>
    <w:p>
      <w:pPr>
        <w:spacing w:after="0" w:line="165"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income tax expense for the nine months ended September 30, 2014 was a benefit of $0.4 million compared to a provision of $8.3 million for the same period of 2013. The decrease in income tax provision for the first nine months of 2014 was attributable to the lower taxable operating income in 2014. The Company expects the tax rate for the full year before consideration of nondeductible pretax items to remain near 40%.</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loss from continuing operations was $1.0 million and the loss per diluted share was $0.01 for the 2014 third quarter compared to a net income from continuing operations of $6.6 million and earnings per diluted share of $0.11 for the same period of 2013. Net income from continuing operations was $0.4 million with earnings per diluted share of $0.01 for the nine months ended September 30, 2014 compared to net income from continuing operations of $15.1 million with earnings per diluted share of $0.25 for the nine months ended September 30, 2013. The decrease in 2014 is due to lower operating income described above in addition to a $9.1 million charge in equity in loss of joint ventures during 2014. These decreases in 2014 were partially offset by a $2.2 million noncash bargain purchase gain recognized during the second quarter of 2014. This gain is related to a small acquisition in our environmental &amp; remediation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(as defined on page 28) was $13.4 million and $45.3 million for the three and nine months ended September 30, 2014 compared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$26.5 million and $73.9 million in the same 2013 periods. This decrease is the result of lower operating income in the current year period as described above.</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Results by segment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Dredging</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Dredging revenues for the three and nine months ended September 30, 2014 were $167.1 million and $486.2 million, respectively, compared to $155.5 million and $465.9 million for the same period of 2013. The dredging segment for the nine months ended September 30, 2014 included increases in maintenance, domestic capital and rivers &amp; lakes dredging revenues which were slightly offset by decreases in coastal protection and foreign capital revenues. The current year benefited from the Wheatstone LNG project in Western Australia, the port deepening project in Miami, as well as projects in New York and New Jersey to repair damaged shorelines as a result of Superstorm Sandy. In addition, several maintenance projects in New York, Maryland, and Georgia contributed to increased revenues during the nine months ended September 30, 2014. Dredging revenues in the first nine months of 2013 were driven by additional revenue from Superstorm Sandy projects as well as two projects in the Middle East and two coastal restoration projects in Louisiana that did not repeat in the current year.</w:t>
      </w:r>
    </w:p>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margin in the dredging segment was 10.7% and 12.6% for the three and nine months ended September 30, 2014 compared to a gross profit margin of 14.5% and 14.2% for the same period in the prior year. Dredging gross profit margin was lower due to higher unearned plant costs associated with two dredges which were in dry dock during the 2014 third quarter in addition to higher operating overhead compared to same period in the prior year. Additionally, fewer projects in the Middle East in 2014 further lowered the gross profit margin in the first nine months of the current year as fixed costs impacted the gross profit of our foreign operations.</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Dredging segment operating income was $5.7 million and $24.2 million for the three and nine months ended September 30, 2014 compared to operating income of $13.1 million and $46.7 million for the three and nine months ended September 30, 2013. The decrease in operating income is result of the change in gross profit, described above, the $9.1 million charge in equity in loss of joint ventures during 2014 and the $13.3 million in proceeds from loss of use claim received during the 2013 second quarter.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&amp; remediation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Environmental &amp; remediation revenues for the three and nine months ended September 30, 2014 totaled $37.2 million and $79.2 million, respectively, compared to $36.1 million and $53.2 million for the same period in 2013. Environmental &amp; remediation revenues for the first nine months of 2014 increased as a result of a greater number of projects, including large remediation projects in New Jersey and Michigan as well as a large lake project in Illinois.</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environmental &amp; remediation segment had a gross profit margin of 17.7% and 13.0% for the three and nine months ended September 30, 2014 and a gross profit margin of 14.6% and 11.4% for the same periods in the prior year. During the first nine months of 2014, better fixed cost coverage allowed for improvements in the gross profit margin.</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environmental &amp; remediation segment had an operating profit of $2.3 million and an operating loss of $3.0 million for the three and nine months ended September 30, 2014, compared to an operating profit of $0.8 million and an operating loss of $6.6 million for the same periods of 2013. The change in operating loss is the result of the foregoing increase in gross profit margin for the nine months ended September 30, 2014 offset by a $0.7 million increase in general and administrative expenses.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April 23, 2014, the Company completed the sale of its historical demolition business which previously was part of the environmental &amp; remediation segment. The historical demolition business has been retrospectively presented as discontinued operations and is no longer reflected in continuing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Bidding activity and backlog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reporting segment and type of dredging work, the Company’s backlog as of the dates indicated:</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17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920" w:type="dxa"/>
            <w:vAlign w:val="bottom"/>
            <w:tcBorders>
              <w:bottom w:val="single" w:sz="8" w:color="CCEEFF"/>
            </w:tcBorders>
            <w:vMerge w:val="continue"/>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Dredging:</w:t>
            </w: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Capital—U.S.</w:t>
            </w:r>
          </w:p>
        </w:tc>
        <w:tc>
          <w:tcPr>
            <w:tcW w:w="19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162,109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176,117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149,071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Capital—foreign</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84,232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98,666</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108,458</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Coastal protection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60,841</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143,498</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157,782</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47,007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70,633</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76,592</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Rivers &amp; lakes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95,829</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26,158</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Dredging Backlog</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450,018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515,072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508,788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&amp; remediation</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20,581</w:t>
            </w:r>
          </w:p>
        </w:tc>
        <w:tc>
          <w:tcPr>
            <w:tcW w:w="16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28,330</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39,056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9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470,599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543,402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547,844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53% of the Company’s September 30, 2014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domestic dredging bid market for the 2014 third quarter totaled $562.8 million, resulting in $1,138.7 million of work awarded during the first nine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of 2014. This represents an increase of $72.1 million from the first nine months of 2013. During the first three quarters, the Company was awarded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phase of the PortMiami project for $31.6 million as well as an LNG project in Texas for $35.2 million. Additionally, the Company was awarded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coastal protection projects in North Carolina and New Jersey. Including these awards, the Company won 21%, or $80.7 million of the coastal protection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awarded through September 30, 2014. For the contracts released in the current year, the Company won 32% or $114.2 million of the domestic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projects, 18% or $46.6 million of the maintenance projects and 65% or $94.5 million of the rivers &amp; lakes projects awarded year-to-date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The Company won 30% of the overall domestic bid market through September 30, 2014, which is below the Company’s prior three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of 46%. Variability in contract wins from quarter to quarter is not unusual and one quarter’s win rate is generally not indicative of the win rate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likely to achieve for a full year.</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Company’s contracted dredging backlog was $450.0 million at September 30, 2014 compared to $515.1 million of backlog as of December 31, 2013. These amounts do not reflect approximately $4.8 million of domestic low bids pending formal award and additional phases (“options”) pending on projects currently in backlog at September 30, 2014. At December 31, 2013 the amount of domestic low bids and options pending award was $136.4 million. Subsequent to the end of the quarter, the Company was awarded a $140 million project to deepen and widen the Suez Canal and was low bidder on six additional projects totaling approximately $293 million.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Domestic capital dredging backlog at September 30, 2014 was $14.0 million lower than at December 31, 2013. The Company continued to work on the PortMiami project which will continue into 2015. The Company was awarded a deepening project on the Delaware River during the second quarter of 2014 along with a large LNG project in Texas during the third quarter of 2014, both of which will continue into 2015. Included in the Company’s low bids subsequent to the end of the quarter is the last deepening contract to deepen the New York Harbor to 50 feet, an approximately $27 million project. The </w:t>
      </w:r>
      <w:r>
        <w:rPr>
          <w:rFonts w:ascii="Times New Roman" w:cs="Times New Roman" w:eastAsia="Times New Roman" w:hAnsi="Times New Roman"/>
          <w:sz w:val="18"/>
          <w:szCs w:val="18"/>
          <w:i w:val="1"/>
          <w:iCs w:val="1"/>
          <w:color w:val="auto"/>
        </w:rPr>
        <w:t>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Resources Reform and Development Act (WRRDA) </w:t>
      </w:r>
      <w:r>
        <w:rPr>
          <w:rFonts w:ascii="Times New Roman" w:cs="Times New Roman" w:eastAsia="Times New Roman" w:hAnsi="Times New Roman"/>
          <w:sz w:val="18"/>
          <w:szCs w:val="18"/>
          <w:color w:val="auto"/>
        </w:rPr>
        <w:t>was signed in the second quarter of 2014 which authorized the Corps to begin dredging to deepen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Savannah River channel and authorizes the Port of Jacksonville and the Port of Boston and Gulf Coast ports to begin their deepening projects studies. The Company views the bill as a positive catalyst for the domestic dredging industry as it authorizes over thirty major projects for the Corps and also provides for different funding mechanisms for Federal projects.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Coastal protection dredging backlog at September 30, 2014 was $82.7 million lower than at December 31, 2013 as the Company completed a number of projects in backlog at year end to repair damaged shorelines in New York and New Jersey. Additionally, the Company completed large projects in South Carolina and Florida that were part of the backlog at year end. The Company was awarded two large coastal protection projects as a result of Superstorm Sandy during the second quarter of 2014. The Corps let for bid additional coastal protection projects in October 2014 of which the Company was low bidder on $253.6 million. The Company expects additional projects to be let in the fourth quarter of 2014 and early 2015. In addition, several states are recognizing the importance of coastal protection to their communities and are increasing local funding for projects that will directly impact their communities and provide a positive impact for the domestic dredging market.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Maintenance dredging backlog was $23.6 million lower at September 30, 2014 than at December 31, 2013. The Company primarily completed its backlog related to several large projects in Florida, Georgia and Maryland during the first nine months of 2014. The Company was awarded maintenance projects in New York and Florida during the third quarter of 2014 which added approximately $30 million to backlog at September 30, 2014. The previously mentioned </w:t>
      </w:r>
      <w:r>
        <w:rPr>
          <w:rFonts w:ascii="Times New Roman" w:cs="Times New Roman" w:eastAsia="Times New Roman" w:hAnsi="Times New Roman"/>
          <w:sz w:val="18"/>
          <w:szCs w:val="18"/>
          <w:i w:val="1"/>
          <w:iCs w:val="1"/>
          <w:color w:val="auto"/>
        </w:rPr>
        <w:t xml:space="preserve">Water Resources Reform and Development Act </w:t>
      </w:r>
      <w:r>
        <w:rPr>
          <w:rFonts w:ascii="Times New Roman" w:cs="Times New Roman" w:eastAsia="Times New Roman" w:hAnsi="Times New Roman"/>
          <w:sz w:val="18"/>
          <w:szCs w:val="18"/>
          <w:color w:val="auto"/>
        </w:rPr>
        <w:t>calls for full use of Harbor Maintenance Trust Fund (HMTF) for maintenance of ports and waterways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years. With the mandate to utilize the taxes collected on imports to U.S. ports for their intended purpose of maintaining future access to the waterways and ports that support our nation’s economy, the Company expects the Corps to substantially increase the projects let to bid for maintenance projects in late 2014, the fiscal year 2015 and beyond.</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Rivers &amp; lakes backlog is $69.7 million higher at September 30, 2014 than at December 31, 2013 primarily due to the Lake Decatur award in the first quarter of 2014. Rivers &amp; lakes continued to earn on projects in its backlog, including work on the Lake Decatur project and a private company project in Florida. Increased rainfall in the first half of 2014 which deposited additional sediment into the Mississippi River and allocation of resources from the Corps to other projects have left a backlog of projects to let from the government to maintain optimal navigation on this important waterway.</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Foreign capital dredging backlog was down $14.4 million from December 31, 2013. The Company continued to earn on the Wheatstone LNG project as well as a projects won in Brazil and the Middle East in the first quarter of 2014. Backlog from our Wheatstone LNG project and a project in the Middle East comprised a majority of the balance of backlog as of September 30, 2014. As noted above, the Company was awarded a $140 million project to deepen and widen the Suez Canal subsequent to the end of the 2014 third quarter that will be included in future backlog.</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Environmental &amp; remediation services backlog was $7.7 million lower at September 30, 2014 than at December 31, 2013. The decrease was primarily driven by the revenue earned on the large remediation projects in New Jersey. Terra’s reputation in the remediation specialty contracting business has allowed the division to expand into new territory and complementary services for its clients. The two segments of the Company have combined product offerings during the year to serve our client’s needs. Terra’s combined service offering with rivers &amp; lakes’ dredging highlights an important growth element of the Company.</w:t>
      </w:r>
    </w:p>
    <w:p>
      <w:pPr>
        <w:spacing w:after="0" w:line="2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net cash provided by operating activities of continuing operations for the nine months ended September 30, 2014 and 2013 totaled $15.3 million and $11.2 million, respectively. Normal increases or decreases in the level of working capital relative to the level of operational activity impact cash flow from operating activities. The increase in the current year from the nine months ended September 30, 2013 is related to a decrease in the investment in working capital partially offset by lower adjusted EBITDA from continuing operations in the current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cash flows used in investing activities of continuing operations for the first nine months of 2014 and 2013 totaled $70.0 million and</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$20.2 million, respectively. Investing activities in both periods primarily relate to normal course upgrades and capital maintenance of the Company’s dredging fleet. During the nine months ended September 30, 2014, the Company spent $31.4 million on construction in progress for a vessel being built to our specifications. The Company’s net cash flows provided by (used in) financing activities of continuing operations for the nine months ended September 30, 2014 and 2013 totaled $(0.1) million and $34.9 million. The change in net cash flows from financing activities is primarily due to net borrowings on the Company’s revolver during the first nine months of 2013 of $45.0 million. Also in 2013, the Company paid $10.5 million on a promissory note related to the Terra acquisition.</w:t>
      </w:r>
    </w:p>
    <w:p>
      <w:pPr>
        <w:spacing w:after="0" w:line="1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 million, multicurrency borrowings up to a $50 million sublimit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and swingline loans up to a $10 million sublimit. The Credit Agreement also includes an incremental loans feature that will allow the Company to increase the senior revolving credit facility by an aggregate principal amount of up to $15 million.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September 15, 2014, the Company entered into the fifth amendment (the “Fifth Amendment”) to the Credit Agreement which exercised a portion of the incremental loans feature of the Credit Agreement that allowed the Company to increase the aggregate revolving commitment. A new lender provided an incremental commitment of $35 million increasing the aggregate revolving commitment to $210 million. Additionally, the Fifth Amendment allowed full use of the aggregate revolving commitment for the issuance of letters of credit and decreased the required ratio of aggregate orderly liquidation value of pledged collateral from 1.5 times to 1.27 times the aggregate revolving commitment. The Fifth Amendment further amended the Credit Agreement so that the Credit Agreement will remain secured and collateralized by perfected liens on certain of the Company’s vessels and its domestic accounts receivable, subject to permitted liens and prior interests of other parties.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Company’s entry into the Fifth Amendment, Zurich American Insurance Company, the Company’s surety provider, secured permitted second mortgages on the same vessels securing the obligations under the Credit Agreement.</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 The Credit Agreement requires the Company to maintain a net leverage ratio less than or equal to 4.50 to 1.00 as of the end of each fiscal quarter and a minimum fixed charge coverage ratio of 1.25 to 1.00.</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4, 2014, the Company entered into a new senior secured term loan facility consisting of a term loan in an aggregate principal amount of $50 million (the “Term Loan Facility”) pursuant to a Loan and Security Agreement (the “Loan Agreement”) by and among, the lenders party thereto from time to time and Bank of America, N.A., as administrative agent. Pursuant to the term loan, the Company borrowed an aggregate principal amount of $46.8 million.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Facility provides for monthly amortization payments, payable in arrears, commencing on December 4, 2014, at an annual amount of</w:t>
      </w:r>
    </w:p>
    <w:p>
      <w:pPr>
        <w:spacing w:after="0" w:line="27" w:lineRule="exact"/>
        <w:rPr>
          <w:sz w:val="20"/>
          <w:szCs w:val="20"/>
          <w:color w:val="auto"/>
        </w:rPr>
      </w:pPr>
    </w:p>
    <w:p>
      <w:pPr>
        <w:ind w:right="20" w:firstLine="8"/>
        <w:spacing w:after="0" w:line="273" w:lineRule="auto"/>
        <w:tabs>
          <w:tab w:leader="none" w:pos="2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September 30, 2014, the Company had $35.0 million of borrowings on the revolver and $117.8 million of letters of credit outstanding, resulting in $57.2 million of availability under the Credit Agreement. Borrowings under the line of credit may be limited based on the Company’s requirements to comply with its covenants. At September 30, 2014, the Company was in compliance with its various covenants under its Credit Agreement.</w:t>
      </w:r>
    </w:p>
    <w:p>
      <w:pPr>
        <w:spacing w:after="0" w:line="18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On September 15, 2014, the Company terminated its $24 million international letter of credit facility with Wells Fargo Bank, National Association, as successor by merger to Wells Fargo HSBC Trade Bank, as amended. On the date of termination, there were no letters of credit or other indebtedness outstanding under this facility, and the loan documents providing for the facility, and the liens and security interests securing it, were terminated and released.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2014, the Company also had $250 million of 7.375% senior notes outstanding, which mature in February 2019.</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remediation projects. The Company has a bonding agreement (the “Zurich Bonding Agreement”) with Zurich American Insurance Company (“Zurich”) under which the Company can obtain performance, bid and payment bonds. The Company also has outstanding bonds with Travelers Casualty and Surety Company of America. Bid bonds are generally obtained for a percentage of bid value and amounts outstanding typically range from $1 million to $10 million. At September 30, 2014, the Company had outstanding performance bonds totaling at approximately $822.3 million, of which $49.6 million relates to projects accounted for in discontinued operations. The revenue value remaining in backlog related to the projects of continuing operations totaled approximately $603.7 million.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sale of NASDI, LLC and Yankee Environmental Services, LLC, the Company’s two subsidiaries that comprised the historical demolition business, on April 23, 2014, the Company, certain of its subsidiaries and Zurich entered into a rider to the Zurich Bonding Agreement. Under this rider, Zurich consented to the sale and agreed, among other things, to release and discharge such subsidiaries from their obligations under the Zurich Bonding Agreement, and release the Transferred Bonds (as defined below) from under the Zurich Bonding Agreement. As a condition to Zurich’s consent and agreement to release, the rider required (i) the buyer of the historical demolition business to enter into a General Indemnity Agreement in favor of Zurich with respect to the performance bonds issued by Zurich for existing projects that were transferred with the sale (the “Transferred Bonds”) and (ii) the Company to:</w:t>
      </w:r>
    </w:p>
    <w:p>
      <w:pPr>
        <w:spacing w:after="0" w:line="93" w:lineRule="exact"/>
        <w:rPr>
          <w:sz w:val="20"/>
          <w:szCs w:val="20"/>
          <w:color w:val="auto"/>
        </w:rPr>
      </w:pPr>
    </w:p>
    <w:p>
      <w:pPr>
        <w:ind w:left="900" w:right="160" w:hanging="446"/>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Guarantee and Indemnity Agreement with respect to the Transferred Bonds in favor of Zurich (“Zurich Guarantee”) pursuant to which the Company agreed to guarantee the obligations of such former subsidiaries under, and indemnify and hold Zurich harmless against any losses and liabilities incurred by it in respect of, the Transferred Bonds up to an aggregate amount of $25 million;</w:t>
      </w:r>
    </w:p>
    <w:p>
      <w:pPr>
        <w:spacing w:after="0" w:line="81" w:lineRule="exact"/>
        <w:rPr>
          <w:rFonts w:ascii="Times New Roman" w:cs="Times New Roman" w:eastAsia="Times New Roman" w:hAnsi="Times New Roman"/>
          <w:sz w:val="18"/>
          <w:szCs w:val="18"/>
          <w:color w:val="auto"/>
        </w:rPr>
      </w:pPr>
    </w:p>
    <w:p>
      <w:pPr>
        <w:ind w:left="900" w:right="180" w:hanging="446"/>
        <w:spacing w:after="0" w:line="266"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agreement with Zurich providing for the issuance to Zurich of a letter of credit by the Company in the original face amount of $20 million (the “Zurich Letter of Credit”) to secure the obligations of (a) the Company under the Zurich Bonding Agreement with respect to the bonds issued thereunder and under the Zurich Guarantee and (b) such former subsidiaries with respect to the Transferred Bonds; and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the Zurich Letter of Credit.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on April 23, 2014 the Company entered into an amendment to the Credit Agreement, which amended the Credit Agreement to permit the entrance into the Zurich Guarantee by the Company and to exclude the Zurich Guarantee and the Zurich Letter of Credit from the calculation of the Company’s financial covenants under the Credit Agreement related to total consolidated indebtedness and total leverage ratio.</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accounting principles generally accepted in the United States of America which are described in Note 1 to the Company’s December 31, 2013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2013.</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September 30, 2014 has not materially changed since December 31, 2013. The market risk profile of the Company on December 31, 2013 is disclosed in Item 7A. “Quantitative and Qualitative Disclosures about Market Risk” of the Company’s Annual Report on Form 10-K for the year ended December 31, 2013.</w:t>
      </w:r>
    </w:p>
    <w:p>
      <w:pPr>
        <w:spacing w:after="0" w:line="10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240" w:top="455" w:right="6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2014. Our disclosure controls and procedures are designed to provide reasonable assurance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in providing such a reasonable assurance.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September 30, 2014 that have materially affected, or are reasonably likely to materially affect, our internal control over financial reporting.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“Commitments and Contingencies” in the Notes to Condensed Consolidated Financial Statements.</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nine months ended September 30, 2014 to the risk factors previously disclosed in Item 1A. Risk Factors in the Company’s Annual Report on Form 10-K for the year ended December 31, 2013.</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460" w:firstLine="4"/>
        <w:spacing w:after="0" w:line="266"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with the closing of the acquisition of Magnus Pacific Corporation, the Company granted restricted stock unit awards to the shareholders representing the right to receive, in aggregate, up to 1,500,000 shares of Great Lakes’ common stock. Each award vests on March 31, 2020, subject to the applicable employee’s continuous employment with Great Lakes through such date and satisfaction of certain business milestones.</w:t>
      </w:r>
    </w:p>
    <w:p>
      <w:pPr>
        <w:spacing w:after="0" w:line="68"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700" w:hanging="236"/>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700" w:hanging="236"/>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41"/>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Amendment No. 5 to Credit Agreement and Incremental Commitment Increase Agreement, dated as of September 15, 2014, by and among</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Great Lakes Dredge &amp; Dock Corporation, the other Credit Parties party thereto, Wells Fargo Bank, National Association, as Administrative</w:t>
            </w:r>
          </w:p>
        </w:tc>
      </w:tr>
      <w:tr>
        <w:trPr>
          <w:trHeight w:val="234"/>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Agent, Swingline Lender and an Issuing Lender, and the other lenders party thereto. (1)</w:t>
            </w:r>
          </w:p>
        </w:tc>
      </w:tr>
      <w:tr>
        <w:trPr>
          <w:trHeight w:val="306"/>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Sixth Amendment to Credit Agreement, dated as of November 4, 2014, by and among Great Lakes Dredge &amp; Dock Corporation, the other</w:t>
            </w:r>
          </w:p>
        </w:tc>
      </w:tr>
      <w:tr>
        <w:trPr>
          <w:trHeight w:val="234"/>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Credit Parties party thereto and the other lenders party thereto. (2)</w:t>
            </w:r>
          </w:p>
        </w:tc>
      </w:tr>
      <w:tr>
        <w:trPr>
          <w:trHeight w:val="324"/>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10.3</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Mark W. Marinko. (1)</w:t>
            </w:r>
          </w:p>
        </w:tc>
      </w:tr>
      <w:tr>
        <w:trPr>
          <w:trHeight w:val="324"/>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Maryann A. Waryjas. (1)</w:t>
            </w:r>
          </w:p>
        </w:tc>
      </w:tr>
      <w:tr>
        <w:trPr>
          <w:trHeight w:val="306"/>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Certification Pursuant to Rules 13a-14(a) and 15d-14(a) under the Securities Exchange Act of 1934, as Adopted Pursuant to Section 302 of</w:t>
            </w:r>
          </w:p>
        </w:tc>
      </w:tr>
      <w:tr>
        <w:trPr>
          <w:trHeight w:val="234"/>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Sarbanes-Oxley Act of 2002. *</w:t>
            </w:r>
          </w:p>
        </w:tc>
      </w:tr>
      <w:tr>
        <w:trPr>
          <w:trHeight w:val="306"/>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31.2</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Certification Pursuant to Rules 13a-14(a) and 15d-14(a) under the Securities Exchange Act of 1934, as Adopted Pursuant to Section 302 of</w:t>
            </w:r>
          </w:p>
        </w:tc>
      </w:tr>
      <w:tr>
        <w:trPr>
          <w:trHeight w:val="234"/>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Sarbanes-Oxley Act of 2002. *</w:t>
            </w:r>
          </w:p>
        </w:tc>
      </w:tr>
      <w:tr>
        <w:trPr>
          <w:trHeight w:val="324"/>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32.1</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8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32.2</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25" w:lineRule="exact"/>
        <w:rPr>
          <w:sz w:val="20"/>
          <w:szCs w:val="20"/>
          <w:color w:val="auto"/>
        </w:rPr>
      </w:pPr>
    </w:p>
    <w:p>
      <w:pPr>
        <w:ind w:left="460" w:right="300" w:hanging="452"/>
        <w:spacing w:after="0" w:line="261"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September 17, 2014 (Commission file no. 001-33225).</w:t>
      </w:r>
    </w:p>
    <w:p>
      <w:pPr>
        <w:ind w:left="460" w:hanging="452"/>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Great Lakes Dredge &amp; Dock Corporation’s Current Report on Form 8-K filed with the Commission on November 5, 2014</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(Commission file no. 001-33225).</w:t>
      </w:r>
    </w:p>
    <w:p>
      <w:pPr>
        <w:spacing w:after="0" w:line="9"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240" w:top="455" w:right="3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160"/>
        <w:spacing w:after="0"/>
        <w:tabs>
          <w:tab w:leader="none" w:pos="7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5"/>
          <w:szCs w:val="15"/>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5"/>
          <w:szCs w:val="15"/>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17145</wp:posOffset>
            </wp:positionV>
            <wp:extent cx="3653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53155" cy="8890"/>
                    </a:xfrm>
                    <a:prstGeom prst="rect">
                      <a:avLst/>
                    </a:prstGeom>
                    <a:noFill/>
                  </pic:spPr>
                </pic:pic>
              </a:graphicData>
            </a:graphic>
          </wp:anchor>
        </w:drawing>
      </w:r>
    </w:p>
    <w:p>
      <w:pPr>
        <w:spacing w:after="0" w:line="10"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Mark W. Marinko</w:t>
      </w:r>
    </w:p>
    <w:p>
      <w:pPr>
        <w:jc w:val="center"/>
        <w:ind w:left="568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 and Duly Authorized Officer)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2014</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240" w:top="455" w:right="4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5"/>
        </w:trPr>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24"/>
                <w:szCs w:val="24"/>
                <w:color w:val="auto"/>
              </w:rPr>
            </w:pPr>
          </w:p>
        </w:tc>
        <w:tc>
          <w:tcPr>
            <w:tcW w:w="10280" w:type="dxa"/>
            <w:vAlign w:val="bottom"/>
            <w:gridSpan w:val="3"/>
          </w:tcPr>
          <w:p>
            <w:pPr>
              <w:ind w:left="4680"/>
              <w:spacing w:after="0"/>
              <w:rPr>
                <w:sz w:val="20"/>
                <w:szCs w:val="20"/>
                <w:color w:val="auto"/>
              </w:rPr>
            </w:pPr>
            <w:r>
              <w:rPr>
                <w:rFonts w:ascii="Times New Roman" w:cs="Times New Roman" w:eastAsia="Times New Roman" w:hAnsi="Times New Roman"/>
                <w:sz w:val="14"/>
                <w:szCs w:val="14"/>
                <w:b w:val="1"/>
                <w:bCs w:val="1"/>
                <w:color w:val="auto"/>
              </w:rPr>
              <w:t>Document Description</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8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Amendment No. 5 to Credit Agreement and Incremental Commitment Increase Agreement, dated as of September 15, 2014, by and among</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Great Lakes Dredge &amp; Dock Corporation, the other Credit Parties party thereto, Wells Fargo Bank, National Association, as Administrative</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Agent, Swingline Lender and an Issuing Lender, and the other lenders party thereto. (1)</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Sixth Amendment to Credit Agreement, dated as of November 4, 2014, by and among Great Lakes Dredge &amp; Dock Corporation, the other</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Credit Parties party thereto and the other lenders party thereto. (2)</w:t>
            </w:r>
          </w:p>
        </w:tc>
      </w:tr>
      <w:tr>
        <w:trPr>
          <w:trHeight w:val="324"/>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Mark W. Marinko. (1)</w:t>
            </w:r>
          </w:p>
        </w:tc>
      </w:tr>
      <w:tr>
        <w:trPr>
          <w:trHeight w:val="324"/>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Employment Agreement dated as of September 12, 2014 between Great Lakes Dredge &amp; Dock, LLC and Maryann A. Waryjas. (1)</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Rules 13a-14(a) and 15d-14(a) under the Securities Exchange Act of 1934, as Adopted Pursuant to Section 302 of</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Sarbanes-Oxley Act of 2002. *</w:t>
            </w: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Certification Pursuant to Rules 13a-14(a) and 15d-14(a) under the Securities Exchange Act of 1934, as Adopted Pursuant to Section 302 of</w:t>
            </w: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the Sarbanes-Oxley Act of 2002. *</w:t>
            </w:r>
          </w:p>
        </w:tc>
      </w:tr>
      <w:tr>
        <w:trPr>
          <w:trHeight w:val="324"/>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225" w:lineRule="exact"/>
        <w:rPr>
          <w:sz w:val="20"/>
          <w:szCs w:val="20"/>
          <w:color w:val="auto"/>
        </w:rPr>
      </w:pPr>
    </w:p>
    <w:p>
      <w:pPr>
        <w:ind w:left="460" w:right="30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September 17, 2014 (Commission file no. 001-33225).</w:t>
      </w:r>
    </w:p>
    <w:p>
      <w:pPr>
        <w:ind w:left="460" w:hanging="452"/>
        <w:spacing w:after="0" w:line="250"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Great Lakes Dredge &amp; Dock Corporation’s Current Report on Form 8-K filed with the Commission on November 5, 2014 (Commission file no. 001-33225).</w:t>
      </w:r>
    </w:p>
    <w:p>
      <w:pPr>
        <w:spacing w:after="0" w:line="1" w:lineRule="exact"/>
        <w:rPr>
          <w:sz w:val="20"/>
          <w:szCs w:val="20"/>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240" w:top="455"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Marinko, certify that:</w:t>
      </w:r>
    </w:p>
    <w:p>
      <w:pPr>
        <w:spacing w:after="0" w:line="131"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1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2014,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82" w:lineRule="exact"/>
        <w:rPr>
          <w:sz w:val="20"/>
          <w:szCs w:val="20"/>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 Berger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2014</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September 30, 2014,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86"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2014</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2019-12-07T14:00:04Z</dcterms:created>
  <dcterms:modified xsi:type="dcterms:W3CDTF">2019-12-07T14:00:04Z</dcterms:modified>
</cp:coreProperties>
</file>