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060" w:type="dxa"/>
            <w:vAlign w:val="bottom"/>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2122 York Road, Oak Brook, IL</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60523</w:t>
            </w:r>
          </w:p>
        </w:tc>
      </w:tr>
      <w:tr>
        <w:trPr>
          <w:trHeight w:val="186"/>
        </w:trPr>
        <w:tc>
          <w:tcPr>
            <w:tcW w:w="606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60" w:type="dxa"/>
            <w:vAlign w:val="bottom"/>
          </w:tcPr>
          <w:p>
            <w:pPr>
              <w:jc w:val="right"/>
              <w:ind w:right="1360"/>
              <w:spacing w:after="0"/>
              <w:rPr>
                <w:sz w:val="20"/>
                <w:szCs w:val="20"/>
                <w:color w:val="auto"/>
              </w:rPr>
            </w:pPr>
            <w:r>
              <w:rPr>
                <w:rFonts w:ascii="Arial" w:cs="Arial" w:eastAsia="Arial" w:hAnsi="Arial"/>
                <w:sz w:val="18"/>
                <w:szCs w:val="18"/>
                <w:b w:val="1"/>
                <w:bCs w:val="1"/>
                <w:color w:val="auto"/>
              </w:rPr>
              <w:t>(630) 574-3000</w:t>
            </w:r>
          </w:p>
        </w:tc>
        <w:tc>
          <w:tcPr>
            <w:tcW w:w="1500" w:type="dxa"/>
            <w:vAlign w:val="bottom"/>
          </w:tcPr>
          <w:p>
            <w:pPr>
              <w:spacing w:after="0"/>
              <w:rPr>
                <w:sz w:val="24"/>
                <w:szCs w:val="24"/>
                <w:color w:val="auto"/>
              </w:rPr>
            </w:pPr>
          </w:p>
        </w:tc>
      </w:tr>
      <w:tr>
        <w:trPr>
          <w:trHeight w:val="186"/>
        </w:trPr>
        <w:tc>
          <w:tcPr>
            <w:tcW w:w="6060" w:type="dxa"/>
            <w:vAlign w:val="bottom"/>
          </w:tcPr>
          <w:p>
            <w:pPr>
              <w:jc w:val="center"/>
              <w:ind w:lef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10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8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August 1, 2014, 59,959,231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3"/>
          </w:tcPr>
          <w:p>
            <w:pPr>
              <w:ind w:left="36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500" w:type="dxa"/>
            <w:vAlign w:val="bottom"/>
            <w:tcBorders>
              <w:top w:val="single" w:sz="8" w:color="0000EE"/>
            </w:tcBorders>
            <w:gridSpan w:val="2"/>
          </w:tcPr>
          <w:p>
            <w:pPr>
              <w:spacing w:after="0"/>
              <w:rPr>
                <w:sz w:val="24"/>
                <w:szCs w:val="24"/>
                <w:color w:val="auto"/>
              </w:rPr>
            </w:pPr>
          </w:p>
        </w:tc>
        <w:tc>
          <w:tcPr>
            <w:tcW w:w="78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2014 and December 31, 2013</w:t>
              </w:r>
            </w:hyperlink>
          </w:p>
        </w:tc>
        <w:tc>
          <w:tcPr>
            <w:tcW w:w="392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2014 and 2013</w:t>
              </w:r>
            </w:hyperlink>
          </w:p>
        </w:tc>
        <w:tc>
          <w:tcPr>
            <w:tcW w:w="178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Six Months ended June 30, 2014 and 2013</w:t>
              </w:r>
            </w:hyperlink>
          </w:p>
        </w:tc>
        <w:tc>
          <w:tcPr>
            <w:tcW w:w="10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Equity for the Six Months ended June 30, 2014 and 2013</w:t>
              </w:r>
            </w:hyperlink>
          </w:p>
        </w:tc>
        <w:tc>
          <w:tcPr>
            <w:tcW w:w="2860" w:type="dxa"/>
            <w:vAlign w:val="bottom"/>
            <w:gridSpan w:val="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2014 and 2013</w:t>
              </w:r>
            </w:hyperlink>
          </w:p>
        </w:tc>
        <w:tc>
          <w:tcPr>
            <w:tcW w:w="250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98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w:t>
            </w:r>
          </w:p>
        </w:tc>
        <w:tc>
          <w:tcPr>
            <w:tcW w:w="98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55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75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5</w:t>
            </w:r>
          </w:p>
        </w:tc>
        <w:tc>
          <w:tcPr>
            <w:tcW w:w="986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5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8">
              <w:r>
                <w:rPr>
                  <w:rFonts w:ascii="Arial" w:cs="Arial" w:eastAsia="Arial" w:hAnsi="Arial"/>
                  <w:sz w:val="18"/>
                  <w:szCs w:val="18"/>
                  <w:b w:val="1"/>
                  <w:bCs w:val="1"/>
                  <w:color w:val="0000EE"/>
                  <w:w w:val="89"/>
                </w:rPr>
                <w:t>Signature</w:t>
              </w:r>
            </w:hyperlink>
          </w:p>
        </w:tc>
        <w:tc>
          <w:tcPr>
            <w:tcW w:w="40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13"/>
          </w:tcPr>
          <w:p>
            <w:pPr>
              <w:ind w:left="450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w w:val="95"/>
              </w:rPr>
              <w:t>PART I — Financial Information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GREAT LAKES DREDGE &amp; DOCK CORPORATION AND SUBSIDIARIES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64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38,067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receivable—net</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74,906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96,515</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67,432</w:t>
            </w: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33,643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32,500</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57,310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44,164</w:t>
            </w:r>
          </w:p>
        </w:tc>
      </w:tr>
      <w:tr>
        <w:trPr>
          <w:trHeight w:val="223"/>
        </w:trPr>
        <w:tc>
          <w:tcPr>
            <w:tcW w:w="20" w:type="dxa"/>
            <w:vAlign w:val="bottom"/>
          </w:tcPr>
          <w:p>
            <w:pPr>
              <w:spacing w:after="0"/>
              <w:rPr>
                <w:sz w:val="19"/>
                <w:szCs w:val="19"/>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Assets held for sale</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294,700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361,053</w:t>
            </w: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PROPERTY AND EQUIPMENT—Net</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366,271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345,620</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81,302</w:t>
            </w: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INVENTORIES—Noncurrent</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38,568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38,496</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w:t>
            </w: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ASSETS HELD FOR SALE—Noncurrent</w:t>
            </w:r>
          </w:p>
        </w:tc>
        <w:tc>
          <w:tcPr>
            <w:tcW w:w="80" w:type="dxa"/>
            <w:vAlign w:val="bottom"/>
          </w:tcPr>
          <w:p>
            <w:pPr>
              <w:spacing w:after="0"/>
              <w:rPr>
                <w:sz w:val="18"/>
                <w:szCs w:val="18"/>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8,856</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9,062</w:t>
            </w: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795,336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852,645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101,672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116,121</w:t>
            </w: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45,079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38,531</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w:t>
            </w: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32,493</w:t>
            </w: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159,327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250,000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104,590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108,511</w:t>
            </w: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LIABILITIES HELD FOR SALE—Noncurrent</w:t>
            </w:r>
          </w:p>
        </w:tc>
        <w:tc>
          <w:tcPr>
            <w:tcW w:w="80" w:type="dxa"/>
            <w:vAlign w:val="bottom"/>
          </w:tcPr>
          <w:p>
            <w:pPr>
              <w:spacing w:after="0"/>
              <w:rPr>
                <w:sz w:val="18"/>
                <w:szCs w:val="18"/>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21,922</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558,826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EQUITY:</w:t>
            </w:r>
          </w:p>
        </w:tc>
        <w:tc>
          <w:tcPr>
            <w:tcW w:w="6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3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Common stock—$.0001 par value; 90,000 authorized, 59,955 and 59,670 shares issued and outstanding at June 30,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3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2014 and December 31, 2013, respectively</w:t>
            </w: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275,382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275,183</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5"/>
              </w:rPr>
              <w:t>(38,402)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(31,770)</w:t>
            </w:r>
          </w:p>
        </w:tc>
      </w:tr>
      <w:tr>
        <w:trPr>
          <w:trHeight w:val="223"/>
        </w:trPr>
        <w:tc>
          <w:tcPr>
            <w:tcW w:w="20" w:type="dxa"/>
            <w:vAlign w:val="bottom"/>
          </w:tcPr>
          <w:p>
            <w:pPr>
              <w:spacing w:after="0"/>
              <w:rPr>
                <w:sz w:val="19"/>
                <w:szCs w:val="19"/>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236,510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236,510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242,101</w:t>
            </w:r>
          </w:p>
        </w:tc>
        <w:tc>
          <w:tcPr>
            <w:tcW w:w="100" w:type="dxa"/>
            <w:vAlign w:val="bottom"/>
            <w:shd w:val="clear" w:color="auto" w:fill="CCEEFF"/>
          </w:tcPr>
          <w:p>
            <w:pPr>
              <w:spacing w:after="0"/>
              <w:rPr>
                <w:sz w:val="18"/>
                <w:szCs w:val="18"/>
                <w:color w:val="auto"/>
              </w:rPr>
            </w:pP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795,336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184,709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359,091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327,278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158,506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133,353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311,981</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282,772</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44,506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15,918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33,788</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31,579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(13,272)</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Loss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26,126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(10,028)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(11,129)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Gain on bargain purchase acquisition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currency transactions—net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740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13,797</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23"/>
        </w:trPr>
        <w:tc>
          <w:tcPr>
            <w:tcW w:w="740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(28,967)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(33,308)</w:t>
            </w:r>
          </w:p>
        </w:tc>
      </w:tr>
      <w:tr>
        <w:trPr>
          <w:trHeight w:val="223"/>
        </w:trPr>
        <w:tc>
          <w:tcPr>
            <w:tcW w:w="740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(25,188)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(24,777)</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7400" w:type="dxa"/>
            <w:vAlign w:val="bottom"/>
          </w:tcPr>
          <w:p>
            <w:pPr>
              <w:ind w:left="720"/>
              <w:spacing w:after="0"/>
              <w:rPr>
                <w:sz w:val="20"/>
                <w:szCs w:val="20"/>
                <w:color w:val="auto"/>
              </w:rPr>
            </w:pPr>
            <w:r>
              <w:rPr>
                <w:rFonts w:ascii="Arial" w:cs="Arial" w:eastAsia="Arial" w:hAnsi="Arial"/>
                <w:sz w:val="18"/>
                <w:szCs w:val="18"/>
                <w:color w:val="auto"/>
                <w:w w:val="94"/>
              </w:rPr>
              <w:t>Net loss attributable to common stockholders of Great Lakes Dredge &amp; Dock Corporation</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(25,241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(24,808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 attributable to continuing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(0.56)</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loss per share attributable to Great Lakes Dredge &amp; Dock Corporation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59,863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59,786</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59,403</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 attributable to continuing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(0.55)</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loss per share attributable to Great Lakes Dredge &amp; Dock Corporation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60,538</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59,958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60,459</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59,957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6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(1,437)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$(25,188)</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$(6,632)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216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 (2)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(loss)—net of tax</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475</w:t>
            </w:r>
          </w:p>
        </w:tc>
        <w:tc>
          <w:tcPr>
            <w:tcW w:w="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(25,314)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(25,367)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$143 and $48 for the three months ended June 30, 2014 and 2013, respectively, and $17 and $52 for six months ended June 30, 2014 and 2013, respectively.</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$173 and $(34) for the three months ended June 30, 2014 and 2013, respectively, and $(21) and $(23) for the six months ended June 30, 2014 and 2013,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80" w:type="dxa"/>
            <w:vAlign w:val="bottom"/>
            <w:gridSpan w:val="15"/>
          </w:tcPr>
          <w:p>
            <w:pPr>
              <w:jc w:val="right"/>
              <w:ind w:right="98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7"/>
              </w:rPr>
              <w:t>Shares of</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8"/>
              </w:rPr>
              <w:t>Common</w:t>
            </w:r>
          </w:p>
        </w:tc>
        <w:tc>
          <w:tcPr>
            <w:tcW w:w="3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1, 2014</w:t>
            </w:r>
          </w:p>
        </w:tc>
        <w:tc>
          <w:tcPr>
            <w:tcW w:w="540" w:type="dxa"/>
            <w:vAlign w:val="bottom"/>
            <w:tcBorders>
              <w:top w:val="single" w:sz="8" w:color="auto"/>
            </w:tcBorders>
            <w:shd w:val="clear" w:color="auto" w:fill="CCEEFF"/>
          </w:tcPr>
          <w:p>
            <w:pPr>
              <w:ind w:left="200"/>
              <w:spacing w:after="0" w:line="143" w:lineRule="exact"/>
              <w:rPr>
                <w:sz w:val="20"/>
                <w:szCs w:val="20"/>
                <w:color w:val="auto"/>
              </w:rPr>
            </w:pPr>
            <w:r>
              <w:rPr>
                <w:rFonts w:ascii="Arial" w:cs="Arial" w:eastAsia="Arial" w:hAnsi="Arial"/>
                <w:sz w:val="13"/>
                <w:szCs w:val="13"/>
                <w:color w:val="auto"/>
                <w:w w:val="75"/>
              </w:rPr>
              <w:t>59,670</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0"/>
                <w:szCs w:val="10"/>
                <w:color w:val="auto"/>
                <w:w w:val="71"/>
              </w:rPr>
              <w:t>6</w:t>
            </w:r>
          </w:p>
        </w:tc>
        <w:tc>
          <w:tcPr>
            <w:tcW w:w="3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275,183</w:t>
            </w:r>
          </w:p>
        </w:tc>
        <w:tc>
          <w:tcPr>
            <w:tcW w:w="340" w:type="dxa"/>
            <w:vAlign w:val="bottom"/>
            <w:tcBorders>
              <w:top w:val="single" w:sz="8" w:color="CCEEFF"/>
              <w:lef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(31,770)</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(845)</w:t>
            </w:r>
          </w:p>
        </w:tc>
        <w:tc>
          <w:tcPr>
            <w:tcW w:w="3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$242,101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tcBorders>
              <w:right w:val="single" w:sz="8" w:color="CCEEFF"/>
            </w:tcBorders>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restricted stock units, including impact of shares</w:t>
            </w:r>
          </w:p>
        </w:tc>
        <w:tc>
          <w:tcPr>
            <w:tcW w:w="5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withheld for taxes</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110</w:t>
            </w: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Exercise of options and purchases from employee stock plans</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112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Excess income tax benefit from share-based compensation</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Purchase of noncontrolling interest</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845</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(6,632)</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loss—net of tax</w:t>
            </w:r>
          </w:p>
        </w:tc>
        <w:tc>
          <w:tcPr>
            <w:tcW w:w="540" w:type="dxa"/>
            <w:vAlign w:val="bottom"/>
          </w:tcPr>
          <w:p>
            <w:pPr>
              <w:ind w:left="38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BALANCE—June 30, 2014</w:t>
            </w: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59,955</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w w:val="71"/>
              </w:rPr>
              <w:t>6</w:t>
            </w: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275,382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(38,402)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(476)</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236,510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80" w:type="dxa"/>
            <w:vAlign w:val="bottom"/>
            <w:gridSpan w:val="15"/>
          </w:tcPr>
          <w:p>
            <w:pPr>
              <w:jc w:val="right"/>
              <w:ind w:right="1000"/>
              <w:spacing w:after="0"/>
              <w:rPr>
                <w:sz w:val="20"/>
                <w:szCs w:val="20"/>
                <w:color w:val="auto"/>
              </w:rPr>
            </w:pPr>
            <w:r>
              <w:rPr>
                <w:rFonts w:ascii="Arial" w:cs="Arial" w:eastAsia="Arial" w:hAnsi="Arial"/>
                <w:sz w:val="14"/>
                <w:szCs w:val="14"/>
                <w:b w:val="1"/>
                <w:bCs w:val="1"/>
                <w:color w:val="auto"/>
                <w:w w:val="96"/>
              </w:rPr>
              <w:t>Great Lakes Dredge &amp; Dock Corporation shareholders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1"/>
              </w:rPr>
              <w:t>Shares of</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24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CCEEFF"/>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1, 2013</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59,359</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24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271,418</w:t>
            </w:r>
          </w:p>
        </w:tc>
        <w:tc>
          <w:tcPr>
            <w:tcW w:w="340" w:type="dxa"/>
            <w:vAlign w:val="bottom"/>
            <w:tcBorders>
              <w:top w:val="single" w:sz="8" w:color="CCEEFF"/>
              <w:left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2,591</w:t>
            </w: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w:t>
            </w:r>
          </w:p>
        </w:tc>
        <w:tc>
          <w:tcPr>
            <w:tcW w:w="3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$273,425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Share-based compensation</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1,452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tcBorders>
              <w:right w:val="single" w:sz="8" w:color="CCEEFF"/>
            </w:tcBorders>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restricted stock units, including impact of shares</w:t>
            </w:r>
          </w:p>
        </w:tc>
        <w:tc>
          <w:tcPr>
            <w:tcW w:w="5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withheld for taxes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(277)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Excess income tax benefit from share-based compensation</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(24,808)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income—net of tax</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BALANCE—June 30, 2013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59,471</w:t>
            </w:r>
          </w:p>
        </w:tc>
        <w:tc>
          <w:tcPr>
            <w:tcW w:w="140" w:type="dxa"/>
            <w:vAlign w:val="bottom"/>
            <w:tcBorders>
              <w:left w:val="single" w:sz="8" w:color="CCEEFF"/>
            </w:tcBorders>
            <w:shd w:val="clear" w:color="auto" w:fill="CCEEFF"/>
          </w:tcPr>
          <w:p>
            <w:pPr>
              <w:spacing w:after="0"/>
              <w:rPr>
                <w:sz w:val="12"/>
                <w:szCs w:val="12"/>
                <w:color w:val="auto"/>
              </w:rPr>
            </w:pP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4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272,688</w:t>
            </w:r>
          </w:p>
        </w:tc>
        <w:tc>
          <w:tcPr>
            <w:tcW w:w="340" w:type="dxa"/>
            <w:vAlign w:val="bottom"/>
            <w:tcBorders>
              <w:left w:val="single" w:sz="8" w:color="CCEEFF"/>
            </w:tcBorders>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(22,217)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(495)</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(182)</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249,800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(6,632)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(8,059)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(33,308)</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8"/>
              <w:spacing w:after="0"/>
              <w:rPr>
                <w:sz w:val="20"/>
                <w:szCs w:val="20"/>
                <w:color w:val="auto"/>
              </w:rPr>
            </w:pPr>
            <w:r>
              <w:rPr>
                <w:rFonts w:ascii="Arial" w:cs="Arial" w:eastAsia="Arial" w:hAnsi="Arial"/>
                <w:sz w:val="18"/>
                <w:szCs w:val="18"/>
                <w:color w:val="auto"/>
                <w:w w:val="98"/>
              </w:rPr>
              <w:t>21,921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loss of joint ventures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(6,292)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Gain on bargain purchase acquisition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Unrealized foreign currency (gain)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8"/>
              <w:spacing w:after="0"/>
              <w:rPr>
                <w:sz w:val="20"/>
                <w:szCs w:val="20"/>
                <w:color w:val="auto"/>
              </w:rPr>
            </w:pPr>
            <w:r>
              <w:rPr>
                <w:rFonts w:ascii="Arial" w:cs="Arial" w:eastAsia="Arial" w:hAnsi="Arial"/>
                <w:sz w:val="18"/>
                <w:szCs w:val="18"/>
                <w:color w:val="auto"/>
                <w:w w:val="98"/>
              </w:rPr>
              <w:t>21,052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Contract revenues in excess of billings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9"/>
              </w:rPr>
              <w:t>(21,387)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w w:val="89"/>
              </w:rPr>
              <w:t>(12,611)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Billings in excess of contract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Other noncurrent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14,991</w:t>
            </w:r>
          </w:p>
        </w:tc>
        <w:tc>
          <w:tcPr>
            <w:tcW w:w="4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provided by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11,026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9"/>
              </w:rPr>
              <w:t>(48,525)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(payments on) vendor performance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Payments for acquisitions of businesses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9"/>
              </w:rPr>
              <w:t>(53,332)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Net cash flows provided by (used in) investing activities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9"/>
              </w:rPr>
              <w:t>(48,057)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 term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Taxes paid on settlement of vested share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w w:val="98"/>
              </w:rPr>
              <w:t>69,500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w w:val="89"/>
              </w:rPr>
              <w:t>(69,500)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Net cash flows used in financing activities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88"/>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w w:val="89"/>
              </w:rPr>
              <w:t>(37,271)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75,338</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w w:val="98"/>
              </w:rPr>
              <w:t>38,067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(11,033</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9,197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Purchase of noncontrolling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287"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287"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2013.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2014, and its results of operations for the three and six months ended June 30, 2014 and 2013 and cash flows for the six months ended June 30, 2014 and 2013 have been included.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22%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and six months ended June 30, 2014, 518 thousand and 420 thousand, respectively, of stock options or restricted stock units were excluded from the calculation of diluted earnings per share based on the application of the treasury stock method. The computations for basic and diluted earnings per share from continuing operations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(shares in thousands)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900" w:type="dxa"/>
            <w:vAlign w:val="bottom"/>
            <w:gridSpan w:val="2"/>
          </w:tcPr>
          <w:p>
            <w:pPr>
              <w:spacing w:after="0" w:line="201" w:lineRule="exact"/>
              <w:rPr>
                <w:sz w:val="20"/>
                <w:szCs w:val="20"/>
                <w:color w:val="auto"/>
              </w:rPr>
            </w:pPr>
            <w:r>
              <w:rPr>
                <w:rFonts w:ascii="Arial" w:cs="Arial" w:eastAsia="Arial" w:hAnsi="Arial"/>
                <w:sz w:val="18"/>
                <w:szCs w:val="18"/>
                <w:color w:val="auto"/>
                <w:w w:val="99"/>
              </w:rPr>
              <w:t>Loss on discontinued operations, net of income taxes, attributable to Great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Lakes Dredge &amp; Dock Corporation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8"/>
              <w:spacing w:after="0"/>
              <w:rPr>
                <w:sz w:val="20"/>
                <w:szCs w:val="20"/>
                <w:color w:val="auto"/>
              </w:rPr>
            </w:pPr>
            <w:r>
              <w:rPr>
                <w:rFonts w:ascii="Arial" w:cs="Arial" w:eastAsia="Arial" w:hAnsi="Arial"/>
                <w:sz w:val="18"/>
                <w:szCs w:val="18"/>
                <w:color w:val="auto"/>
                <w:w w:val="94"/>
              </w:rPr>
              <w:t>(5,320)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(29,020)</w:t>
            </w:r>
          </w:p>
        </w:tc>
        <w:tc>
          <w:tcPr>
            <w:tcW w:w="1140" w:type="dxa"/>
            <w:vAlign w:val="bottom"/>
            <w:gridSpan w:val="5"/>
          </w:tcPr>
          <w:p>
            <w:pPr>
              <w:jc w:val="right"/>
              <w:ind w:right="159"/>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(33,339)</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Net loss attributable to common stockholders of Great Lakes Dredge &amp; Dock</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4"/>
              </w:rPr>
              <w:t>(1,437)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9"/>
              </w:rPr>
              <w:t>(25,241)</w:t>
            </w:r>
          </w:p>
        </w:tc>
        <w:tc>
          <w:tcPr>
            <w:tcW w:w="1140" w:type="dxa"/>
            <w:vAlign w:val="bottom"/>
            <w:gridSpan w:val="5"/>
            <w:shd w:val="clear" w:color="auto" w:fill="CCEEFF"/>
          </w:tcPr>
          <w:p>
            <w:pPr>
              <w:jc w:val="right"/>
              <w:ind w:right="159"/>
              <w:spacing w:after="0"/>
              <w:rPr>
                <w:sz w:val="20"/>
                <w:szCs w:val="20"/>
                <w:color w:val="auto"/>
              </w:rPr>
            </w:pPr>
            <w:r>
              <w:rPr>
                <w:rFonts w:ascii="Arial" w:cs="Arial" w:eastAsia="Arial" w:hAnsi="Arial"/>
                <w:sz w:val="18"/>
                <w:szCs w:val="18"/>
                <w:color w:val="auto"/>
              </w:rPr>
              <w:t>(6,632)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(24,808)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w w:val="87"/>
              </w:rPr>
              <w:t>59,863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59,436</w:t>
            </w:r>
          </w:p>
        </w:tc>
        <w:tc>
          <w:tcPr>
            <w:tcW w:w="1140" w:type="dxa"/>
            <w:vAlign w:val="bottom"/>
            <w:gridSpan w:val="5"/>
          </w:tcPr>
          <w:p>
            <w:pPr>
              <w:jc w:val="right"/>
              <w:ind w:right="219"/>
              <w:spacing w:after="0"/>
              <w:rPr>
                <w:sz w:val="20"/>
                <w:szCs w:val="20"/>
                <w:color w:val="auto"/>
              </w:rPr>
            </w:pPr>
            <w:r>
              <w:rPr>
                <w:rFonts w:ascii="Arial" w:cs="Arial" w:eastAsia="Arial" w:hAnsi="Arial"/>
                <w:sz w:val="18"/>
                <w:szCs w:val="18"/>
                <w:color w:val="auto"/>
              </w:rPr>
              <w:t>59,786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675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6360" w:type="dxa"/>
            <w:vAlign w:val="bottom"/>
            <w:gridSpan w:val="3"/>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60,538</w:t>
            </w:r>
          </w:p>
        </w:tc>
        <w:tc>
          <w:tcPr>
            <w:tcW w:w="5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59,958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60,459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from continuing operations — 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0.06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Earnings per share from continuing operations —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8"/>
              <w:spacing w:after="0"/>
              <w:rPr>
                <w:sz w:val="20"/>
                <w:szCs w:val="20"/>
                <w:color w:val="auto"/>
              </w:rPr>
            </w:pPr>
            <w:r>
              <w:rPr>
                <w:rFonts w:ascii="Arial" w:cs="Arial" w:eastAsia="Arial" w:hAnsi="Arial"/>
                <w:sz w:val="18"/>
                <w:szCs w:val="18"/>
                <w:color w:val="auto"/>
              </w:rPr>
              <w:t>0.06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9"/>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526"/>
        </w:trPr>
        <w:tc>
          <w:tcPr>
            <w:tcW w:w="6360" w:type="dxa"/>
            <w:vAlign w:val="bottom"/>
            <w:gridSpan w:val="3"/>
          </w:tcPr>
          <w:p>
            <w:pPr>
              <w:jc w:val="right"/>
              <w:ind w:right="2330"/>
              <w:spacing w:after="0"/>
              <w:rPr>
                <w:sz w:val="20"/>
                <w:szCs w:val="20"/>
                <w:color w:val="auto"/>
              </w:rPr>
            </w:pPr>
            <w:r>
              <w:rPr>
                <w:rFonts w:ascii="Arial" w:cs="Arial" w:eastAsia="Arial" w:hAnsi="Arial"/>
                <w:sz w:val="18"/>
                <w:szCs w:val="18"/>
                <w:b w:val="1"/>
                <w:bCs w:val="1"/>
                <w:color w:val="auto"/>
                <w:w w:val="93"/>
              </w:rPr>
              <w:t>3. Accounts receivable and contracts in progress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3"/>
          </w:tcPr>
          <w:p>
            <w:pPr>
              <w:jc w:val="right"/>
              <w:ind w:right="710"/>
              <w:spacing w:after="0"/>
              <w:rPr>
                <w:sz w:val="20"/>
                <w:szCs w:val="20"/>
                <w:color w:val="auto"/>
              </w:rPr>
            </w:pPr>
            <w:r>
              <w:rPr>
                <w:rFonts w:ascii="Arial" w:cs="Arial" w:eastAsia="Arial" w:hAnsi="Arial"/>
                <w:sz w:val="18"/>
                <w:szCs w:val="18"/>
                <w:color w:val="auto"/>
                <w:w w:val="89"/>
              </w:rPr>
              <w:t>Accounts receivable at June 30, 2014 and December 31, 2013 are as follows: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24"/>
                <w:szCs w:val="24"/>
                <w:color w:val="auto"/>
              </w:rPr>
            </w:pPr>
          </w:p>
        </w:tc>
        <w:tc>
          <w:tcPr>
            <w:tcW w:w="1160" w:type="dxa"/>
            <w:vAlign w:val="bottom"/>
            <w:gridSpan w:val="6"/>
          </w:tcPr>
          <w:p>
            <w:pPr>
              <w:ind w:left="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17,361</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Contracts in progress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46,217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76,842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98,044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900" w:type="dxa"/>
            <w:vAlign w:val="bottom"/>
            <w:gridSpan w:val="2"/>
          </w:tcPr>
          <w:p>
            <w:pPr>
              <w:ind w:left="920"/>
              <w:spacing w:after="0"/>
              <w:rPr>
                <w:sz w:val="20"/>
                <w:szCs w:val="20"/>
                <w:color w:val="auto"/>
              </w:rPr>
            </w:pPr>
            <w:r>
              <w:rPr>
                <w:rFonts w:ascii="Arial" w:cs="Arial" w:eastAsia="Arial" w:hAnsi="Arial"/>
                <w:sz w:val="18"/>
                <w:szCs w:val="18"/>
                <w:color w:val="auto"/>
              </w:rPr>
              <w:t>Total accounts receivable—net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75,314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$74,906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96,515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75,314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96,515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jc w:val="right"/>
              <w:ind w:right="51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2014 and December 31, 2013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12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5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$ 633,048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435,470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88"/>
              </w:rPr>
              <w:t>(548,903)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(370,730)</w:t>
            </w:r>
          </w:p>
        </w:tc>
        <w:tc>
          <w:tcPr>
            <w:tcW w:w="0" w:type="dxa"/>
            <w:vAlign w:val="bottom"/>
          </w:tcPr>
          <w:p>
            <w:pPr>
              <w:spacing w:after="0"/>
              <w:rPr>
                <w:sz w:val="1"/>
                <w:szCs w:val="1"/>
                <w:color w:val="auto"/>
              </w:rPr>
            </w:pPr>
          </w:p>
        </w:tc>
      </w:tr>
      <w:tr>
        <w:trPr>
          <w:trHeight w:val="223"/>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84,145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89,070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Amounts billed</w:t>
            </w:r>
          </w:p>
        </w:tc>
        <w:tc>
          <w:tcPr>
            <w:tcW w:w="1940" w:type="dxa"/>
            <w:vAlign w:val="bottom"/>
            <w:gridSpan w:val="6"/>
          </w:tcPr>
          <w:p>
            <w:pPr>
              <w:jc w:val="right"/>
              <w:ind w:right="260"/>
              <w:spacing w:after="0"/>
              <w:rPr>
                <w:sz w:val="20"/>
                <w:szCs w:val="20"/>
                <w:color w:val="auto"/>
              </w:rPr>
            </w:pPr>
            <w:r>
              <w:rPr>
                <w:rFonts w:ascii="Arial" w:cs="Arial" w:eastAsia="Arial" w:hAnsi="Arial"/>
                <w:sz w:val="18"/>
                <w:szCs w:val="18"/>
                <w:color w:val="auto"/>
              </w:rPr>
              <w:t>$(243,507)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(156,794)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231,209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(12,298</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4. Accrued expenses</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spacing w:after="0"/>
              <w:rPr>
                <w:sz w:val="20"/>
                <w:szCs w:val="20"/>
                <w:color w:val="auto"/>
              </w:rPr>
            </w:pPr>
            <w:r>
              <w:rPr>
                <w:rFonts w:ascii="Arial" w:cs="Arial" w:eastAsia="Arial" w:hAnsi="Arial"/>
                <w:sz w:val="18"/>
                <w:szCs w:val="18"/>
                <w:color w:val="auto"/>
              </w:rPr>
              <w:t>Accrued expenses at June 30, 2014 and December 31, 2013 are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28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Insurance</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$ 9,758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8,572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and other taxes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5,180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12,089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45,079</w:t>
            </w:r>
          </w:p>
        </w:tc>
        <w:tc>
          <w:tcPr>
            <w:tcW w:w="3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$175,000, subfacilities for the issuance of standby letters of credit up to a $125,000 sublimit, multicurrency borrowings up to a $50,000 sublimit and swingline loans up to a $10,000 sublimit. The Credit Agreement also includes an incremental loans feature that will allow the Company to increase the senior revolving credit facility by an aggregate principal amount of up to $50,000.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9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2013, outstanding obligations under the Credit Agreement, which were previously unsecured, were secured by liens on certain of the Company’s vessels and all of its domestic accounts receivable, subject to the liens and interests of certain other parties holding first priority perfected liens. Under the terms of the Credit Agreement, the obligations thereunder that became secured could again become unsecured provided that (i) no event of default has occurred and is continuing, (ii) the Company has maintained for two consecutive quarters, and is projected to maintain for the next two consecutive quarters, a total leverage ratio less than or equal to 3.75 to 1.0 and (iii) the Company has delivered to the lenders its audited financial statements with respect to its fiscal year ending December 31, 2013. At June 30, 2014, the Credit Agreement remains secured by liens on certain of the Company’s vessels and all of its domestic accounts receivable.</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June 30, 2014, the Company had $35,000 of borrowings on the revolver and $114,921 of letters of credit outstanding, resulting in $25,079 of availability under the Credit Agreement. At June 30, 2014, the Company was in compliance with its various financial covenants under its Credit Agreement.</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to its Credit Agreement, the Company has a $24,000 international letter of credit facility that it uses for the performance and advance payment guarantees on the Company’s foreign contracts. As of June 30, 2014, the Company had no letters of credit outstanding under this facility. At June 30, 2014, the Company also had $250,000 of 7.375% senior notes outstanding, which mature in February 2019.</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June 30, 2014 and December 31, 2013, the Company held certain derivative contracts that it uses to manage foreign currency risk and commodity price risk. The Company does not hold or issue derivatives for speculative or trading purposes. In addition, other nonfinancial assets and liabilities are measured at fair value in the financial statements on a nonrecurring basis. The fair values of these financial instruments and nonfinancial assets and liabilities measured at the reporting date are summarized as follows: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9"/>
          </w:tcPr>
          <w:p>
            <w:pPr>
              <w:jc w:val="center"/>
              <w:ind w:left="703"/>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6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40" w:type="dxa"/>
            <w:vAlign w:val="bottom"/>
          </w:tcPr>
          <w:p>
            <w:pPr>
              <w:spacing w:after="0"/>
              <w:rPr>
                <w:sz w:val="10"/>
                <w:szCs w:val="10"/>
                <w:color w:val="auto"/>
              </w:rPr>
            </w:pPr>
          </w:p>
        </w:tc>
        <w:tc>
          <w:tcPr>
            <w:tcW w:w="1920" w:type="dxa"/>
            <w:vAlign w:val="bottom"/>
            <w:gridSpan w:val="5"/>
            <w:vMerge w:val="restart"/>
          </w:tcPr>
          <w:p>
            <w:pPr>
              <w:jc w:val="center"/>
              <w:ind w:right="78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74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At June 30, 2014</w:t>
            </w:r>
          </w:p>
        </w:tc>
        <w:tc>
          <w:tcPr>
            <w:tcW w:w="10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740" w:type="dxa"/>
            <w:vAlign w:val="bottom"/>
          </w:tcPr>
          <w:p>
            <w:pPr>
              <w:spacing w:after="0"/>
              <w:rPr>
                <w:sz w:val="12"/>
                <w:szCs w:val="12"/>
                <w:color w:val="auto"/>
              </w:rPr>
            </w:pPr>
          </w:p>
        </w:tc>
        <w:tc>
          <w:tcPr>
            <w:tcW w:w="1920" w:type="dxa"/>
            <w:vAlign w:val="bottom"/>
            <w:gridSpan w:val="5"/>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Fuel hedge</w:t>
            </w:r>
          </w:p>
        </w:tc>
        <w:tc>
          <w:tcPr>
            <w:tcW w:w="1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4"/>
            <w:vMerge w:val="restart"/>
          </w:tcPr>
          <w:p>
            <w:pPr>
              <w:jc w:val="center"/>
              <w:ind w:right="740"/>
              <w:spacing w:after="0"/>
              <w:rPr>
                <w:sz w:val="20"/>
                <w:szCs w:val="20"/>
                <w:color w:val="auto"/>
              </w:rPr>
            </w:pPr>
            <w:r>
              <w:rPr>
                <w:rFonts w:ascii="Arial" w:cs="Arial" w:eastAsia="Arial" w:hAnsi="Arial"/>
                <w:sz w:val="14"/>
                <w:szCs w:val="14"/>
                <w:b w:val="1"/>
                <w:bCs w:val="1"/>
                <w:color w:val="auto"/>
                <w:w w:val="93"/>
              </w:rPr>
              <w:t>Significant Other</w:t>
            </w:r>
          </w:p>
        </w:tc>
        <w:tc>
          <w:tcPr>
            <w:tcW w:w="32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spacing w:after="0"/>
              <w:rPr>
                <w:sz w:val="12"/>
                <w:szCs w:val="12"/>
                <w:color w:val="auto"/>
              </w:rPr>
            </w:pPr>
          </w:p>
        </w:tc>
        <w:tc>
          <w:tcPr>
            <w:tcW w:w="1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At December 31, 2013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4"/>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Fuel hedge</w:t>
            </w:r>
          </w:p>
        </w:tc>
        <w:tc>
          <w:tcPr>
            <w:tcW w:w="1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June 30, 2014,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2014, the Company was party to various swap arrangements to hedge the price of a portion of its diesel fuel purchase requirements for work in its backlog to be performed through April 2015. As of June 30, 2014, there were 4.8 million gallons remaining on these contracts which represent approximately 80% of the Company’s forecasted fuel purchases through April 2015. Under these swap agreements, the Company will pay fixed prices ranging from $2.87 to $3.06 per gallon.</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June 30, 2014, the fair value asset of the fuel hedge contracts was estimated to be $282 and is recorded in prepaid expenses and other current assets. The gain reclassified to earnings from changes in fair value of derivatives, net of cash settlements and taxes, for the six months ended June 30, 2014 was $26. The remaining gains and losses included in accumulated other comprehensive loss at June 30, 2014 will be reclassified into earnings over the next ten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June 30, 2014 and December 31, 2013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8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7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360" w:type="dxa"/>
            <w:vAlign w:val="bottom"/>
            <w:tcBorders>
              <w:top w:val="single" w:sz="8" w:color="CCEEFF"/>
            </w:tcBorders>
            <w:shd w:val="clear" w:color="auto" w:fill="CCEEFF"/>
          </w:tcPr>
          <w:p>
            <w:pPr>
              <w:spacing w:after="0"/>
              <w:rPr>
                <w:sz w:val="17"/>
                <w:szCs w:val="17"/>
                <w:color w:val="auto"/>
              </w:rPr>
            </w:pPr>
          </w:p>
        </w:tc>
        <w:tc>
          <w:tcPr>
            <w:tcW w:w="3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360"/>
              <w:spacing w:after="0" w:line="201" w:lineRule="exact"/>
              <w:rPr>
                <w:sz w:val="20"/>
                <w:szCs w:val="20"/>
                <w:color w:val="auto"/>
              </w:rPr>
            </w:pPr>
            <w:r>
              <w:rPr>
                <w:rFonts w:ascii="Arial" w:cs="Arial" w:eastAsia="Arial" w:hAnsi="Arial"/>
                <w:sz w:val="18"/>
                <w:szCs w:val="18"/>
                <w:color w:val="auto"/>
                <w:w w:val="99"/>
              </w:rPr>
              <w:t>Derivatives designated as hedges Fuel</w:t>
            </w:r>
          </w:p>
        </w:tc>
        <w:tc>
          <w:tcPr>
            <w:tcW w:w="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540"/>
              <w:spacing w:after="0"/>
              <w:rPr>
                <w:sz w:val="20"/>
                <w:szCs w:val="20"/>
                <w:color w:val="auto"/>
              </w:rPr>
            </w:pPr>
            <w:r>
              <w:rPr>
                <w:rFonts w:ascii="Arial" w:cs="Arial" w:eastAsia="Arial" w:hAnsi="Arial"/>
                <w:sz w:val="18"/>
                <w:szCs w:val="18"/>
                <w:color w:val="auto"/>
              </w:rPr>
              <w:t>hedge contracts</w:t>
            </w:r>
          </w:p>
        </w:tc>
        <w:tc>
          <w:tcPr>
            <w:tcW w:w="434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  282</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332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20" w:type="dxa"/>
            <w:vAlign w:val="bottom"/>
            <w:gridSpan w:val="2"/>
            <w:vMerge w:val="restart"/>
          </w:tcPr>
          <w:p>
            <w:pPr>
              <w:jc w:val="right"/>
              <w:ind w:right="2528"/>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4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derivative losses (gains) to earnings—net of tax</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Change in fair value of derivatives—net of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derivatives—net of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jc w:val="right"/>
              <w:ind w:right="284"/>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to earnings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3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30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2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Fuel hedge contracts</w:t>
            </w:r>
          </w:p>
        </w:tc>
        <w:tc>
          <w:tcPr>
            <w:tcW w:w="300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In January 2011, the Company issued $250,000 of 7.375% senior notes due February 1, 2019, which were outstanding at June 30, 2014. The senior notes are senior unsecured obligations of the Company and its subsidiaries that guarantee the senior notes. The fair value of the senior notes was $262,500 at June 30, 2014, which is a Level 1 fair value measurement as the senior notes value was obtained using quoted prices in active markets.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2014, the Company granted 337 thousand options to purchase shares of common stock and 182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$987 and $1,452, respectively, for the six months ended June 30, 2014 and 2013.</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June 30, 2014, the Company had outstanding performance bonds valued at approximately $852,001 of which $39,164 relates to projects accounted for in discontinued operations. The revenue value remaining in backlog related to the projects of continuing operations totaled approximately $333,331.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The Company denies liability and intends to vigorously defend this action.</w:t>
      </w:r>
    </w:p>
    <w:p>
      <w:pPr>
        <w:spacing w:after="0" w:line="16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is otherwise stayed until there is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is also stayed pending a ruling on the motion to dismiss the securities class action.</w:t>
      </w:r>
    </w:p>
    <w:p>
      <w:pPr>
        <w:spacing w:after="0" w:line="18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discussed in Note 9, on April 23, 2014, the Company completed the sale of NASDI, LLC (“NASDI”) and Yankee Environmental Services, LLC, which together comprised the Company’s historical demolition business, to a privately owned demolition company. Under the terms of the divestiture, the Company retained certain pre-closing liabilities relating to the disposed business. Certain of these liabilities are described below.</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24, 2014, NASDI received a subpoena from a federal grand jury in the District of Massachusetts directing NASDI to furnish certain emails for the years 2004 to the present for the email accounts of certain former and present NASDI employees. The Company is cooperating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Business dispositions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April 23, 2014, the Company entered into an agreement and completed the sale of NASDI, LLC and Yankee Environmental Services, LLC, its two former subsidiaries that comprised the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and net of future payments of accounts payable existing at the date of close, including any future payments of obligations associated with outstanding claims. These amounts remain subject to change based upon final adjustments to the purchase price. In the fourth quarter of 2013, the Company recorded a preliminary loss on disposal of assets held for sale in discontinued operations based on the estimated fair value of the consideration to be received at closing. No changes to the loss on disposal of assets held for sale were recorded for the six months ended June 30,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businesses have been reported in discontinued operations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$ 2,315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14,439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3020" w:type="dxa"/>
            <w:vAlign w:val="bottom"/>
            <w:gridSpan w:val="3"/>
          </w:tcPr>
          <w:p>
            <w:pPr>
              <w:jc w:val="right"/>
              <w:ind w:right="260"/>
              <w:spacing w:after="0"/>
              <w:rPr>
                <w:sz w:val="20"/>
                <w:szCs w:val="20"/>
                <w:color w:val="auto"/>
              </w:rPr>
            </w:pPr>
            <w:r>
              <w:rPr>
                <w:rFonts w:ascii="Arial" w:cs="Arial" w:eastAsia="Arial" w:hAnsi="Arial"/>
                <w:sz w:val="18"/>
                <w:szCs w:val="18"/>
                <w:color w:val="auto"/>
              </w:rPr>
              <w:t>$(7,720)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(17,340)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$(40,921)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(5,320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(28,967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(33,308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40" w:type="dxa"/>
            <w:vAlign w:val="bottom"/>
            <w:vMerge w:val="restart"/>
          </w:tcPr>
          <w:p>
            <w:pPr>
              <w:jc w:val="right"/>
              <w:ind w:right="1190"/>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157,114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136,487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319,074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310,446</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33,569</w:t>
            </w: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Environmental &amp; remediation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17,101</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(7,443)</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184,709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147,125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359,091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327,278</w:t>
            </w:r>
          </w:p>
        </w:tc>
      </w:tr>
      <w:tr>
        <w:trPr>
          <w:trHeight w:val="230"/>
        </w:trPr>
        <w:tc>
          <w:tcPr>
            <w:tcW w:w="64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11,630</w:t>
            </w: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13,154</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26,126</w:t>
            </w:r>
          </w:p>
        </w:tc>
      </w:tr>
    </w:tbl>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Foreign dredging revenue of $29,181 and $45,651 for the three and six months ended June 30, 2014 respectively, was primarily attributable to work on the Wheatstone LNG project in Western Australia as well as work done in Brazil. Foreign dredging revenue for the three and six months ended June 30, 2013 was $33,348 and $71,733 respectively.</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Subsidiary guarantors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Company’s long-term debt at June 30, 2014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 sheets as of June 30, 2014 and December 31,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operations and comprehensive loss for the three and six months ended June 30, 2014 and 2013;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2014 and 2013.</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amounts included in the following statements of cash flows for the six months ended June 30, 2013 have been revised to conform with current year presentation reflecting intercompany borrowings and payments as either investing or financing activities.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Subsidiary</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35,898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71,650</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158,814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(206,177)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85,103</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3,967</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47,464</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434,276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0"/>
              </w:rPr>
              <w:t>(206,177)</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294,700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366,265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366,271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81,031</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38,568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592,435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(596,147)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933,994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650,366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(802,324)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795,336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99,755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Payables to affiliates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180,717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11,331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(206,177)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36,174</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Current portion of long term debt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328,944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13,264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(206,177)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7 3/8% SENIOR NOTES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105,014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337,883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413,856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0"/>
              </w:rPr>
              <w:t>(206,177)</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558,826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596,111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236,510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(596,147)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596,111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236,510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0"/>
              </w:rPr>
              <w:t>(596,147)</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236,510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933,994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650,366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(802,324)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795,336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GLDD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Corporation</w:t>
            </w: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71,939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95,476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131,984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(151,526)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20,478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460,802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32,683</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(160,062)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345,612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81,302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638,955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(640,167)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ASSETS HELD FOR SALE—Noncurrent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9,062</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948,362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676,831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(800,249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115,235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96,270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30,394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(151,526)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held for sale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284,503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40,956</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(160,062)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108,531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LIABILITIES HELD FOR SALE—Noncurrent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307,394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434,730</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(160,082)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610,544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640,968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242,946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(640,167)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640,968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242,101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(640,167)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242,101</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948,362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676,831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(800,249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4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18</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167,943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(142,070)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(11,467)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(158,506)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26,203</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15,918</w:t>
            </w: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Loss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(4,962)</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9,094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 acquisition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Gain on foreign currency transactions, net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198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198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(3,342)</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income (loss) attributable to common stockholders of</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Great Lakes Dredge &amp; Dock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6,720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Comprehensive income (loss) attributable to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Dock 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6,979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(7,074)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140,065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(125,515)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(133,353)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Proceeds from loss of use claim</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assets—net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10,858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(12,530)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Gain (loss) on foreign currency transactions, net</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13,667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(12,530)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(12,530)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(26,656)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26,676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(28,967)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(25,188)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(25,188)</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loss attributable to common stockholders of Great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Lakes Dredge &amp; Dock Corporation</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(25,241)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14,146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Comprehensive loss attributable to Great Lakes Dredge &amp; Dock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(12,950)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(1,322)</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(25,367)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14,272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341,265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17,826</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(292,807)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(311,981)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33,788</w:t>
            </w: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Arial" w:cs="Arial" w:eastAsia="Arial" w:hAnsi="Arial"/>
                <w:sz w:val="18"/>
                <w:szCs w:val="18"/>
                <w:color w:val="auto"/>
              </w:rPr>
              <w:t>Loss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(9,918)</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12,599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 acquisition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Gain on foreign currency transactions—net</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13,485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2,681</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(8,059)</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9,402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income (loss) attributable to common stockholders of</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Great Lakes Dredge &amp; Dock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Comprehensive income (loss) attributable to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Dock 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6,006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(2,918)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(6,635)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(3,088)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317,972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9,306</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(272,798)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(282,772)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31,579</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Proceeds from loss of use claim</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(13,272)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assets—net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(10,891)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27,066</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(27,068)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Gain (loss) on foreign currency transactions—net</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25,809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16,175</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(27,068)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(7,644)</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8,531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(33,308)</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(33,308)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(24,777)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(24,777)</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loss attributable to common stockholders of Great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Lakes Dredge &amp; Dock Corporation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Comprehensive income attributable to Great Lakes Dredge &amp; Dock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(5,157)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(1,265)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(24,923)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6,422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(24,923)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Subsidiary</w:t>
            </w:r>
          </w:p>
        </w:tc>
        <w:tc>
          <w:tcPr>
            <w:tcW w:w="2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GLDD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tcPr>
          <w:p>
            <w:pPr>
              <w:ind w:left="720"/>
              <w:spacing w:after="0" w:line="201" w:lineRule="exact"/>
              <w:rPr>
                <w:sz w:val="20"/>
                <w:szCs w:val="20"/>
                <w:color w:val="auto"/>
              </w:rPr>
            </w:pPr>
            <w:r>
              <w:rPr>
                <w:rFonts w:ascii="Arial" w:cs="Arial" w:eastAsia="Arial" w:hAnsi="Arial"/>
                <w:sz w:val="18"/>
                <w:szCs w:val="18"/>
                <w:color w:val="auto"/>
              </w:rPr>
              <w:t>Net cash flows provided by (used in) operating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900"/>
              <w:spacing w:after="0"/>
              <w:rPr>
                <w:sz w:val="20"/>
                <w:szCs w:val="20"/>
                <w:color w:val="auto"/>
              </w:rPr>
            </w:pPr>
            <w:r>
              <w:rPr>
                <w:rFonts w:ascii="Arial" w:cs="Arial" w:eastAsia="Arial" w:hAnsi="Arial"/>
                <w:sz w:val="18"/>
                <w:szCs w:val="18"/>
                <w:color w:val="auto"/>
              </w:rPr>
              <w:t>activities of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22,746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(3,266)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(4,489)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cash flows used in operating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3"/>
        </w:trPr>
        <w:tc>
          <w:tcPr>
            <w:tcW w:w="5180" w:type="dxa"/>
            <w:vAlign w:val="bottom"/>
          </w:tcPr>
          <w:p>
            <w:pPr>
              <w:ind w:left="720"/>
              <w:spacing w:after="0"/>
              <w:rPr>
                <w:sz w:val="20"/>
                <w:szCs w:val="20"/>
                <w:color w:val="auto"/>
              </w:rPr>
            </w:pPr>
            <w:r>
              <w:rPr>
                <w:rFonts w:ascii="Arial" w:cs="Arial" w:eastAsia="Arial" w:hAnsi="Arial"/>
                <w:sz w:val="18"/>
                <w:szCs w:val="18"/>
                <w:color w:val="auto"/>
              </w:rPr>
              <w:t>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(48,525)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(48,525)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Payments on vendor performance obligations</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acquisitions of businesses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cash flows used in investing activities of</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(61,080)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(53,332)</w:t>
            </w:r>
          </w:p>
        </w:tc>
        <w:tc>
          <w:tcPr>
            <w:tcW w:w="0" w:type="dxa"/>
            <w:vAlign w:val="bottom"/>
          </w:tcPr>
          <w:p>
            <w:pPr>
              <w:spacing w:after="0"/>
              <w:rPr>
                <w:sz w:val="1"/>
                <w:szCs w:val="1"/>
                <w:color w:val="auto"/>
              </w:rPr>
            </w:pPr>
          </w:p>
        </w:tc>
      </w:tr>
      <w:tr>
        <w:trPr>
          <w:trHeight w:val="202"/>
        </w:trPr>
        <w:tc>
          <w:tcPr>
            <w:tcW w:w="5180" w:type="dxa"/>
            <w:vAlign w:val="bottom"/>
          </w:tcPr>
          <w:p>
            <w:pPr>
              <w:ind w:left="720"/>
              <w:spacing w:after="0" w:line="201" w:lineRule="exact"/>
              <w:rPr>
                <w:sz w:val="20"/>
                <w:szCs w:val="20"/>
                <w:color w:val="auto"/>
              </w:rPr>
            </w:pPr>
            <w:r>
              <w:rPr>
                <w:rFonts w:ascii="Arial" w:cs="Arial" w:eastAsia="Arial" w:hAnsi="Arial"/>
                <w:sz w:val="18"/>
                <w:szCs w:val="18"/>
                <w:color w:val="auto"/>
              </w:rPr>
              <w:t>Net cash flows provided by investing activities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90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(55,805)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(48,057)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Repayments of equipment debt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noncontrolling interest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4,497</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Exercise of options and purchases from employee stock</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plans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Excess income tax benefit from share-based compensation</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69,500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(69,500)</w:t>
            </w:r>
          </w:p>
        </w:tc>
        <w:tc>
          <w:tcPr>
            <w:tcW w:w="2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cash flows provided by (used in) financing</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activities of continuing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4,492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180" w:type="dxa"/>
            <w:vAlign w:val="bottom"/>
          </w:tcPr>
          <w:p>
            <w:pPr>
              <w:ind w:left="720"/>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(7,748)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(36,041)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(37,271)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SIX MONTHS ENDED JUNE 30, 2013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Subsidiary</w:t>
            </w:r>
          </w:p>
        </w:tc>
        <w:tc>
          <w:tcPr>
            <w:tcW w:w="2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GLDD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activities of continuing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12,642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(17,888)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operating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(17,888)</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(27,693)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Proceeds from vendor performance obligations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 of</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(10,014)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(3,871)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(13,885)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(10,260)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(3,871)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Repayments of long term note payable</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(10,547)</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(12,380)</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Exercise of options and purchases from employee stock</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plans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144,000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Repayments of revolving loans</w:t>
            </w:r>
          </w:p>
        </w:tc>
        <w:tc>
          <w:tcPr>
            <w:tcW w:w="1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(103,000)</w:t>
            </w:r>
          </w:p>
        </w:tc>
        <w:tc>
          <w:tcPr>
            <w:tcW w:w="2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(103,000)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provided by financing activities of</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17,891</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used in financing activities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provided by (used in) financing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17,888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30,232</w:t>
            </w: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6"/>
              </w:rPr>
              <w:t>168</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19,325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2013,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14% of its dredging revenues for the first six months of 2014, below the Company’s prior three year average of 18%. The mobility of the Company’s fleet enables the Company to move equipment in response to changes in demand for dredging services.</w:t>
      </w:r>
    </w:p>
    <w:p>
      <w:pPr>
        <w:spacing w:after="0" w:line="14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46% over the prior three years, including 46%, 58%, 33% and 50% of the domestic capital, coastal protection, maintenance and rivers &amp; lakes sectors, respectively.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six months of 2014, the Company’s dredging revenues earned from contracts with federal government agencies, including the Corps as well as other federal entities such as the U.S. Coast Guard and the U.S. Navy were approximately 78% of dredging revenues, an increase compared to the Company’s prior three year average of 59%.</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environmental &amp; remediation subsidiaries provide soil, water and sediment environmental remediation for the municipal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In the first six months of 2014, environmental &amp; remediation revenues accounted for 12% of total revenues.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operates in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following tables set forth the components of net income (loss) attributable to Great Lakes Dredge &amp; Dock Corporation and Adjusted EBITDA from continuing operations, as defined below, as a percentage of contract revenues for the three and six months ended June 30, 2014 and 2013:</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8"/>
              </w:rPr>
              <w:t>100.0%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(85.8)</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(90.6)</w:t>
            </w:r>
          </w:p>
        </w:tc>
        <w:tc>
          <w:tcPr>
            <w:tcW w:w="1040" w:type="dxa"/>
            <w:vAlign w:val="bottom"/>
            <w:gridSpan w:val="2"/>
          </w:tcPr>
          <w:p>
            <w:pPr>
              <w:jc w:val="right"/>
              <w:ind w:right="448"/>
              <w:spacing w:after="0"/>
              <w:rPr>
                <w:sz w:val="20"/>
                <w:szCs w:val="20"/>
                <w:color w:val="auto"/>
              </w:rPr>
            </w:pPr>
            <w:r>
              <w:rPr>
                <w:rFonts w:ascii="Arial" w:cs="Arial" w:eastAsia="Arial" w:hAnsi="Arial"/>
                <w:sz w:val="18"/>
                <w:szCs w:val="18"/>
                <w:color w:val="auto"/>
              </w:rPr>
              <w:t>(86.9)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w:t>
            </w:r>
          </w:p>
        </w:tc>
        <w:tc>
          <w:tcPr>
            <w:tcW w:w="10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13.1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508"/>
              <w:spacing w:after="0"/>
              <w:rPr>
                <w:sz w:val="20"/>
                <w:szCs w:val="20"/>
                <w:color w:val="auto"/>
              </w:rPr>
            </w:pPr>
            <w:r>
              <w:rPr>
                <w:rFonts w:ascii="Arial" w:cs="Arial" w:eastAsia="Arial" w:hAnsi="Arial"/>
                <w:sz w:val="18"/>
                <w:szCs w:val="18"/>
                <w:color w:val="auto"/>
              </w:rPr>
              <w:t>8.6</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508"/>
              <w:spacing w:after="0"/>
              <w:rPr>
                <w:sz w:val="20"/>
                <w:szCs w:val="20"/>
                <w:color w:val="auto"/>
              </w:rPr>
            </w:pPr>
            <w:r>
              <w:rPr>
                <w:rFonts w:ascii="Arial" w:cs="Arial" w:eastAsia="Arial" w:hAnsi="Arial"/>
                <w:sz w:val="18"/>
                <w:szCs w:val="18"/>
                <w:color w:val="auto"/>
              </w:rPr>
              <w:t>9.4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loss of use claim</w:t>
            </w:r>
          </w:p>
        </w:tc>
        <w:tc>
          <w:tcPr>
            <w:tcW w:w="10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(2.7)</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(0.8)</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ind w:right="448"/>
              <w:spacing w:after="0"/>
              <w:rPr>
                <w:sz w:val="20"/>
                <w:szCs w:val="20"/>
                <w:color w:val="auto"/>
              </w:rPr>
            </w:pPr>
            <w:r>
              <w:rPr>
                <w:rFonts w:ascii="Arial" w:cs="Arial" w:eastAsia="Arial" w:hAnsi="Arial"/>
                <w:sz w:val="18"/>
                <w:szCs w:val="18"/>
                <w:color w:val="auto"/>
              </w:rPr>
              <w:t>(0.9)</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 acquisition</w:t>
            </w:r>
          </w:p>
        </w:tc>
        <w:tc>
          <w:tcPr>
            <w:tcW w:w="108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Gain (loss) on foreign currency transactions—net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(0.2)</w:t>
            </w:r>
          </w:p>
        </w:tc>
        <w:tc>
          <w:tcPr>
            <w:tcW w:w="10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448"/>
              <w:spacing w:after="0"/>
              <w:rPr>
                <w:sz w:val="20"/>
                <w:szCs w:val="20"/>
                <w:color w:val="auto"/>
              </w:rPr>
            </w:pPr>
            <w:r>
              <w:rPr>
                <w:rFonts w:ascii="Arial" w:cs="Arial" w:eastAsia="Arial" w:hAnsi="Arial"/>
                <w:sz w:val="18"/>
                <w:szCs w:val="18"/>
                <w:color w:val="auto"/>
              </w:rPr>
              <w:t>(0.2)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10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(19.7)</w:t>
            </w:r>
          </w:p>
        </w:tc>
        <w:tc>
          <w:tcPr>
            <w:tcW w:w="1040" w:type="dxa"/>
            <w:vAlign w:val="bottom"/>
            <w:gridSpan w:val="2"/>
          </w:tcPr>
          <w:p>
            <w:pPr>
              <w:jc w:val="right"/>
              <w:ind w:right="448"/>
              <w:spacing w:after="0"/>
              <w:rPr>
                <w:sz w:val="20"/>
                <w:szCs w:val="20"/>
                <w:color w:val="auto"/>
              </w:rPr>
            </w:pPr>
            <w:r>
              <w:rPr>
                <w:rFonts w:ascii="Arial" w:cs="Arial" w:eastAsia="Arial" w:hAnsi="Arial"/>
                <w:sz w:val="18"/>
                <w:szCs w:val="18"/>
                <w:color w:val="auto"/>
              </w:rPr>
              <w:t>(2.2)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common stockholders of Great Lakes Dredge &amp; Dock</w:t>
            </w: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w:t>
            </w: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(0.8)%</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w:t>
            </w: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Adjusted EBITDA from continuing operations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10.7%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15.0%</w:t>
            </w: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8.9%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attributable to common stockholders of Great Lakes Dredge &amp; Dock Corporation, exclusive of loss from discontinued operations, and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 attributable to common stockholders of Great Lakes Dredge &amp; Dock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6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20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1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loss attributable to common stockholders of Great Lakes Dredge &amp; Dock</w:t>
            </w: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 (1,437)</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$(25,241)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(6,632)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$(24,808)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40" w:type="dxa"/>
            <w:vAlign w:val="bottom"/>
            <w:gridSpan w:val="4"/>
          </w:tcPr>
          <w:p>
            <w:pPr>
              <w:jc w:val="right"/>
              <w:ind w:right="180"/>
              <w:spacing w:after="0"/>
              <w:rPr>
                <w:sz w:val="20"/>
                <w:szCs w:val="20"/>
                <w:color w:val="auto"/>
              </w:rPr>
            </w:pPr>
            <w:r>
              <w:rPr>
                <w:rFonts w:ascii="Arial" w:cs="Arial" w:eastAsia="Arial" w:hAnsi="Arial"/>
                <w:sz w:val="18"/>
                <w:szCs w:val="18"/>
                <w:color w:val="auto"/>
              </w:rPr>
              <w:t>(5,320)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(28,967)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(8,059)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(33,308)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Adjusted for:</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Interest expense—net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5,012</w:t>
            </w:r>
          </w:p>
        </w:tc>
        <w:tc>
          <w:tcPr>
            <w:tcW w:w="220" w:type="dxa"/>
            <w:vAlign w:val="bottom"/>
          </w:tcPr>
          <w:p>
            <w:pPr>
              <w:spacing w:after="0"/>
              <w:rPr>
                <w:sz w:val="18"/>
                <w:szCs w:val="18"/>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5,396</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10,028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11,129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2,097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1,810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11,036</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11,029</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21,921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22,480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bargain purchase acquisition</w:t>
            </w:r>
          </w:p>
        </w:tc>
        <w:tc>
          <w:tcPr>
            <w:tcW w:w="8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(2,197)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19,831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$ 22,014</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31,823</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$ 47,406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41,694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39,474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76,169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84,982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33,348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71,733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55,889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52,227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126,609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109,148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236.5%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34,403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4,799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10,180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dredging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157,114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136,487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319,074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310,446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29,312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10,907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168.7%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42,042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17,101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538.3%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652.8%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184,709</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147,125</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359,091</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327,278</w:t>
            </w:r>
          </w:p>
        </w:tc>
        <w:tc>
          <w:tcPr>
            <w:tcW w:w="30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Total revenue for the 2014 second quarter was $184.7 million, an increase of $37.6 million or 26% from $147.1 million during the 2013 second quarter. For the six months ended June 30, 2014, total revenue increased to $359.1 million from $327.3 million during the same period in the prior year, an increase of 10%. For the six months ended June 30, 2014, increases in coastal protection, maintenance and rivers &amp; lakes dredging revenues and environmental &amp; remediation revenues were slightly offset by decreases in domestic and foreign capital revenues.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by $2.2 million, or 6%, to $41.7 million, in the 2014 second quarter when compared to the same quarter in 2013. For the six months ended June 30, 2014, domestic capital dredging revenues decreased $8.8 million, or 10%, compared to the 2013 first half. Domestic capital dredging revenues in the six months ended June 30, 2014 were primarily earned by port deepening projects in Miami and New York. These projects were offset by two 2013 coastal restoration projects in Louisiana that did not repeat in the current year.</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Foreign capital projects typically involve land reclamations, channel deepening and port infrastructure development. In the second quarter of 2014 foreign dredging revenue was $29.2 million, a decrease of $4.2 million, or 12% compared to the second quarter of 2013. Foreign dredging revenue was $45.7 million for the six months ended June 30, 2014, a decrease of $26.1 million, or 36% compared to the 2013 first half. Revenue in the first six months of 2014 was driven by Wheatstone LNG Project in Western Australia, a project in the Middle East and two projects in Brazil. In comparison, revenue for the first half of 2013 included three significant projects in the Middle East that did not repeat in the current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Coastal protection projects generally involve moving sand from the ocean floor to shoreline locations where erosion threatens shoreline assets. Coastal protection revenue increased $3.7 million or 7% to $55.9 million in the 2014 second quarter compared to the 2013 second quarter. Year-to-date 2014 coastal protection revenue increased $17.5 million, or 16% to $126.6 million compared to the first two quarters of 2013. A large number of projects in New York and New Jersey to repair damaged shorelines as a result of Superstorm Sandy continued to add to increased revenue during the six months ended June 30, 2014. Additionally, the Company continued work on projects in South Carolina and Florida.</w:t>
      </w:r>
    </w:p>
    <w:p>
      <w:pPr>
        <w:spacing w:after="0" w:line="17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Maintenance revenue in the second quarter of 2014 increased by $15.7 million, or 236%, compared to the 2013 second quarter. Maintenance revenue for the six months ended June 30, 2014 was $58.7 million compared to $34.4 million for the same period in the previous year, a 70% increase. A greater number of significant projects in the first half of 2014 contributed to the increase. The Company worked on large maintenance projects in New York, Maryland, and Georgia as well as projects in Florida and Tennessee during the first six months of 2014.</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second quarter of 2014 was $8.0 million, an increase of $3.2 million or 67% compared to the second quarter of 2013. Rivers &amp; lakes revenue for the six months ended June 30, 2014 was up $1.8 million or 18% to $12.0 million. Rivers &amp; lakes revenue was driven by a large lake project in Illinois as well as a private company project in Florida. Year-to-date 2014 increases were slightly offset by a large municipal lake project in Texas that did not reoccur in the current year.</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environmental &amp; remediation segment recorded revenues of $29.3 million for the three months ended June 30, 2014, up 169% compared to $10.9 million for the same period in 2013. Environmental &amp; remediation segment revenues for the first half of 2014 were $42.0 million, an increase of $24.9 million or 146% compared to the six months ended June 30, 2013. The increase is attributable to a greater number of environmental &amp; remediation projects in the first six months 2014, including large remediation projects in New Jersey and Michigan.</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Consolidated gross profit for the 2014 second quarter increased by 90% to $26.2 million, from $13.8 million in the second quarter of 2013. Gross profit margin (gross profit divided by revenue) for the 2014 second quarter increased to 14.2% from 9.4% in the 2013 second quarter. Gross profit for the six months ended June 30, 2014 increased by 6% to $47.1 million, from $44.5 million in the 2013 first half, resulting in a slight decrease in gross profit margin to 13.1% from 13.6%. Gross profit margin for the first six months of 2014 was lower as many projects experienced severe weather, especially in the first quarter of 2014, which both contributed to longer project durations and equipment downtime for maintenance. These weather impacts in the first quarter were partially offset in the second quarter that experienced improved dredging mechanical efficiency and fewer production delays from the prior comparable period. In addition, fewer projects in the Middle East in 2014 further lowered the gross profit margin in the first six months of the current year as fixed costs impacted the gross profit of our foreign operations.</w:t>
      </w:r>
    </w:p>
    <w:p>
      <w:pPr>
        <w:spacing w:after="0" w:line="1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General and administrative expenses totaled $15.9 million for the quarter ended June 30, 2014, up $0.6 million or 4% from the second quarter of 2013. General and administrative expenses totaled $33.8 million for the six months ended June 30, 2014, compared to $31.6 million in the same period of the prior year. Additional payroll and benefit expenses of $3.4 million contributed to the increase during the 2014 first half compared to the same period in 2013. These increases were slightly offset by a $1.8 million decrease in legal and professional fees during the first six months of 2014.</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for the three months ended June 30, 2014 was $10.3 million compared to $11.6 million in the same period of 2013. The operating income for the six months ended June 30, 2014 was $13.2 million compared to $26.1 million in the 2013 first half. Besides the change in gross profit and general and administrative expenses, the lower operating income is primarily due to the $13.3 million in proceeds from a loss of use claim received during the 2013 second quarter.</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Net interest expense totaled $5.0 million for the three months ended June 30, 2014, down slightly from interest expense of $5.4 million from the same period of 2013. Net interest expense totaled $10.0 million and $11.1 million for the six months ended June 30, 2014 and 2013, respectively. Net interest expense for the 2014 first half is down slightly compared to the same period in the prior year as the 2013 first half included financing fees associated with amendments to our debt facilities.</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income tax expense for the six months ended June 30, 2014 was a provision of $0.6 million compared $5.3 million for the six months ended June 30, 2013. The decrease in income tax provision for the first half of 2014 was attributable to the lower taxable operating income in 2014. The effective tax rate for the six months ended June 30, 2014 is 31.1%, which is below the effective tax rate of 38.2% for the same period of 2013 due to larger tax credits allowed in 2014. The Company expects the tax rate for the full year before consideration of nondeductible pretax items to remain near 40%.</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from continuing operations was $3.9 million and the earnings per diluted share was $0.06 for the 2014 second quarter compared to a net income from continuing operations of $3.8 million and earnings per diluted share of $0.06 for the same period 2013. Net income from continuing operations was $1.4 million with earnings per diluted share of $0.02 for the six months ended June 30, 2014 compared to net income from continuing operations of $8.5 million with earnings per diluted share of $0.14 for the same period in 2013. The decrease in 2014 is due to lower operating income described above which was partially offset by a $2.2 million noncash bargain purchase gain recognized during the second quarter of 2014. This gain is related to a small acquisition in our environmental &amp; remediation segment.</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Adjusted EBITDA from continuing operations (as defined on page 26) was $19.8 million and $31.8 million for the three and six months ended June 30, 2014, respectively, compared with $22.0 million and $47.4 million in the same 2013 periods. This decrease is the result of lower operating income in the current year period as described above.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Dredging revenues for the three and six months ended June 30, 2014 were $157.1 and $319.1 million, respectively, compared to $136.5 million and $310.4 million for the same period of 2013. The dredging segment for the six months ended June 30, 2014 included increases in coastal protection, maintenance and rivers &amp; lakes dredging revenues which were slightly offset by decreases in domestic and foreign capital revenues. The current year benefited from a large number of projects in New York and New Jersey to repair damaged shorelines as a result of Superstorm Sandy as well as several maintenance projects in New York, Maryland, and Georgia. The prior year dredging revenues were driven by three projects in the Middle East and two coastal restoration projects in Louisiana that did not repeat in the current year.</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Gross profit margin in the dredging segment was 14.4% and 13.6% for the three and six months ended June 30, 2014, respectively, compared to a gross profit margin of 9.1% and 14.1% for the same period in the prior year. Dredging gross profit margin was lower for the first half of 2014 as many projects experienced severe weather, especially in the first quarter of 2014, which both contributed to longer project durations and equipment downtime for maintenance. These weather impacts in the first quarter were partially offset by improved performance in the second quarter with better dredging mechanical efficiency and fewer production delays from the prior comparable quarter. In addition, fewer projects in the Middle East in 2014 further lowered the gross profit margin in the first six months of the current year as fixed costs impacted the gross profit of our foreign operations.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Dredging segment operating income was $11.0 million and $18.4 million for the three and six months ended June 30, 2014, respectively, compared to operating income of $14.6 million and $33.6 million for the three and six months ended June 30, 2013. Besides the change in gross profit, the lower operating income is primarily due to the $13.3 million in proceeds from loss of use claim received during the 2013 second quarter.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Environmental &amp; remediation revenues for the three and six months ended June 30, 2014 totaled $29.3 million and $42.0 million, respectively, compared to $10.9 million and $17.1 million for the same period in the prior year. Environmental &amp; remediation revenues for the first six months of 2014 increased as a result of a greater number of projects, including large remediation projects in New Jersey and Michigan.</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environmental &amp; remediation segment had a gross profit margin of 12.4% and 8.8% for the three and six months ended June 30, 2014, respectively and a gross profit margin of 12.0% and 4.6% for the same period in the prior year. During the first half of 2014, better fixed cost coverage allowed for improvements in the gross profit margin.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environmental &amp; remediation segment had an operating loss of $0.7 million and $5.3 million for the three and six months ended June 30, 2014, compared to an operating loss of $2.9 million and $7.4 million for the same periods of 2013. The change in operating loss is the result of the foregoing increase in gross profit margin for the six months ended June 30, 2014, slightly offset by a $0.7 million increase in general and administrative expenses.</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April 23, 2014, the Company completed the sale of its historical demolition business which previously was part of the environmental &amp; remediation segment. The historical demolition business has been retrospectively presented as discontinued operations and is no longer reflected in continuing operations.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20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27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94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$183,467</w:t>
            </w: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176,117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$185,351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3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68,328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98,666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163,577</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3260" w:type="dxa"/>
            <w:vAlign w:val="bottom"/>
            <w:gridSpan w:val="3"/>
          </w:tcPr>
          <w:p>
            <w:pPr>
              <w:jc w:val="right"/>
              <w:ind w:right="480"/>
              <w:spacing w:after="0"/>
              <w:rPr>
                <w:sz w:val="20"/>
                <w:szCs w:val="20"/>
                <w:color w:val="auto"/>
              </w:rPr>
            </w:pPr>
            <w:r>
              <w:rPr>
                <w:rFonts w:ascii="Arial" w:cs="Arial" w:eastAsia="Arial" w:hAnsi="Arial"/>
                <w:sz w:val="18"/>
                <w:szCs w:val="18"/>
                <w:color w:val="auto"/>
              </w:rPr>
              <w:t>56,896</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143,498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66,398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3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41,585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70,633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20,950</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106,076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21,975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Dredging Backlog</w:t>
            </w: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456,352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515,072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458,251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2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52,072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55,710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508,424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543,402</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513,961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63% of the Company’s June 30, 2014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domestic dredging bid market for the 2014 second quarter totaled $199.4 million, resulting in $575.9 million of work awarded during the first six months of 2014. This represents an increase of $9.7 million from the first half of 2013. During the first two quarters, the Company was awarded the final phase of the PortMiami project, for $31.6 million. Additionally, the Company was awarded coastal protection projects in North Carolina and New Jersey. Including these awards, the Company won 76%, or $43.0 million of the coastal protection projects awarded through June 30, 2014. For the contracts released in the current year, the Company won 26% or $78.9 million of the domestic capital projects, 16% or $13.4 million of the maintenance projects and 72% or $91.7 million of the rivers &amp; lakes projects awarded year-to-date through June 30, 2014. The Company won 39% of the overall domestic bid market through June 30, 2014, which is below the Company’s prior three year average of 46%. Variability in contract wins from quarter to quarter is not unusual and one quarter’s win rate is generally not indicative of the win rate the Company is likely to achieve for a full year.</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contracted dredging backlog was $456.4 million at June 30, 2014 compared to $515.1 million of backlog as of December 31, 2013. These amounts do not reflect approximately $38.0 million of domestic low bids pending formal award and additional phases (“options”) pending on projects currently in backlog at June 30, 2014. At December 31, 2013 the amount of domestic low bids and options pending award was $136.4 million. Subsequent to the end of the quarter, the Company was awarded a $35 million land reclamation contract in Bahrain that will be included in future backlog.</w:t>
      </w:r>
    </w:p>
    <w:p>
      <w:pPr>
        <w:spacing w:after="0" w:line="15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Domestic capital dredging backlog at June 30, 2014 was $7.4 million greater than at December 31, 2013. During the first two quarters of 2014, the Company was awarded two projects, totaling approximately $40 million, to deepen the main channel on the Delaware River. Additionally, the PortMiami project will continue into 2015 adding to revenues throughout the second half of 2014. The Company also continues to work on a deepening project in New York. The </w:t>
      </w:r>
      <w:r>
        <w:rPr>
          <w:rFonts w:ascii="Arial" w:cs="Arial" w:eastAsia="Arial" w:hAnsi="Arial"/>
          <w:sz w:val="16"/>
          <w:szCs w:val="16"/>
          <w:i w:val="1"/>
          <w:iCs w:val="1"/>
          <w:color w:val="auto"/>
        </w:rPr>
        <w:t xml:space="preserve">Water Resources Reform and Development Act (WRRDA) </w:t>
      </w:r>
      <w:r>
        <w:rPr>
          <w:rFonts w:ascii="Arial" w:cs="Arial" w:eastAsia="Arial" w:hAnsi="Arial"/>
          <w:sz w:val="16"/>
          <w:szCs w:val="16"/>
          <w:color w:val="auto"/>
        </w:rPr>
        <w:t>was signed in the second quarter of 2014 which authorized the Corps to begin dredging to deepen</w:t>
      </w:r>
      <w:r>
        <w:rPr>
          <w:rFonts w:ascii="Arial" w:cs="Arial" w:eastAsia="Arial" w:hAnsi="Arial"/>
          <w:sz w:val="16"/>
          <w:szCs w:val="16"/>
          <w:i w:val="1"/>
          <w:iCs w:val="1"/>
          <w:color w:val="auto"/>
        </w:rPr>
        <w:t xml:space="preserve"> </w:t>
      </w:r>
      <w:r>
        <w:rPr>
          <w:rFonts w:ascii="Arial" w:cs="Arial" w:eastAsia="Arial" w:hAnsi="Arial"/>
          <w:sz w:val="16"/>
          <w:szCs w:val="16"/>
          <w:color w:val="auto"/>
        </w:rPr>
        <w:t>the Savannah River channel as well as initiated the studies to deepen the Ports of Jacksonville, Boston and others in the Gulf Coast. The Company views the bill as a positive catalyst for the domestic dredging industry as it authorizes over thirty major projects for the Corps.</w:t>
      </w:r>
    </w:p>
    <w:p>
      <w:pPr>
        <w:spacing w:after="0" w:line="16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Coastal protection dredging backlog at June 30, 2014 was $86.6 million lower than at December 31, 2013 as the Company worked a number of projects in backlog to repair damaged shorelines in New York and New Jersey. Additionally, the Company worked on projects in South Carolina and Florida that were part of the backlog at year end. As noted above, the Company was awarded two large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coastal protection projects as a result of Superstorm Sandy during the second quarter of 2014. The Corps is expected to let for bid a second round of coastal protection projects in the second half of 2014. In addition, several states are recognizing the importance of coastal protection to their communities and are stepping up local funding for projects that will directly impact their communities and provide a positive impact for the domestic dredging market.</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Maintenance dredging backlog was $29.0 million lower at June 30, 2014 than at December 31, 2013. The Company primarily completed its backlog related to several large projects in Florida, Georgia and Maryland during the first half of 2014. The Company will continue working on projects in New York, New Jersey and Tennessee throughout the second half of 2014. The previously mentioned </w:t>
      </w:r>
      <w:r>
        <w:rPr>
          <w:rFonts w:ascii="Arial" w:cs="Arial" w:eastAsia="Arial" w:hAnsi="Arial"/>
          <w:sz w:val="16"/>
          <w:szCs w:val="16"/>
          <w:i w:val="1"/>
          <w:iCs w:val="1"/>
          <w:color w:val="auto"/>
        </w:rPr>
        <w:t>Water Resources Reform and Development Act</w:t>
      </w:r>
      <w:r>
        <w:rPr>
          <w:rFonts w:ascii="Arial" w:cs="Arial" w:eastAsia="Arial" w:hAnsi="Arial"/>
          <w:sz w:val="16"/>
          <w:szCs w:val="16"/>
          <w:color w:val="auto"/>
        </w:rPr>
        <w:t xml:space="preserve"> calls for full use of Harbor Maintenance Trust Fund (HMTF) for maintenance of ports and waterways within ten years. With the mandate to utilize the taxes collected on imports to U.S. ports for their intended purpose of maintaining future access to the waterways and ports that support our nation’s economy, the Company expects the Corps to substantially increase the projects let to bid for maintenance projects in the second half of 2014, the fiscal year 2015 and beyond.</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Rivers &amp; lakes backlog is $79.9 million higher at June 30, 2014 than at December 31, 2013 primarily due to the Lake Decatur award in the first quarter of 2014. Rivers &amp; lakes continued to earn on projects in its backlog, including work on the Lake Decatur project and a private company project in Florida. Increased rainfall in the first half of 2014 which deposited additional sediment into the Mississippi River and allocation of resources from the Corps to other projects have left a backlog of projects to let from the government to maintain optimal navigation on this important waterway.</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Foreign capital dredging backlog was down $30.3 million from December 31, 2013. The Company continued to earn on the Wheatstone LNG project as well as a projects won in Brazil and the Middle East in the first quarter of 2014. Backlog from our Wheatstone LNG project and a project in the Middle East comprised a majority of the balance of backlog as of June 30, 2014. As noted above, the Company was awarded a $35 million land reclamation contract in Bahrain subsequent to the end of the 2014 second quarter.</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Environmental &amp; remediation services backlog was $23.7 million higher at June 30, 2014 than at December 31, 2013. The increase was primarily driven by the award of a new phase of the Midwestern remediation project during the first quarter of 2014. Terra’s reputation in the remediation specialty contracting business has allowed the division to expand into new territory and complementary services for its clients. The two segments of the Company have combined product offerings during the year to serve our client’s needs. Terra’s combined service offering with rivers &amp; lakes’ dredging highlights an important growth element of the Company.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net cash provided by (used in) operating activities of continuing operations for the six months ended June 30, 2014 and 2013 totaled $15.0 million, and $(11.6) million, respectively. Normal increases or decreases in the level of working capital relative to the level of operational activity impact cash flow from operating activities. The increase in the current year from the six months ended June 30, 2013 is related to a decrease in the investment in working capital partially offset by lower adjusted EBITDA from continuing operations in the current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cash flows used in investing activities of continuing operations for the first six months of 2014 and 2013 totaled $53.3 million and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$13.9 million, respectively. Investing activities in both periods primarily relate to normal course upgrades and capital maintenance of the Company’s dredging fleet. During the six months ended June 30, 2014, the Company spent $23.5 million on construction in progress for a vessel being built to our specifications. The Company intends to secure financing during construction of the vessel.</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net cash flows provided by financing activities of continuing operations for the six months ended June 30, 2014 resulted in no net change compared to $30.3 million for the six months ended June 30, 2013. The change in net cash flows from financing activities is primarily due to net borrowings on the Company’s revolver during the 2013 first half of $41.0 million. Also in 2013, the Company paid $10.5 million on a promissory note related to the Terra acquisition.</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being in pro forma compliance with the existing financial covenants after giving effect to the increase and other standard conditions.</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2013, outstanding obligations under the Credit Agreement, which were previously unsecured, were secured by liens on certain of the Company’s vessels and all of its domestic accounts receivable, subject to the liens and interests of certain other parties holding first priority perfected liens. Under the terms of the Credit Agreement, the obligations thereunder that became secured could again become unsecured provided that (i) no event of default has occurred and is continuing, (ii) the Company has maintained for two consecutive quarters, and is projected to maintain for the next two consecutive quarters, a total leverage ratio less than or equal to 3.75 to 1.0 and (iii) the Company has delivered to the lenders its audited financial statements with respect to its fiscal year ending December 31, 2013. At June 30, 2014, the Credit Agreement remains secured by liens on certain of the Company’s vessels and all of its domestic accounts receivable.</w:t>
      </w:r>
    </w:p>
    <w:p>
      <w:pPr>
        <w:spacing w:after="0" w:line="18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June 30, 2014, the Company had $35.0 million of borrowings on the revolver and $114.9 million of letters of credit outstanding, resulting in $25.1 million of availability under the Credit Agreement. Borrowings under the line of credit may be limited based on the Company’s requirements to comply with its covenants. At June 30, 2014, the Company was in compliance with its various covenants under its Credit Agreement.</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remediation projects. The Company has a bonding agreement (the “Zurich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June 30, 2014, the Company had outstanding performance bonds valued at approximately $852.0 million, of which $39.2 million relates to projects accounted for in discontinued operations. The revenue value remaining in backlog related to the projects of continuing operations totaled approximately $333.3 million.</w:t>
      </w:r>
    </w:p>
    <w:p>
      <w:pPr>
        <w:spacing w:after="0" w:line="16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addition to its credit facility, the Company has a $24 million International Letter of Credit Facility with Wells Fargo Bank, National Association, as successor by merger to Wells Fargo HSBC Trade Bank (the “International Letter of Credit Facility”). This facility is used for performance and advance payment guarantees on foreign contracts. The Company’s obligations under the agreement are guaranteed by the Company’s foreign accounts receivable. In addition, the Export-Import Bank of the United States (“Ex-Im Bank”) has issued a guarantee under the Ex-Im Bank’s Working Capital Guarantee Program, which covers 90% of the obligations owing under the facility. At June 30, 2014, the Company had no letters of credit issued under this facility.</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connection with the sale of NASDI, LLC and Yankee Environmental Services, LLC, the Company’s two subsidiaries that comprised the historical demolition business, on April 23, 2014, the Company, certain of its subsidiaries and Zurich entered into a rider to the Zurich Bonding Agreement. Under this rider, Zurich consented to the sale and agreed, among other things, to release and discharge such subsidiaries from their obligations under the Zurich Bonding Agreement, and release the Transferred Bonds (as defined below) from under the Zurich Bonding Agreement. As a condition to Zurich’s consent and agreement to release, the rider required (i) the buyer of the historical demolition business to enter into a General Indemnity Agreement in favor of Zurich with respect to the performance bonds issued by Zurich for existing projects that were transferred with the sale (the “Transferred Bonds”) and (ii) the Company to:</w:t>
      </w:r>
    </w:p>
    <w:p>
      <w:pPr>
        <w:spacing w:after="0" w:line="70" w:lineRule="exact"/>
        <w:rPr>
          <w:sz w:val="20"/>
          <w:szCs w:val="20"/>
          <w:color w:val="auto"/>
        </w:rPr>
      </w:pPr>
    </w:p>
    <w:p>
      <w:pPr>
        <w:ind w:left="900" w:right="180" w:hanging="325"/>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enter into a Guarantee and Indemnity Agreement with respect to the Transferred Bonds in favor of Zurich (“Zurich Guarantee”) pursuant to which the Company agreed to guarantee the obligations of such former subsidiaries under, and indemnify and hold Zurich harmless against any losses and liabilities incurred by it in respect of, the Transferred Bonds up to an aggregate amount of $25 million;</w:t>
      </w:r>
    </w:p>
    <w:p>
      <w:pPr>
        <w:spacing w:after="0" w:line="70" w:lineRule="exact"/>
        <w:rPr>
          <w:rFonts w:ascii="Arial" w:cs="Arial" w:eastAsia="Arial" w:hAnsi="Arial"/>
          <w:sz w:val="17"/>
          <w:szCs w:val="17"/>
          <w:color w:val="auto"/>
        </w:rPr>
      </w:pPr>
    </w:p>
    <w:p>
      <w:pPr>
        <w:ind w:left="900" w:right="200" w:hanging="325"/>
        <w:spacing w:after="0" w:line="31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enter into an agreement with Zurich providing for the issuance to Zurich of a letter of credit by the Company in the original face amount of $20 million (the “Zurich Letter of Credit”) to secure the obligations of (a) the Company under the Zurich Bonding Agreement with respect to the bonds issued thereunder and under the Zurich Guarantee and (b) such former subsidiaries with respect to the Transferred Bonds; and</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 the Zurich Letter of Credit.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addition, on April 23, 2014 the Company entered into (i) an amendment to the Credit Agreement, which amended the Credit Agreement to permit the entrance into the Zurich Guarantee by the Company and to exclude the Zurich Guarantee and the Zurich Letter of Credit from the calculation of the Company’s financial covenants under the Credit Agreement related to total consolidated indebtedness and total leverage ratio and (ii) an amendment to the International Letter of Credit Facility, to exclude the Zurich Guarantee and the Zurich Letter of Credit from the calculation of the Company’s financial covenants thereunder related to total consolidated indebtedness and total leverage ratio.</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2013.</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June 30, 2014 has not materially changed since December 31, 2013. The market risk profile of the Company on December 31, 2013 is disclosed in Item 7A. “Quantitative and Qualitative Disclosures about Market Risk” of the Company’s Annual Report on Form 10-K for the year ended December 31, 2013.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w:t>
      </w:r>
    </w:p>
    <w:p>
      <w:pPr>
        <w:spacing w:after="0" w:line="254" w:lineRule="auto"/>
        <w:rPr>
          <w:sz w:val="20"/>
          <w:szCs w:val="20"/>
          <w:color w:val="auto"/>
        </w:rPr>
      </w:pPr>
      <w:r>
        <w:rPr>
          <w:rFonts w:ascii="Arial" w:cs="Arial" w:eastAsia="Arial" w:hAnsi="Arial"/>
          <w:sz w:val="18"/>
          <w:szCs w:val="18"/>
          <w:color w:val="auto"/>
        </w:rPr>
        <w:t>2014.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a reasonable assurance.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2014 that have materially affected, or are reasonably likely to materially affect, our internal control over financial reporting.</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during the six months ended June 30, 2014 to the risk factors previously disclosed in Item 1A. Risk Factors in the Company’s Annual Report on Form 10-K for the year ended December 31, 2013.</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00"/>
          </w:cols>
          <w:pgMar w:left="240" w:top="459" w:right="7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800" w:type="dxa"/>
            <w:vAlign w:val="bottom"/>
          </w:tcPr>
          <w:p>
            <w:pPr>
              <w:ind w:left="100"/>
              <w:spacing w:after="0"/>
              <w:rPr>
                <w:sz w:val="20"/>
                <w:szCs w:val="20"/>
                <w:color w:val="auto"/>
              </w:rPr>
            </w:pPr>
            <w:r>
              <w:rPr>
                <w:rFonts w:ascii="Arial" w:cs="Arial" w:eastAsia="Arial" w:hAnsi="Arial"/>
                <w:sz w:val="18"/>
                <w:szCs w:val="18"/>
                <w:color w:val="auto"/>
              </w:rPr>
              <w:t>10.1</w:t>
            </w:r>
          </w:p>
        </w:tc>
        <w:tc>
          <w:tcPr>
            <w:tcW w:w="10380" w:type="dxa"/>
            <w:vAlign w:val="bottom"/>
          </w:tcPr>
          <w:p>
            <w:pPr>
              <w:ind w:left="360"/>
              <w:spacing w:after="0"/>
              <w:rPr>
                <w:sz w:val="20"/>
                <w:szCs w:val="20"/>
                <w:color w:val="auto"/>
              </w:rPr>
            </w:pPr>
            <w:r>
              <w:rPr>
                <w:rFonts w:ascii="Arial" w:cs="Arial" w:eastAsia="Arial" w:hAnsi="Arial"/>
                <w:sz w:val="18"/>
                <w:szCs w:val="18"/>
                <w:color w:val="auto"/>
              </w:rPr>
              <w:t>Amended and Restated Employment Agreement with Jonathan W. Berger, dated as of May 8, 2014. (1)</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10.2</w:t>
            </w:r>
          </w:p>
        </w:tc>
        <w:tc>
          <w:tcPr>
            <w:tcW w:w="10380" w:type="dxa"/>
            <w:vAlign w:val="bottom"/>
          </w:tcPr>
          <w:p>
            <w:pPr>
              <w:ind w:left="360"/>
              <w:spacing w:after="0"/>
              <w:rPr>
                <w:sz w:val="20"/>
                <w:szCs w:val="20"/>
                <w:color w:val="auto"/>
              </w:rPr>
            </w:pPr>
            <w:r>
              <w:rPr>
                <w:rFonts w:ascii="Arial" w:cs="Arial" w:eastAsia="Arial" w:hAnsi="Arial"/>
                <w:sz w:val="18"/>
                <w:szCs w:val="18"/>
                <w:color w:val="auto"/>
              </w:rPr>
              <w:t>Offer letter, dated as of June 5, 2014 to Mark W. Marinko. *</w:t>
            </w:r>
          </w:p>
        </w:tc>
      </w:tr>
      <w:tr>
        <w:trPr>
          <w:trHeight w:val="310"/>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80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the Sarbanes-Oxley Act of 2002. *</w:t>
            </w:r>
          </w:p>
        </w:tc>
      </w:tr>
      <w:tr>
        <w:trPr>
          <w:trHeight w:val="310"/>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800" w:type="dxa"/>
            <w:vAlign w:val="bottom"/>
          </w:tcPr>
          <w:p>
            <w:pPr>
              <w:spacing w:after="0"/>
              <w:rPr>
                <w:sz w:val="20"/>
                <w:szCs w:val="20"/>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the Sarbanes-Oxley Act of 2002. *</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038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038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Instance Document.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Great Lakes Dredge &amp; Dock Corporation’s Current Report on Form 8-K filed with the Commission on May 13, 2014</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88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W. M</w:t>
      </w:r>
      <w:r>
        <w:rPr>
          <w:rFonts w:ascii="Arial" w:cs="Arial" w:eastAsia="Arial" w:hAnsi="Arial"/>
          <w:sz w:val="15"/>
          <w:szCs w:val="15"/>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Mark W. Marinko</w:t>
      </w:r>
    </w:p>
    <w:p>
      <w:pPr>
        <w:spacing w:after="0" w:line="27" w:lineRule="exact"/>
        <w:rPr>
          <w:sz w:val="20"/>
          <w:szCs w:val="20"/>
          <w:color w:val="auto"/>
        </w:rPr>
      </w:pPr>
    </w:p>
    <w:p>
      <w:pPr>
        <w:jc w:val="center"/>
        <w:ind w:left="57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24"/>
                <w:szCs w:val="24"/>
                <w:color w:val="auto"/>
              </w:rPr>
            </w:pPr>
          </w:p>
        </w:tc>
        <w:tc>
          <w:tcPr>
            <w:tcW w:w="10260" w:type="dxa"/>
            <w:vAlign w:val="bottom"/>
            <w:gridSpan w:val="3"/>
          </w:tcPr>
          <w:p>
            <w:pPr>
              <w:ind w:left="4680"/>
              <w:spacing w:after="0"/>
              <w:rPr>
                <w:sz w:val="20"/>
                <w:szCs w:val="20"/>
                <w:color w:val="auto"/>
              </w:rPr>
            </w:pPr>
            <w:r>
              <w:rPr>
                <w:rFonts w:ascii="Arial" w:cs="Arial" w:eastAsia="Arial" w:hAnsi="Arial"/>
                <w:sz w:val="14"/>
                <w:szCs w:val="14"/>
                <w:b w:val="1"/>
                <w:bCs w:val="1"/>
                <w:color w:val="auto"/>
              </w:rPr>
              <w:t>Document Description</w:t>
            </w:r>
          </w:p>
        </w:tc>
      </w:tr>
      <w:tr>
        <w:trPr>
          <w:trHeight w:val="20"/>
        </w:trPr>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Amended and Restated Employment Agreement with Jonathan W. Berger, dated as of May 8, 2014. (1)</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Offer letter, dated as of June 5, 2014 to Mark W. Marinko. *</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Adopted Pursuant to Section 302 of</w:t>
            </w: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 *</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Great Lakes Dredge &amp; Dock Corporation’s Current Report on Form 8-K filed with the Commission on May 13, 2014</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756025" cy="892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5602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June 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XXXXXXXXXXXXXX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XXXXXXXXXXX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letter confirms our recent discussions regarding your employment with Great Lakes Dredge &amp; Dock Company, LLC (GLDD). Listed below are the particular terms of this offer;</w:t>
      </w:r>
    </w:p>
    <w:p>
      <w:pPr>
        <w:spacing w:after="0" w:line="19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Chief Financial Officer</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Report to:</w:t>
      </w:r>
      <w:r>
        <w:rPr>
          <w:sz w:val="20"/>
          <w:szCs w:val="20"/>
          <w:color w:val="auto"/>
        </w:rPr>
        <w:tab/>
      </w:r>
      <w:r>
        <w:rPr>
          <w:rFonts w:ascii="Arial" w:cs="Arial" w:eastAsia="Arial" w:hAnsi="Arial"/>
          <w:sz w:val="16"/>
          <w:szCs w:val="16"/>
          <w:color w:val="auto"/>
        </w:rPr>
        <w:t>Jonathan Berger, Chief Executive Officer</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Start Date:</w:t>
      </w:r>
      <w:r>
        <w:rPr>
          <w:sz w:val="20"/>
          <w:szCs w:val="20"/>
          <w:color w:val="auto"/>
        </w:rPr>
        <w:tab/>
      </w:r>
      <w:r>
        <w:rPr>
          <w:rFonts w:ascii="Arial" w:cs="Arial" w:eastAsia="Arial" w:hAnsi="Arial"/>
          <w:sz w:val="16"/>
          <w:szCs w:val="16"/>
          <w:color w:val="auto"/>
        </w:rPr>
        <w:t>To be determined</w:t>
      </w:r>
    </w:p>
    <w:p>
      <w:pPr>
        <w:spacing w:after="0" w:line="117" w:lineRule="exact"/>
        <w:rPr>
          <w:sz w:val="20"/>
          <w:szCs w:val="20"/>
          <w:color w:val="auto"/>
        </w:rPr>
      </w:pPr>
    </w:p>
    <w:p>
      <w:pPr>
        <w:ind w:left="1500" w:right="480" w:hanging="1485"/>
        <w:spacing w:after="0" w:line="277" w:lineRule="auto"/>
        <w:tabs>
          <w:tab w:leader="none" w:pos="1480" w:val="left"/>
        </w:tabs>
        <w:rPr>
          <w:sz w:val="20"/>
          <w:szCs w:val="20"/>
          <w:color w:val="auto"/>
        </w:rPr>
      </w:pP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8"/>
          <w:szCs w:val="18"/>
          <w:color w:val="auto"/>
        </w:rPr>
        <w:t>Great Lakes Dredge and Dock Company will pay you an annual salary of $300,000.00/yr to be paid on GLDD’s regular paydays in accordance with its practices regarding payment of personnel.</w:t>
      </w:r>
    </w:p>
    <w:p>
      <w:pPr>
        <w:spacing w:after="0" w:line="62" w:lineRule="exact"/>
        <w:rPr>
          <w:sz w:val="20"/>
          <w:szCs w:val="20"/>
          <w:color w:val="auto"/>
        </w:rPr>
      </w:pPr>
    </w:p>
    <w:p>
      <w:pPr>
        <w:ind w:left="1500" w:right="180" w:hanging="1499"/>
        <w:spacing w:after="0" w:line="279" w:lineRule="auto"/>
        <w:tabs>
          <w:tab w:leader="none" w:pos="1480" w:val="left"/>
        </w:tabs>
        <w:rPr>
          <w:sz w:val="20"/>
          <w:szCs w:val="20"/>
          <w:color w:val="auto"/>
        </w:rPr>
      </w:pPr>
      <w:r>
        <w:rPr>
          <w:rFonts w:ascii="Arial" w:cs="Arial" w:eastAsia="Arial" w:hAnsi="Arial"/>
          <w:sz w:val="17"/>
          <w:szCs w:val="17"/>
          <w:b w:val="1"/>
          <w:bCs w:val="1"/>
          <w:color w:val="auto"/>
        </w:rPr>
        <w:t>Bonus:</w:t>
      </w:r>
      <w:r>
        <w:rPr>
          <w:sz w:val="20"/>
          <w:szCs w:val="20"/>
          <w:color w:val="auto"/>
        </w:rPr>
        <w:tab/>
      </w:r>
      <w:r>
        <w:rPr>
          <w:rFonts w:ascii="Arial" w:cs="Arial" w:eastAsia="Arial" w:hAnsi="Arial"/>
          <w:sz w:val="17"/>
          <w:szCs w:val="17"/>
          <w:color w:val="auto"/>
        </w:rPr>
        <w:t>You are eligible to participate in the Annual Cash Bonus Plan or similar or successor plans as the Company may establish. Your bonus target is 50% of base salary based on a full year’s participation. Bonuses are determined based on company performance and individual performance, and are at management’s discretion. Bonuses are paid in March of the subsequent calendar year. Accordingly, your first bonus payout would be March, 2015 for 2014 performance. The earned bonus for 2014 will be prorated.</w:t>
      </w:r>
    </w:p>
    <w:p>
      <w:pPr>
        <w:spacing w:after="0" w:line="63" w:lineRule="exact"/>
        <w:rPr>
          <w:sz w:val="20"/>
          <w:szCs w:val="20"/>
          <w:color w:val="auto"/>
        </w:rPr>
      </w:pPr>
    </w:p>
    <w:p>
      <w:pPr>
        <w:jc w:val="both"/>
        <w:ind w:left="1500" w:hanging="1499"/>
        <w:spacing w:after="0" w:line="264" w:lineRule="auto"/>
        <w:tabs>
          <w:tab w:leader="none" w:pos="1480" w:val="left"/>
        </w:tabs>
        <w:rPr>
          <w:sz w:val="20"/>
          <w:szCs w:val="20"/>
          <w:color w:val="auto"/>
        </w:rPr>
      </w:pPr>
      <w:r>
        <w:rPr>
          <w:rFonts w:ascii="Arial" w:cs="Arial" w:eastAsia="Arial" w:hAnsi="Arial"/>
          <w:sz w:val="18"/>
          <w:szCs w:val="18"/>
          <w:b w:val="1"/>
          <w:bCs w:val="1"/>
          <w:color w:val="auto"/>
        </w:rPr>
        <w:t>Equity:</w:t>
      </w:r>
      <w:r>
        <w:rPr>
          <w:sz w:val="20"/>
          <w:szCs w:val="20"/>
          <w:color w:val="auto"/>
        </w:rPr>
        <w:tab/>
      </w:r>
      <w:r>
        <w:rPr>
          <w:rFonts w:ascii="Arial" w:cs="Arial" w:eastAsia="Arial" w:hAnsi="Arial"/>
          <w:sz w:val="18"/>
          <w:szCs w:val="18"/>
          <w:color w:val="auto"/>
        </w:rPr>
        <w:t>You are eligible to participate in any equity based compensation plans established or maintained by the company per the terms of the plan then in effect including the Company’s 2007 Long-Term Incentive Plan and any successor thereto. The value of granted equity awards is targeted at 40% of your base salary.</w:t>
      </w:r>
    </w:p>
    <w:p>
      <w:pPr>
        <w:spacing w:after="0" w:line="7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401k &amp; Profit</w:t>
      </w:r>
      <w:r>
        <w:rPr>
          <w:sz w:val="20"/>
          <w:szCs w:val="20"/>
          <w:color w:val="auto"/>
        </w:rPr>
        <w:tab/>
      </w:r>
      <w:r>
        <w:rPr>
          <w:rFonts w:ascii="Arial" w:cs="Arial" w:eastAsia="Arial" w:hAnsi="Arial"/>
          <w:sz w:val="16"/>
          <w:szCs w:val="16"/>
          <w:color w:val="auto"/>
        </w:rPr>
        <w:t>You will also have the opportunity to participate in the GLDD 401(k) plan that matches your contributions dollar for dollar up to 6% of</w:t>
      </w:r>
    </w:p>
    <w:p>
      <w:pPr>
        <w:spacing w:after="0" w:line="27" w:lineRule="exact"/>
        <w:rPr>
          <w:sz w:val="20"/>
          <w:szCs w:val="20"/>
          <w:color w:val="auto"/>
        </w:rPr>
      </w:pPr>
    </w:p>
    <w:p>
      <w:pPr>
        <w:ind w:left="1500" w:right="120" w:hanging="1499"/>
        <w:spacing w:after="0" w:line="254" w:lineRule="auto"/>
        <w:tabs>
          <w:tab w:leader="none" w:pos="1480" w:val="left"/>
        </w:tabs>
        <w:rPr>
          <w:sz w:val="20"/>
          <w:szCs w:val="20"/>
          <w:color w:val="auto"/>
        </w:rPr>
      </w:pPr>
      <w:r>
        <w:rPr>
          <w:rFonts w:ascii="Arial" w:cs="Arial" w:eastAsia="Arial" w:hAnsi="Arial"/>
          <w:sz w:val="18"/>
          <w:szCs w:val="18"/>
          <w:b w:val="1"/>
          <w:bCs w:val="1"/>
          <w:color w:val="auto"/>
        </w:rPr>
        <w:t>Sharing:</w:t>
      </w:r>
      <w:r>
        <w:rPr>
          <w:sz w:val="20"/>
          <w:szCs w:val="20"/>
          <w:color w:val="auto"/>
        </w:rPr>
        <w:tab/>
      </w:r>
      <w:r>
        <w:rPr>
          <w:rFonts w:ascii="Arial" w:cs="Arial" w:eastAsia="Arial" w:hAnsi="Arial"/>
          <w:sz w:val="18"/>
          <w:szCs w:val="18"/>
          <w:color w:val="auto"/>
        </w:rPr>
        <w:t>your salary with immediate vesting. In addition, you will participate in our Profit Sharing Plan. The profit sharing award can range from 0 - 10% of base salary dependent upon the Company’s performance and profitability and is deposited into your 401 (K) account. The profit sharing payout has been at or exceeded 6.5% the last five years. The profit sharing plan has a three year vesting schedule. Please see the attached document for a summary of these plans.</w:t>
      </w:r>
    </w:p>
    <w:p>
      <w:pPr>
        <w:spacing w:after="0" w:line="78"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auto"/>
        </w:rPr>
        <w:t>Supplemental</w:t>
      </w:r>
      <w:r>
        <w:rPr>
          <w:sz w:val="20"/>
          <w:szCs w:val="20"/>
          <w:color w:val="auto"/>
        </w:rPr>
        <w:tab/>
      </w:r>
      <w:r>
        <w:rPr>
          <w:rFonts w:ascii="Arial" w:cs="Arial" w:eastAsia="Arial" w:hAnsi="Arial"/>
          <w:sz w:val="16"/>
          <w:szCs w:val="16"/>
          <w:color w:val="auto"/>
        </w:rPr>
        <w:t>You will also have the opportunity to participate in the GLDD Supplemental Savings Plan that allows for tax-deferred savings and profit</w:t>
      </w:r>
    </w:p>
    <w:p>
      <w:pPr>
        <w:spacing w:after="0" w:line="5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Savings Plan</w:t>
      </w:r>
      <w:r>
        <w:rPr>
          <w:sz w:val="20"/>
          <w:szCs w:val="20"/>
          <w:color w:val="auto"/>
        </w:rPr>
        <w:tab/>
      </w:r>
      <w:r>
        <w:rPr>
          <w:rFonts w:ascii="Arial" w:cs="Arial" w:eastAsia="Arial" w:hAnsi="Arial"/>
          <w:sz w:val="16"/>
          <w:szCs w:val="16"/>
          <w:color w:val="auto"/>
        </w:rPr>
        <w:t>sharing awards beyond the IRS -imposed 401(k) limits.</w:t>
      </w:r>
    </w:p>
    <w:p>
      <w:pPr>
        <w:spacing w:after="0" w:line="99" w:lineRule="exact"/>
        <w:rPr>
          <w:sz w:val="20"/>
          <w:szCs w:val="20"/>
          <w:color w:val="auto"/>
        </w:rPr>
      </w:pPr>
    </w:p>
    <w:p>
      <w:pPr>
        <w:ind w:left="1500" w:right="100" w:hanging="1499"/>
        <w:spacing w:after="0" w:line="277" w:lineRule="auto"/>
        <w:tabs>
          <w:tab w:leader="none" w:pos="1480" w:val="left"/>
        </w:tabs>
        <w:rPr>
          <w:sz w:val="20"/>
          <w:szCs w:val="20"/>
          <w:color w:val="auto"/>
        </w:rPr>
      </w:pPr>
      <w:r>
        <w:rPr>
          <w:rFonts w:ascii="Arial" w:cs="Arial" w:eastAsia="Arial" w:hAnsi="Arial"/>
          <w:sz w:val="18"/>
          <w:szCs w:val="18"/>
          <w:b w:val="1"/>
          <w:bCs w:val="1"/>
          <w:color w:val="auto"/>
        </w:rPr>
        <w:t>Benefits:</w:t>
      </w:r>
      <w:r>
        <w:rPr>
          <w:sz w:val="20"/>
          <w:szCs w:val="20"/>
          <w:color w:val="auto"/>
        </w:rPr>
        <w:tab/>
      </w:r>
      <w:r>
        <w:rPr>
          <w:rFonts w:ascii="Arial" w:cs="Arial" w:eastAsia="Arial" w:hAnsi="Arial"/>
          <w:sz w:val="18"/>
          <w:szCs w:val="18"/>
          <w:color w:val="auto"/>
        </w:rPr>
        <w:t>Effective on the first day of your employment, you will be eligible to participate in our Cigna OAP medical &amp; dental plan, life insurance plan and disability plan. Please see the attached document for a summary of these benefits.</w:t>
      </w:r>
    </w:p>
    <w:p>
      <w:pPr>
        <w:sectPr>
          <w:pgSz w:w="11900" w:h="16838" w:orient="portrait"/>
          <w:cols w:equalWidth="0" w:num="1">
            <w:col w:w="11420"/>
          </w:cols>
          <w:pgMar w:left="240" w:top="121" w:right="239" w:bottom="1440" w:gutter="0" w:footer="0" w:header="0"/>
        </w:sectPr>
      </w:pPr>
    </w:p>
    <w:bookmarkStart w:id="40" w:name="page41"/>
    <w:bookmarkEnd w:id="40"/>
    <w:p>
      <w:pPr>
        <w:spacing w:after="0"/>
        <w:tabs>
          <w:tab w:leader="none" w:pos="1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Vacation:</w:t>
      </w:r>
      <w:r>
        <w:rPr>
          <w:sz w:val="20"/>
          <w:szCs w:val="20"/>
          <w:color w:val="auto"/>
        </w:rPr>
        <w:tab/>
      </w:r>
      <w:r>
        <w:rPr>
          <w:rFonts w:ascii="Arial" w:cs="Arial" w:eastAsia="Arial" w:hAnsi="Arial"/>
          <w:sz w:val="18"/>
          <w:szCs w:val="18"/>
          <w:color w:val="auto"/>
        </w:rPr>
        <w:t>You will be eligible for 20 days of vacation annually. Vacation time for 2014 will be prorated based on your start date.</w:t>
      </w:r>
    </w:p>
    <w:p>
      <w:pPr>
        <w:spacing w:after="0" w:line="117" w:lineRule="exact"/>
        <w:rPr>
          <w:sz w:val="20"/>
          <w:szCs w:val="20"/>
          <w:color w:val="auto"/>
        </w:rPr>
      </w:pPr>
    </w:p>
    <w:p>
      <w:pPr>
        <w:ind w:left="1500" w:right="140" w:hanging="1499"/>
        <w:spacing w:after="0" w:line="257" w:lineRule="auto"/>
        <w:tabs>
          <w:tab w:leader="none" w:pos="1480" w:val="left"/>
        </w:tabs>
        <w:rPr>
          <w:sz w:val="20"/>
          <w:szCs w:val="20"/>
          <w:color w:val="auto"/>
        </w:rPr>
      </w:pPr>
      <w:r>
        <w:rPr>
          <w:rFonts w:ascii="Arial" w:cs="Arial" w:eastAsia="Arial" w:hAnsi="Arial"/>
          <w:sz w:val="18"/>
          <w:szCs w:val="18"/>
          <w:b w:val="1"/>
          <w:bCs w:val="1"/>
          <w:color w:val="auto"/>
        </w:rPr>
        <w:t>Holidays:</w:t>
      </w:r>
      <w:r>
        <w:rPr>
          <w:sz w:val="20"/>
          <w:szCs w:val="20"/>
          <w:color w:val="auto"/>
        </w:rPr>
        <w:tab/>
      </w:r>
      <w:r>
        <w:rPr>
          <w:rFonts w:ascii="Arial" w:cs="Arial" w:eastAsia="Arial" w:hAnsi="Arial"/>
          <w:sz w:val="18"/>
          <w:szCs w:val="18"/>
          <w:color w:val="auto"/>
        </w:rPr>
        <w:t>Great Lakes Dredge and Dock Company recognizes eight (8) holidays. Those holidays are New Year’s Day, Memorial Day, Independence Day, Labor Day, Thanksgiving Day, Day after Thanksgiving, Christmas Eve &amp; Christmas Day. In addition, salaried employees on the payroll on January 1</w:t>
      </w:r>
      <w:r>
        <w:rPr>
          <w:rFonts w:ascii="Arial" w:cs="Arial" w:eastAsia="Arial" w:hAnsi="Arial"/>
          <w:sz w:val="15"/>
          <w:szCs w:val="15"/>
          <w:color w:val="auto"/>
        </w:rPr>
        <w:t>st</w:t>
      </w:r>
      <w:r>
        <w:rPr>
          <w:rFonts w:ascii="Arial" w:cs="Arial" w:eastAsia="Arial" w:hAnsi="Arial"/>
          <w:sz w:val="18"/>
          <w:szCs w:val="18"/>
          <w:color w:val="auto"/>
        </w:rPr>
        <w:t xml:space="preserve"> shall be entitled to Two (2) floating holidays to be taken within the calendar year and subject to the approval of the employee’s supervisor. Salaried employees hired subsequent to January 1</w:t>
      </w:r>
      <w:r>
        <w:rPr>
          <w:rFonts w:ascii="Arial" w:cs="Arial" w:eastAsia="Arial" w:hAnsi="Arial"/>
          <w:sz w:val="15"/>
          <w:szCs w:val="15"/>
          <w:color w:val="auto"/>
        </w:rPr>
        <w:t>st</w:t>
      </w:r>
      <w:r>
        <w:rPr>
          <w:rFonts w:ascii="Arial" w:cs="Arial" w:eastAsia="Arial" w:hAnsi="Arial"/>
          <w:sz w:val="18"/>
          <w:szCs w:val="18"/>
          <w:color w:val="auto"/>
        </w:rPr>
        <w:t xml:space="preserve"> and prior to July 1</w:t>
      </w:r>
      <w:r>
        <w:rPr>
          <w:rFonts w:ascii="Arial" w:cs="Arial" w:eastAsia="Arial" w:hAnsi="Arial"/>
          <w:sz w:val="15"/>
          <w:szCs w:val="15"/>
          <w:color w:val="auto"/>
        </w:rPr>
        <w:t>st</w:t>
      </w:r>
      <w:r>
        <w:rPr>
          <w:rFonts w:ascii="Arial" w:cs="Arial" w:eastAsia="Arial" w:hAnsi="Arial"/>
          <w:sz w:val="18"/>
          <w:szCs w:val="18"/>
          <w:color w:val="auto"/>
        </w:rPr>
        <w:t xml:space="preserve"> shall be entitled to One (1) Floating Holiday.</w:t>
      </w:r>
    </w:p>
    <w:p>
      <w:pPr>
        <w:spacing w:after="0" w:line="80" w:lineRule="exact"/>
        <w:rPr>
          <w:sz w:val="20"/>
          <w:szCs w:val="20"/>
          <w:color w:val="auto"/>
        </w:rPr>
      </w:pPr>
    </w:p>
    <w:p>
      <w:pPr>
        <w:ind w:left="1500" w:hanging="1499"/>
        <w:spacing w:after="0" w:line="257" w:lineRule="auto"/>
        <w:tabs>
          <w:tab w:leader="none" w:pos="1480" w:val="left"/>
        </w:tabs>
        <w:rPr>
          <w:sz w:val="20"/>
          <w:szCs w:val="20"/>
          <w:color w:val="auto"/>
        </w:rPr>
      </w:pPr>
      <w:r>
        <w:rPr>
          <w:rFonts w:ascii="Arial" w:cs="Arial" w:eastAsia="Arial" w:hAnsi="Arial"/>
          <w:sz w:val="18"/>
          <w:szCs w:val="18"/>
          <w:b w:val="1"/>
          <w:bCs w:val="1"/>
          <w:color w:val="auto"/>
        </w:rPr>
        <w:t>Conditions:</w:t>
      </w:r>
      <w:r>
        <w:rPr>
          <w:sz w:val="20"/>
          <w:szCs w:val="20"/>
          <w:color w:val="auto"/>
        </w:rPr>
        <w:tab/>
      </w:r>
      <w:r>
        <w:rPr>
          <w:rFonts w:ascii="Arial" w:cs="Arial" w:eastAsia="Arial" w:hAnsi="Arial"/>
          <w:sz w:val="18"/>
          <w:szCs w:val="18"/>
          <w:color w:val="auto"/>
        </w:rPr>
        <w:t>This is a pre-employment offer and is contingent on successful completion of a background check and a pre-employment drug screen. Please contact Maricela Bowers at 630-574-3479 as soon as possible to schedule your appointment. We must also be able to confirm your eligibility for employment in the US under the Immigration Reform and Control Act. On your first day of employment, please bring appropriate documentation for the completion of the I-9 Form. You must have at least one document from list A or one document from list B and C. Attached is a list of acceptable documents for I-9 purposes.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be advised that GLDD is an at-will company and your acceptance of this offer by no means constitutes a contract between GLDD and you. Please also treat this offer as “Company Proprietary”.</w:t>
      </w:r>
    </w:p>
    <w:p>
      <w:pPr>
        <w:spacing w:after="0" w:line="1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We are very excited about you joining the company. I feel confident that you will find your career with Great Lakes Dredge &amp; Dock Company both challenging and rewarding. Should you require any additional information please contact Lisa Foody at (630)574-2437.</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Please confirm receipt of this offer at your earliest convenience. It is requested that you consider this offer carefully and, regardless of your decision, please sign and return a copy of this letter as soon as possible.</w:t>
      </w:r>
    </w:p>
    <w:p>
      <w:pPr>
        <w:sectPr>
          <w:pgSz w:w="11900" w:h="16838" w:orient="portrait"/>
          <w:cols w:equalWidth="0" w:num="1">
            <w:col w:w="11420"/>
          </w:cols>
          <w:pgMar w:left="240" w:top="270"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and Dock Corporation</w:t>
      </w:r>
    </w:p>
    <w:p>
      <w:pPr>
        <w:spacing w:after="0" w:line="229" w:lineRule="exact"/>
        <w:rPr>
          <w:sz w:val="20"/>
          <w:szCs w:val="20"/>
          <w:color w:val="auto"/>
        </w:rPr>
      </w:pPr>
    </w:p>
    <w:p>
      <w:pPr>
        <w:jc w:val="center"/>
        <w:ind w:right="1960"/>
        <w:spacing w:after="0"/>
        <w:rPr>
          <w:sz w:val="20"/>
          <w:szCs w:val="20"/>
          <w:color w:val="auto"/>
        </w:rPr>
      </w:pPr>
      <w:r>
        <w:rPr>
          <w:rFonts w:ascii="Arial" w:cs="Arial" w:eastAsia="Arial" w:hAnsi="Arial"/>
          <w:sz w:val="14"/>
          <w:szCs w:val="14"/>
          <w:b w:val="1"/>
          <w:bCs w:val="1"/>
          <w:u w:val="single" w:color="auto"/>
          <w:color w:val="auto"/>
        </w:rPr>
        <w:t>ACCEPT</w:t>
      </w:r>
    </w:p>
    <w:p>
      <w:pPr>
        <w:spacing w:after="0" w:line="117"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96" w:lineRule="exact"/>
        <w:rPr>
          <w:sz w:val="20"/>
          <w:szCs w:val="20"/>
          <w:color w:val="auto"/>
        </w:rPr>
      </w:pPr>
    </w:p>
    <w:p>
      <w:pPr>
        <w:jc w:val="center"/>
        <w:ind w:right="1960"/>
        <w:spacing w:after="0"/>
        <w:rPr>
          <w:sz w:val="20"/>
          <w:szCs w:val="20"/>
          <w:color w:val="auto"/>
        </w:rPr>
      </w:pPr>
      <w:r>
        <w:rPr>
          <w:rFonts w:ascii="Arial" w:cs="Arial" w:eastAsia="Arial" w:hAnsi="Arial"/>
          <w:sz w:val="16"/>
          <w:szCs w:val="16"/>
          <w:color w:val="auto"/>
        </w:rPr>
        <w:t>/s/ Mark W. Marinko</w:t>
      </w:r>
    </w:p>
    <w:p>
      <w:pPr>
        <w:spacing w:after="0" w:line="46"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96"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June 5, 2014</w:t>
      </w:r>
    </w:p>
    <w:p>
      <w:pPr>
        <w:spacing w:after="0" w:line="23"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DECLINE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-115570</wp:posOffset>
            </wp:positionV>
            <wp:extent cx="3395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-130175</wp:posOffset>
            </wp:positionV>
            <wp:extent cx="3395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-130175</wp:posOffset>
            </wp:positionV>
            <wp:extent cx="3395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2">
            <w:col w:w="7580" w:space="720"/>
            <w:col w:w="3120"/>
          </w:cols>
          <w:pgMar w:left="240" w:top="270"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Jonathan W. Berger,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Mark W. Marinko,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2014,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2014,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2019-12-07T14:09:31Z</dcterms:created>
  <dcterms:modified xsi:type="dcterms:W3CDTF">2019-12-07T14:09:31Z</dcterms:modified>
</cp:coreProperties>
</file>