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55880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87630</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68" w:lineRule="exact"/>
        <w:rPr>
          <w:sz w:val="24"/>
          <w:szCs w:val="24"/>
          <w:color w:val="auto"/>
        </w:rPr>
      </w:pPr>
    </w:p>
    <w:p>
      <w:pPr>
        <w:ind w:left="460" w:right="240" w:hanging="452"/>
        <w:spacing w:after="0" w:line="262" w:lineRule="auto"/>
        <w:tabs>
          <w:tab w:leader="none" w:pos="46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2025</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67" w:lineRule="exact"/>
        <w:rPr>
          <w:sz w:val="24"/>
          <w:szCs w:val="24"/>
          <w:color w:val="auto"/>
        </w:rPr>
      </w:pPr>
    </w:p>
    <w:p>
      <w:pPr>
        <w:ind w:left="460" w:right="260" w:hanging="452"/>
        <w:spacing w:after="0" w:line="262" w:lineRule="auto"/>
        <w:tabs>
          <w:tab w:leader="none" w:pos="46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0" w:lineRule="exact"/>
        <w:rPr>
          <w:sz w:val="24"/>
          <w:szCs w:val="24"/>
          <w:color w:val="auto"/>
        </w:rPr>
      </w:pPr>
    </w:p>
    <w:p>
      <w:pPr>
        <w:ind w:left="3660"/>
        <w:spacing w:after="0"/>
        <w:tabs>
          <w:tab w:leader="none" w:pos="678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001-33225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3159760</wp:posOffset>
            </wp:positionH>
            <wp:positionV relativeFrom="paragraph">
              <wp:posOffset>88265</wp:posOffset>
            </wp:positionV>
            <wp:extent cx="822960" cy="8229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22960" cy="82296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Great Lakes Dredge &amp; Dock Corporation</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55880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27" w:lineRule="exact"/>
        <w:rPr>
          <w:sz w:val="24"/>
          <w:szCs w:val="24"/>
          <w:color w:val="auto"/>
        </w:rPr>
      </w:pPr>
    </w:p>
    <w:tbl>
      <w:tblPr>
        <w:tblLayout w:type="fixed"/>
        <w:tblInd w:w="1040" w:type="dxa"/>
        <w:tblCellMar>
          <w:top w:w="0" w:type="dxa"/>
          <w:left w:w="0" w:type="dxa"/>
          <w:bottom w:w="0" w:type="dxa"/>
          <w:right w:w="0" w:type="dxa"/>
        </w:tblCellMar>
      </w:tblPr>
      <w:tr>
        <w:trPr>
          <w:trHeight w:val="214"/>
        </w:trPr>
        <w:tc>
          <w:tcPr>
            <w:tcW w:w="6760" w:type="dxa"/>
            <w:vAlign w:val="bottom"/>
          </w:tcPr>
          <w:p>
            <w:pPr>
              <w:jc w:val="center"/>
              <w:ind w:right="3238"/>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260" w:type="dxa"/>
            <w:vAlign w:val="bottom"/>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20-5336063</w:t>
            </w:r>
          </w:p>
        </w:tc>
      </w:tr>
      <w:tr>
        <w:trPr>
          <w:trHeight w:val="149"/>
        </w:trPr>
        <w:tc>
          <w:tcPr>
            <w:tcW w:w="6760" w:type="dxa"/>
            <w:vAlign w:val="bottom"/>
          </w:tcPr>
          <w:p>
            <w:pPr>
              <w:jc w:val="center"/>
              <w:ind w:right="3238"/>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260" w:type="dxa"/>
            <w:vAlign w:val="bottom"/>
          </w:tcPr>
          <w:p>
            <w:pPr>
              <w:jc w:val="center"/>
              <w:ind w:left="6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6760" w:type="dxa"/>
            <w:vAlign w:val="bottom"/>
          </w:tcPr>
          <w:p>
            <w:pPr>
              <w:jc w:val="center"/>
              <w:ind w:right="3238"/>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260" w:type="dxa"/>
            <w:vAlign w:val="bottom"/>
          </w:tcPr>
          <w:p>
            <w:pPr>
              <w:jc w:val="center"/>
              <w:ind w:left="4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96"/>
        </w:trPr>
        <w:tc>
          <w:tcPr>
            <w:tcW w:w="6760" w:type="dxa"/>
            <w:vAlign w:val="bottom"/>
          </w:tcPr>
          <w:p>
            <w:pPr>
              <w:jc w:val="center"/>
              <w:ind w:right="3238"/>
              <w:spacing w:after="0"/>
              <w:rPr>
                <w:sz w:val="20"/>
                <w:szCs w:val="20"/>
                <w:color w:val="auto"/>
              </w:rPr>
            </w:pPr>
            <w:r>
              <w:rPr>
                <w:rFonts w:ascii="Times New Roman" w:cs="Times New Roman" w:eastAsia="Times New Roman" w:hAnsi="Times New Roman"/>
                <w:sz w:val="18"/>
                <w:szCs w:val="18"/>
                <w:b w:val="1"/>
                <w:bCs w:val="1"/>
                <w:color w:val="auto"/>
                <w:w w:val="99"/>
              </w:rPr>
              <w:t>9811 Katy Freeway, Suite 1200, Houston, TX</w:t>
            </w:r>
          </w:p>
        </w:tc>
        <w:tc>
          <w:tcPr>
            <w:tcW w:w="126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77024</w:t>
            </w:r>
          </w:p>
        </w:tc>
      </w:tr>
      <w:tr>
        <w:trPr>
          <w:trHeight w:val="190"/>
        </w:trPr>
        <w:tc>
          <w:tcPr>
            <w:tcW w:w="6760" w:type="dxa"/>
            <w:vAlign w:val="bottom"/>
          </w:tcPr>
          <w:p>
            <w:pPr>
              <w:jc w:val="center"/>
              <w:ind w:right="3218"/>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260" w:type="dxa"/>
            <w:vAlign w:val="bottom"/>
          </w:tcPr>
          <w:p>
            <w:pPr>
              <w:jc w:val="center"/>
              <w:ind w:left="41"/>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231"/>
        </w:trPr>
        <w:tc>
          <w:tcPr>
            <w:tcW w:w="6760" w:type="dxa"/>
            <w:vAlign w:val="bottom"/>
          </w:tcPr>
          <w:p>
            <w:pPr>
              <w:jc w:val="right"/>
              <w:ind w:right="1538"/>
              <w:spacing w:after="0"/>
              <w:rPr>
                <w:sz w:val="20"/>
                <w:szCs w:val="20"/>
                <w:color w:val="auto"/>
              </w:rPr>
            </w:pPr>
            <w:r>
              <w:rPr>
                <w:rFonts w:ascii="Times New Roman" w:cs="Times New Roman" w:eastAsia="Times New Roman" w:hAnsi="Times New Roman"/>
                <w:sz w:val="18"/>
                <w:szCs w:val="18"/>
                <w:b w:val="1"/>
                <w:bCs w:val="1"/>
                <w:color w:val="auto"/>
              </w:rPr>
              <w:t>(346) 359-1010</w:t>
            </w:r>
          </w:p>
        </w:tc>
        <w:tc>
          <w:tcPr>
            <w:tcW w:w="1260" w:type="dxa"/>
            <w:vAlign w:val="bottom"/>
          </w:tcPr>
          <w:p>
            <w:pPr>
              <w:spacing w:after="0"/>
              <w:rPr>
                <w:sz w:val="20"/>
                <w:szCs w:val="20"/>
                <w:color w:val="auto"/>
              </w:rPr>
            </w:pPr>
          </w:p>
        </w:tc>
      </w:tr>
      <w:tr>
        <w:trPr>
          <w:trHeight w:val="238"/>
        </w:trPr>
        <w:tc>
          <w:tcPr>
            <w:tcW w:w="6760" w:type="dxa"/>
            <w:vAlign w:val="bottom"/>
          </w:tcPr>
          <w:p>
            <w:pPr>
              <w:jc w:val="center"/>
              <w:ind w:left="2318"/>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w:t>
            </w:r>
          </w:p>
        </w:tc>
        <w:tc>
          <w:tcPr>
            <w:tcW w:w="126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60325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33"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8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120" w:type="dxa"/>
            <w:vAlign w:val="bottom"/>
          </w:tcPr>
          <w:p>
            <w:pPr>
              <w:spacing w:after="0"/>
              <w:rPr>
                <w:sz w:val="20"/>
                <w:szCs w:val="20"/>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120" w:type="dxa"/>
            <w:vAlign w:val="bottom"/>
          </w:tcPr>
          <w:p>
            <w:pPr>
              <w:spacing w:after="0"/>
              <w:rPr>
                <w:sz w:val="20"/>
                <w:szCs w:val="20"/>
                <w:color w:val="auto"/>
              </w:rPr>
            </w:pP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c>
          <w:tcPr>
            <w:tcW w:w="0" w:type="dxa"/>
            <w:vAlign w:val="bottom"/>
          </w:tcPr>
          <w:p>
            <w:pPr>
              <w:spacing w:after="0"/>
              <w:rPr>
                <w:sz w:val="1"/>
                <w:szCs w:val="1"/>
                <w:color w:val="auto"/>
              </w:rPr>
            </w:pPr>
          </w:p>
        </w:tc>
      </w:tr>
      <w:tr>
        <w:trPr>
          <w:trHeight w:val="40"/>
        </w:trPr>
        <w:tc>
          <w:tcPr>
            <w:tcW w:w="4500" w:type="dxa"/>
            <w:vAlign w:val="bottom"/>
            <w:tcBorders>
              <w:bottom w:val="single" w:sz="8" w:color="auto"/>
            </w:tcBorders>
          </w:tcPr>
          <w:p>
            <w:pPr>
              <w:spacing w:after="0"/>
              <w:rPr>
                <w:sz w:val="3"/>
                <w:szCs w:val="3"/>
                <w:color w:val="auto"/>
              </w:rPr>
            </w:pPr>
          </w:p>
        </w:tc>
        <w:tc>
          <w:tcPr>
            <w:tcW w:w="120" w:type="dxa"/>
            <w:vAlign w:val="bottom"/>
            <w:vMerge w:val="restart"/>
          </w:tcPr>
          <w:p>
            <w:pPr>
              <w:spacing w:after="0"/>
              <w:rPr>
                <w:sz w:val="3"/>
                <w:szCs w:val="3"/>
                <w:color w:val="auto"/>
              </w:rPr>
            </w:pPr>
          </w:p>
        </w:tc>
        <w:tc>
          <w:tcPr>
            <w:tcW w:w="2020" w:type="dxa"/>
            <w:vAlign w:val="bottom"/>
            <w:tcBorders>
              <w:bottom w:val="single" w:sz="8" w:color="auto"/>
            </w:tcBorders>
          </w:tcPr>
          <w:p>
            <w:pPr>
              <w:spacing w:after="0"/>
              <w:rPr>
                <w:sz w:val="3"/>
                <w:szCs w:val="3"/>
                <w:color w:val="auto"/>
              </w:rPr>
            </w:pPr>
          </w:p>
        </w:tc>
        <w:tc>
          <w:tcPr>
            <w:tcW w:w="120" w:type="dxa"/>
            <w:vAlign w:val="bottom"/>
            <w:vMerge w:val="restart"/>
          </w:tcPr>
          <w:p>
            <w:pPr>
              <w:spacing w:after="0"/>
              <w:rPr>
                <w:sz w:val="3"/>
                <w:szCs w:val="3"/>
                <w:color w:val="auto"/>
              </w:rPr>
            </w:pPr>
          </w:p>
        </w:tc>
        <w:tc>
          <w:tcPr>
            <w:tcW w:w="44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Stock (Par Value $0.0001)</w:t>
            </w:r>
          </w:p>
        </w:tc>
        <w:tc>
          <w:tcPr>
            <w:tcW w:w="120" w:type="dxa"/>
            <w:vAlign w:val="bottom"/>
            <w:vMerge w:val="continue"/>
          </w:tcPr>
          <w:p>
            <w:pPr>
              <w:spacing w:after="0"/>
              <w:rPr>
                <w:sz w:val="19"/>
                <w:szCs w:val="19"/>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GLDD</w:t>
            </w:r>
          </w:p>
        </w:tc>
        <w:tc>
          <w:tcPr>
            <w:tcW w:w="120" w:type="dxa"/>
            <w:vAlign w:val="bottom"/>
            <w:vMerge w:val="continue"/>
          </w:tcPr>
          <w:p>
            <w:pPr>
              <w:spacing w:after="0"/>
              <w:rPr>
                <w:sz w:val="19"/>
                <w:szCs w:val="19"/>
                <w:color w:val="auto"/>
              </w:rPr>
            </w:pP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Nasdaq Stock Market, LLC</w:t>
            </w:r>
          </w:p>
        </w:tc>
        <w:tc>
          <w:tcPr>
            <w:tcW w:w="0" w:type="dxa"/>
            <w:vAlign w:val="bottom"/>
          </w:tcPr>
          <w:p>
            <w:pPr>
              <w:spacing w:after="0"/>
              <w:rPr>
                <w:sz w:val="1"/>
                <w:szCs w:val="1"/>
                <w:color w:val="auto"/>
              </w:rPr>
            </w:pPr>
          </w:p>
        </w:tc>
      </w:tr>
    </w:tbl>
    <w:p>
      <w:pPr>
        <w:spacing w:after="0" w:line="71" w:lineRule="exact"/>
        <w:rPr>
          <w:sz w:val="24"/>
          <w:szCs w:val="24"/>
          <w:color w:val="auto"/>
        </w:rPr>
      </w:pPr>
    </w:p>
    <w:p>
      <w:pPr>
        <w:ind w:right="60" w:firstLine="509"/>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9" w:lineRule="exact"/>
        <w:rPr>
          <w:sz w:val="24"/>
          <w:szCs w:val="24"/>
          <w:color w:val="auto"/>
        </w:rPr>
      </w:pPr>
    </w:p>
    <w:p>
      <w:pPr>
        <w:ind w:right="40" w:firstLine="509"/>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9" w:lineRule="exact"/>
        <w:rPr>
          <w:sz w:val="24"/>
          <w:szCs w:val="24"/>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Layout w:type="fixed"/>
        <w:tblInd w:w="0" w:type="dxa"/>
        <w:tblCellMar>
          <w:top w:w="0" w:type="dxa"/>
          <w:left w:w="0" w:type="dxa"/>
          <w:bottom w:w="0" w:type="dxa"/>
          <w:right w:w="0" w:type="dxa"/>
        </w:tblCellMar>
      </w:tblPr>
      <w:tr>
        <w:trPr>
          <w:trHeight w:val="221"/>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38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5100" w:type="dxa"/>
            <w:vAlign w:val="bottom"/>
          </w:tcPr>
          <w:p>
            <w:pPr>
              <w:ind w:left="2880"/>
              <w:spacing w:after="0"/>
              <w:rPr>
                <w:sz w:val="20"/>
                <w:szCs w:val="20"/>
                <w:color w:val="auto"/>
              </w:rPr>
            </w:pPr>
            <w:r>
              <w:rPr>
                <w:rFonts w:ascii="Times New Roman" w:cs="Times New Roman" w:eastAsia="Times New Roman" w:hAnsi="Times New Roman"/>
                <w:sz w:val="18"/>
                <w:szCs w:val="18"/>
                <w:color w:val="auto"/>
              </w:rPr>
              <w:t>Accelerated filer</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38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5100" w:type="dxa"/>
            <w:vAlign w:val="bottom"/>
          </w:tcPr>
          <w:p>
            <w:pPr>
              <w:ind w:left="28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338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5100" w:type="dxa"/>
            <w:vAlign w:val="bottom"/>
          </w:tcPr>
          <w:p>
            <w:pPr>
              <w:spacing w:after="0"/>
              <w:rPr>
                <w:sz w:val="24"/>
                <w:szCs w:val="24"/>
                <w:color w:val="auto"/>
              </w:rPr>
            </w:pPr>
          </w:p>
        </w:tc>
        <w:tc>
          <w:tcPr>
            <w:tcW w:w="400" w:type="dxa"/>
            <w:vAlign w:val="bottom"/>
          </w:tcPr>
          <w:p>
            <w:pPr>
              <w:spacing w:after="0"/>
              <w:rPr>
                <w:sz w:val="24"/>
                <w:szCs w:val="24"/>
                <w:color w:val="auto"/>
              </w:rPr>
            </w:pPr>
          </w:p>
        </w:tc>
      </w:tr>
    </w:tbl>
    <w:p>
      <w:pPr>
        <w:spacing w:after="0" w:line="3" w:lineRule="exact"/>
        <w:rPr>
          <w:sz w:val="24"/>
          <w:szCs w:val="24"/>
          <w:color w:val="auto"/>
        </w:rPr>
      </w:pPr>
    </w:p>
    <w:p>
      <w:pPr>
        <w:ind w:right="300" w:firstLine="509"/>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ind w:left="520" w:right="1180"/>
        <w:spacing w:after="0" w:line="27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As of August 1, 2025, 67,995,301 shares of the Registrant’s Common Stock, par value $.0001 per share,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2"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Great Lakes Dredge &amp; Dock Corporation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Quarterly Report Pursuant to Section 13 or 15(d) of the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2025</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90"/>
        </w:trPr>
        <w:tc>
          <w:tcPr>
            <w:tcW w:w="1140" w:type="dxa"/>
            <w:vAlign w:val="bottom"/>
          </w:tcPr>
          <w:p>
            <w:pPr>
              <w:spacing w:after="0"/>
              <w:rPr>
                <w:sz w:val="24"/>
                <w:szCs w:val="24"/>
                <w:color w:val="auto"/>
              </w:rPr>
            </w:pPr>
          </w:p>
        </w:tc>
        <w:tc>
          <w:tcPr>
            <w:tcW w:w="9220" w:type="dxa"/>
            <w:vAlign w:val="bottom"/>
            <w:gridSpan w:val="18"/>
          </w:tcPr>
          <w:p>
            <w:pPr>
              <w:spacing w:after="0"/>
              <w:rPr>
                <w:sz w:val="20"/>
                <w:szCs w:val="20"/>
                <w:color w:val="auto"/>
              </w:rPr>
            </w:pPr>
            <w:r>
              <w:rPr>
                <w:rFonts w:ascii="Times New Roman" w:cs="Times New Roman" w:eastAsia="Times New Roman" w:hAnsi="Times New Roman"/>
                <w:sz w:val="18"/>
                <w:szCs w:val="18"/>
                <w:b w:val="1"/>
                <w:bCs w:val="1"/>
                <w:color w:val="0000FF"/>
              </w:rPr>
              <w:t>Part I Financial Information (Unaudited)</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114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31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92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Financial Statements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114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318"/>
        </w:trPr>
        <w:tc>
          <w:tcPr>
            <w:tcW w:w="1140" w:type="dxa"/>
            <w:vAlign w:val="bottom"/>
          </w:tcPr>
          <w:p>
            <w:pPr>
              <w:spacing w:after="0"/>
              <w:rPr>
                <w:sz w:val="24"/>
                <w:szCs w:val="24"/>
                <w:color w:val="auto"/>
              </w:rPr>
            </w:pPr>
          </w:p>
        </w:tc>
        <w:tc>
          <w:tcPr>
            <w:tcW w:w="92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Condensed Consolidated Balance Sheets at June 30, 2025 and December 31, 2024</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1140" w:type="dxa"/>
            <w:vAlign w:val="bottom"/>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80" w:type="dxa"/>
            <w:vAlign w:val="bottom"/>
            <w:tcBorders>
              <w:right w:val="single" w:sz="8" w:color="0000FF"/>
            </w:tcBorders>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58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318"/>
        </w:trPr>
        <w:tc>
          <w:tcPr>
            <w:tcW w:w="1140" w:type="dxa"/>
            <w:vAlign w:val="bottom"/>
          </w:tcPr>
          <w:p>
            <w:pPr>
              <w:spacing w:after="0"/>
              <w:rPr>
                <w:sz w:val="24"/>
                <w:szCs w:val="24"/>
                <w:color w:val="auto"/>
              </w:rPr>
            </w:pPr>
          </w:p>
        </w:tc>
        <w:tc>
          <w:tcPr>
            <w:tcW w:w="808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Operations for the Three and Six Months Ended June 30, 2025 and 2024</w:t>
            </w:r>
          </w:p>
        </w:tc>
        <w:tc>
          <w:tcPr>
            <w:tcW w:w="1140" w:type="dxa"/>
            <w:vAlign w:val="bottom"/>
            <w:gridSpan w:val="2"/>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318"/>
        </w:trPr>
        <w:tc>
          <w:tcPr>
            <w:tcW w:w="1140" w:type="dxa"/>
            <w:vAlign w:val="bottom"/>
          </w:tcPr>
          <w:p>
            <w:pPr>
              <w:spacing w:after="0"/>
              <w:rPr>
                <w:sz w:val="24"/>
                <w:szCs w:val="24"/>
                <w:color w:val="auto"/>
              </w:rPr>
            </w:pPr>
          </w:p>
        </w:tc>
        <w:tc>
          <w:tcPr>
            <w:tcW w:w="92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Condensed Consolidated Statements of Comprehensive Income for the Three and Six Months Ended June 30, 2025 and 2024</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318"/>
        </w:trPr>
        <w:tc>
          <w:tcPr>
            <w:tcW w:w="1140" w:type="dxa"/>
            <w:vAlign w:val="bottom"/>
          </w:tcPr>
          <w:p>
            <w:pPr>
              <w:spacing w:after="0"/>
              <w:rPr>
                <w:sz w:val="24"/>
                <w:szCs w:val="24"/>
                <w:color w:val="auto"/>
              </w:rPr>
            </w:pPr>
          </w:p>
        </w:tc>
        <w:tc>
          <w:tcPr>
            <w:tcW w:w="9000" w:type="dxa"/>
            <w:vAlign w:val="bottom"/>
            <w:tcBorders>
              <w:top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rPr>
              <w:t>Condensed Consolidated Statements of Equity for the Three and Six Months Ended June 30, 2025 and 2024</w:t>
            </w:r>
          </w:p>
        </w:tc>
        <w:tc>
          <w:tcPr>
            <w:tcW w:w="2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0"/>
        </w:trPr>
        <w:tc>
          <w:tcPr>
            <w:tcW w:w="1140" w:type="dxa"/>
            <w:vAlign w:val="bottom"/>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80" w:type="dxa"/>
            <w:vAlign w:val="bottom"/>
            <w:tcBorders>
              <w:right w:val="single" w:sz="8" w:color="0000FF"/>
            </w:tcBorders>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120" w:type="dxa"/>
            <w:vAlign w:val="bottom"/>
            <w:tcBorders>
              <w:left w:val="single" w:sz="8" w:color="0000FF"/>
            </w:tcBorders>
            <w:gridSpan w:val="2"/>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318"/>
        </w:trPr>
        <w:tc>
          <w:tcPr>
            <w:tcW w:w="1140" w:type="dxa"/>
            <w:vAlign w:val="bottom"/>
          </w:tcPr>
          <w:p>
            <w:pPr>
              <w:spacing w:after="0"/>
              <w:rPr>
                <w:sz w:val="24"/>
                <w:szCs w:val="24"/>
                <w:color w:val="auto"/>
              </w:rPr>
            </w:pPr>
          </w:p>
        </w:tc>
        <w:tc>
          <w:tcPr>
            <w:tcW w:w="92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for the Six Months Ended June 30, 2025 and 2024</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0"/>
        </w:trPr>
        <w:tc>
          <w:tcPr>
            <w:tcW w:w="114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80" w:type="dxa"/>
            <w:vAlign w:val="bottom"/>
            <w:tcBorders>
              <w:right w:val="single" w:sz="8" w:color="0000FF"/>
            </w:tcBorders>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120" w:type="dxa"/>
            <w:vAlign w:val="bottom"/>
            <w:tcBorders>
              <w:left w:val="single" w:sz="8" w:color="0000FF"/>
            </w:tcBorders>
            <w:gridSpan w:val="2"/>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860" w:type="dxa"/>
            <w:vAlign w:val="bottom"/>
            <w:gridSpan w:val="4"/>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318"/>
        </w:trPr>
        <w:tc>
          <w:tcPr>
            <w:tcW w:w="1140" w:type="dxa"/>
            <w:vAlign w:val="bottom"/>
          </w:tcPr>
          <w:p>
            <w:pPr>
              <w:spacing w:after="0"/>
              <w:rPr>
                <w:sz w:val="24"/>
                <w:szCs w:val="24"/>
                <w:color w:val="auto"/>
              </w:rPr>
            </w:pPr>
          </w:p>
        </w:tc>
        <w:tc>
          <w:tcPr>
            <w:tcW w:w="92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0"/>
        </w:trPr>
        <w:tc>
          <w:tcPr>
            <w:tcW w:w="114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80" w:type="dxa"/>
            <w:vAlign w:val="bottom"/>
            <w:tcBorders>
              <w:right w:val="single" w:sz="8" w:color="0000EE"/>
            </w:tcBorders>
            <w:gridSpan w:val="2"/>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2760" w:type="dxa"/>
            <w:vAlign w:val="bottom"/>
            <w:gridSpan w:val="5"/>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31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2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0"/>
        </w:trPr>
        <w:tc>
          <w:tcPr>
            <w:tcW w:w="114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20" w:type="dxa"/>
            <w:vAlign w:val="bottom"/>
            <w:gridSpan w:val="3"/>
            <w:shd w:val="clear" w:color="auto" w:fill="0000FF"/>
          </w:tcPr>
          <w:p>
            <w:pPr>
              <w:spacing w:after="0" w:line="20" w:lineRule="exact"/>
              <w:rPr>
                <w:sz w:val="1"/>
                <w:szCs w:val="1"/>
                <w:color w:val="auto"/>
              </w:rPr>
            </w:pPr>
          </w:p>
        </w:tc>
        <w:tc>
          <w:tcPr>
            <w:tcW w:w="2120" w:type="dxa"/>
            <w:vAlign w:val="bottom"/>
            <w:tcBorders>
              <w:left w:val="single" w:sz="8" w:color="0000FF"/>
            </w:tcBorders>
            <w:gridSpan w:val="2"/>
            <w:shd w:val="clear" w:color="auto" w:fill="0000FF"/>
          </w:tcPr>
          <w:p>
            <w:pPr>
              <w:spacing w:after="0" w:line="20" w:lineRule="exact"/>
              <w:rPr>
                <w:sz w:val="1"/>
                <w:szCs w:val="1"/>
                <w:color w:val="auto"/>
              </w:rPr>
            </w:pPr>
          </w:p>
        </w:tc>
        <w:tc>
          <w:tcPr>
            <w:tcW w:w="2760" w:type="dxa"/>
            <w:vAlign w:val="bottom"/>
            <w:gridSpan w:val="5"/>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31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92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0"/>
        </w:trPr>
        <w:tc>
          <w:tcPr>
            <w:tcW w:w="114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20" w:type="dxa"/>
            <w:vAlign w:val="bottom"/>
            <w:gridSpan w:val="3"/>
            <w:shd w:val="clear" w:color="auto" w:fill="0000FF"/>
          </w:tcPr>
          <w:p>
            <w:pPr>
              <w:spacing w:after="0" w:line="20" w:lineRule="exact"/>
              <w:rPr>
                <w:sz w:val="1"/>
                <w:szCs w:val="1"/>
                <w:color w:val="auto"/>
              </w:rPr>
            </w:pPr>
          </w:p>
        </w:tc>
        <w:tc>
          <w:tcPr>
            <w:tcW w:w="4880" w:type="dxa"/>
            <w:vAlign w:val="bottom"/>
            <w:tcBorders>
              <w:left w:val="single" w:sz="8" w:color="0000FF"/>
            </w:tcBorders>
            <w:gridSpan w:val="7"/>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31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92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0"/>
        </w:trPr>
        <w:tc>
          <w:tcPr>
            <w:tcW w:w="114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880" w:type="dxa"/>
            <w:vAlign w:val="bottom"/>
            <w:gridSpan w:val="7"/>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318"/>
        </w:trPr>
        <w:tc>
          <w:tcPr>
            <w:tcW w:w="1140" w:type="dxa"/>
            <w:vAlign w:val="bottom"/>
          </w:tcPr>
          <w:p>
            <w:pPr>
              <w:spacing w:after="0"/>
              <w:rPr>
                <w:sz w:val="24"/>
                <w:szCs w:val="24"/>
                <w:color w:val="auto"/>
              </w:rPr>
            </w:pPr>
          </w:p>
        </w:tc>
        <w:tc>
          <w:tcPr>
            <w:tcW w:w="9220" w:type="dxa"/>
            <w:vAlign w:val="bottom"/>
            <w:gridSpan w:val="18"/>
          </w:tcPr>
          <w:p>
            <w:pPr>
              <w:spacing w:after="0"/>
              <w:rPr>
                <w:sz w:val="20"/>
                <w:szCs w:val="20"/>
                <w:color w:val="auto"/>
              </w:rPr>
            </w:pPr>
            <w:r>
              <w:rPr>
                <w:rFonts w:ascii="Times New Roman" w:cs="Times New Roman" w:eastAsia="Times New Roman" w:hAnsi="Times New Roman"/>
                <w:sz w:val="18"/>
                <w:szCs w:val="18"/>
                <w:b w:val="1"/>
                <w:bCs w:val="1"/>
                <w:color w:val="0000FF"/>
              </w:rPr>
              <w:t>Part II Other Information</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0"/>
        </w:trPr>
        <w:tc>
          <w:tcPr>
            <w:tcW w:w="114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00" w:type="dxa"/>
            <w:vAlign w:val="bottom"/>
            <w:tcBorders>
              <w:left w:val="single" w:sz="8" w:color="0000FF"/>
            </w:tcBorders>
            <w:gridSpan w:val="3"/>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880" w:type="dxa"/>
            <w:vAlign w:val="bottom"/>
            <w:gridSpan w:val="7"/>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317"/>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92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0"/>
        </w:trPr>
        <w:tc>
          <w:tcPr>
            <w:tcW w:w="114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20" w:type="dxa"/>
            <w:vAlign w:val="bottom"/>
            <w:tcBorders>
              <w:left w:val="single" w:sz="8" w:color="0000FF"/>
            </w:tcBorders>
            <w:gridSpan w:val="4"/>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880" w:type="dxa"/>
            <w:vAlign w:val="bottom"/>
            <w:gridSpan w:val="7"/>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31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92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0"/>
        </w:trPr>
        <w:tc>
          <w:tcPr>
            <w:tcW w:w="114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880" w:type="dxa"/>
            <w:vAlign w:val="bottom"/>
            <w:gridSpan w:val="7"/>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31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2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0"/>
        </w:trPr>
        <w:tc>
          <w:tcPr>
            <w:tcW w:w="114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4"/>
            <w:shd w:val="clear" w:color="auto" w:fill="0000FF"/>
          </w:tcPr>
          <w:p>
            <w:pPr>
              <w:spacing w:after="0" w:line="20" w:lineRule="exact"/>
              <w:rPr>
                <w:sz w:val="1"/>
                <w:szCs w:val="1"/>
                <w:color w:val="auto"/>
              </w:rPr>
            </w:pPr>
          </w:p>
        </w:tc>
        <w:tc>
          <w:tcPr>
            <w:tcW w:w="2020" w:type="dxa"/>
            <w:vAlign w:val="bottom"/>
            <w:gridSpan w:val="3"/>
            <w:shd w:val="clear" w:color="auto" w:fill="0000FF"/>
          </w:tcPr>
          <w:p>
            <w:pPr>
              <w:spacing w:after="0" w:line="20" w:lineRule="exact"/>
              <w:rPr>
                <w:sz w:val="1"/>
                <w:szCs w:val="1"/>
                <w:color w:val="auto"/>
              </w:rPr>
            </w:pPr>
          </w:p>
        </w:tc>
        <w:tc>
          <w:tcPr>
            <w:tcW w:w="4880" w:type="dxa"/>
            <w:vAlign w:val="bottom"/>
            <w:gridSpan w:val="7"/>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31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92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0"/>
        </w:trPr>
        <w:tc>
          <w:tcPr>
            <w:tcW w:w="114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4"/>
            <w:shd w:val="clear" w:color="auto" w:fill="0000FF"/>
          </w:tcPr>
          <w:p>
            <w:pPr>
              <w:spacing w:after="0" w:line="20" w:lineRule="exact"/>
              <w:rPr>
                <w:sz w:val="1"/>
                <w:szCs w:val="1"/>
                <w:color w:val="auto"/>
              </w:rPr>
            </w:pPr>
          </w:p>
        </w:tc>
        <w:tc>
          <w:tcPr>
            <w:tcW w:w="6900" w:type="dxa"/>
            <w:vAlign w:val="bottom"/>
            <w:gridSpan w:val="1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31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92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0"/>
        </w:trPr>
        <w:tc>
          <w:tcPr>
            <w:tcW w:w="114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7460" w:type="dxa"/>
            <w:vAlign w:val="bottom"/>
            <w:gridSpan w:val="1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31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92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0"/>
        </w:trPr>
        <w:tc>
          <w:tcPr>
            <w:tcW w:w="114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7920" w:type="dxa"/>
            <w:vAlign w:val="bottom"/>
            <w:gridSpan w:val="14"/>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31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92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Exhibits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0"/>
        </w:trPr>
        <w:tc>
          <w:tcPr>
            <w:tcW w:w="114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EE"/>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80" w:type="dxa"/>
            <w:vAlign w:val="bottom"/>
            <w:gridSpan w:val="16"/>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318"/>
        </w:trPr>
        <w:tc>
          <w:tcPr>
            <w:tcW w:w="1140" w:type="dxa"/>
            <w:vAlign w:val="bottom"/>
          </w:tcPr>
          <w:p>
            <w:pPr>
              <w:spacing w:after="0"/>
              <w:rPr>
                <w:sz w:val="24"/>
                <w:szCs w:val="24"/>
                <w:color w:val="auto"/>
              </w:rPr>
            </w:pPr>
          </w:p>
        </w:tc>
        <w:tc>
          <w:tcPr>
            <w:tcW w:w="9220" w:type="dxa"/>
            <w:vAlign w:val="bottom"/>
            <w:gridSpan w:val="18"/>
          </w:tcPr>
          <w:p>
            <w:pPr>
              <w:spacing w:after="0"/>
              <w:rPr>
                <w:sz w:val="20"/>
                <w:szCs w:val="20"/>
                <w:color w:val="auto"/>
              </w:rPr>
            </w:pPr>
            <w:r>
              <w:rPr>
                <w:rFonts w:ascii="Times New Roman" w:cs="Times New Roman" w:eastAsia="Times New Roman" w:hAnsi="Times New Roman"/>
                <w:sz w:val="18"/>
                <w:szCs w:val="18"/>
                <w:b w:val="1"/>
                <w:bCs w:val="1"/>
                <w:color w:val="0000FF"/>
              </w:rPr>
              <w:t>Signature</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790"/>
        </w:trPr>
        <w:tc>
          <w:tcPr>
            <w:tcW w:w="1140" w:type="dxa"/>
            <w:vAlign w:val="bottom"/>
          </w:tcPr>
          <w:p>
            <w:pPr>
              <w:spacing w:after="0"/>
              <w:rPr>
                <w:sz w:val="24"/>
                <w:szCs w:val="24"/>
                <w:color w:val="auto"/>
              </w:rPr>
            </w:pPr>
          </w:p>
        </w:tc>
        <w:tc>
          <w:tcPr>
            <w:tcW w:w="740" w:type="dxa"/>
            <w:vAlign w:val="bottom"/>
            <w:tcBorders>
              <w:top w:val="single" w:sz="8" w:color="0000FF"/>
            </w:tcBorders>
            <w:gridSpan w:val="2"/>
          </w:tcPr>
          <w:p>
            <w:pPr>
              <w:spacing w:after="0"/>
              <w:rPr>
                <w:sz w:val="24"/>
                <w:szCs w:val="24"/>
                <w:color w:val="auto"/>
              </w:rPr>
            </w:pPr>
          </w:p>
        </w:tc>
        <w:tc>
          <w:tcPr>
            <w:tcW w:w="5180" w:type="dxa"/>
            <w:vAlign w:val="bottom"/>
            <w:gridSpan w:val="10"/>
          </w:tcPr>
          <w:p>
            <w:pPr>
              <w:jc w:val="right"/>
              <w:ind w:right="1400"/>
              <w:spacing w:after="0"/>
              <w:rPr>
                <w:sz w:val="20"/>
                <w:szCs w:val="20"/>
                <w:color w:val="auto"/>
              </w:rPr>
            </w:pPr>
            <w:r>
              <w:rPr>
                <w:rFonts w:ascii="Times New Roman" w:cs="Times New Roman" w:eastAsia="Times New Roman" w:hAnsi="Times New Roman"/>
                <w:sz w:val="18"/>
                <w:szCs w:val="18"/>
                <w:color w:val="auto"/>
              </w:rPr>
              <w:t>2</w:t>
            </w:r>
          </w:p>
        </w:tc>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763"/>
        </w:trPr>
        <w:tc>
          <w:tcPr>
            <w:tcW w:w="11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GREAT LAKES DREDGE &amp; DOCK CORPORATION AND SUBSIDIARIES</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300" w:type="dxa"/>
            <w:vAlign w:val="bottom"/>
            <w:gridSpan w:val="2"/>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6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70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r>
      <w:tr>
        <w:trPr>
          <w:trHeight w:val="210"/>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4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2,925</w:t>
            </w:r>
          </w:p>
        </w:tc>
        <w:tc>
          <w:tcPr>
            <w:tcW w:w="18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10,216</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receivable—net</w:t>
            </w:r>
          </w:p>
        </w:tc>
        <w:tc>
          <w:tcPr>
            <w:tcW w:w="4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111,087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118,030</w:t>
            </w: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Contract revenues in excess of billings</w:t>
            </w:r>
          </w:p>
        </w:tc>
        <w:tc>
          <w:tcPr>
            <w:tcW w:w="4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59,182</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74,197</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Inventories</w:t>
            </w:r>
          </w:p>
        </w:tc>
        <w:tc>
          <w:tcPr>
            <w:tcW w:w="4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26,592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29,866</w:t>
            </w: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Prepaid expenses</w:t>
            </w:r>
          </w:p>
        </w:tc>
        <w:tc>
          <w:tcPr>
            <w:tcW w:w="4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1,721</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2,828</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current assets</w:t>
            </w:r>
          </w:p>
        </w:tc>
        <w:tc>
          <w:tcPr>
            <w:tcW w:w="4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20,465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28,281</w:t>
            </w:r>
          </w:p>
        </w:tc>
        <w:tc>
          <w:tcPr>
            <w:tcW w:w="120" w:type="dxa"/>
            <w:vAlign w:val="bottom"/>
          </w:tcPr>
          <w:p>
            <w:pPr>
              <w:spacing w:after="0"/>
              <w:rPr>
                <w:sz w:val="18"/>
                <w:szCs w:val="18"/>
                <w:color w:val="auto"/>
              </w:rPr>
            </w:pPr>
          </w:p>
        </w:tc>
      </w:tr>
      <w:tr>
        <w:trPr>
          <w:trHeight w:val="209"/>
        </w:trPr>
        <w:tc>
          <w:tcPr>
            <w:tcW w:w="770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Total current assets</w:t>
            </w:r>
          </w:p>
        </w:tc>
        <w:tc>
          <w:tcPr>
            <w:tcW w:w="4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221,972</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263,418</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AND EQUIPMENT—Net</w:t>
            </w:r>
          </w:p>
        </w:tc>
        <w:tc>
          <w:tcPr>
            <w:tcW w:w="4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757,924</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703,252</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ASSETS</w:t>
            </w:r>
          </w:p>
        </w:tc>
        <w:tc>
          <w:tcPr>
            <w:tcW w:w="4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71,339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96,099</w:t>
            </w: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GOODWILL</w:t>
            </w:r>
          </w:p>
        </w:tc>
        <w:tc>
          <w:tcPr>
            <w:tcW w:w="4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76,576</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76,576</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INVENTORIES—Noncurrent</w:t>
            </w:r>
          </w:p>
        </w:tc>
        <w:tc>
          <w:tcPr>
            <w:tcW w:w="4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100,155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95,269</w:t>
            </w:r>
          </w:p>
        </w:tc>
        <w:tc>
          <w:tcPr>
            <w:tcW w:w="120" w:type="dxa"/>
            <w:vAlign w:val="bottom"/>
          </w:tcPr>
          <w:p>
            <w:pPr>
              <w:spacing w:after="0"/>
              <w:rPr>
                <w:sz w:val="18"/>
                <w:szCs w:val="18"/>
                <w:color w:val="auto"/>
              </w:rPr>
            </w:pPr>
          </w:p>
        </w:tc>
      </w:tr>
      <w:tr>
        <w:trPr>
          <w:trHeight w:val="216"/>
        </w:trPr>
        <w:tc>
          <w:tcPr>
            <w:tcW w:w="7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44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13,684</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20,489</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1,241,650</w:t>
            </w:r>
          </w:p>
        </w:tc>
        <w:tc>
          <w:tcPr>
            <w:tcW w:w="180" w:type="dxa"/>
            <w:vAlign w:val="bottom"/>
          </w:tcPr>
          <w:p>
            <w:pPr>
              <w:spacing w:after="0"/>
              <w:rPr>
                <w:sz w:val="18"/>
                <w:szCs w:val="18"/>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1,255,103</w:t>
            </w:r>
          </w:p>
        </w:tc>
        <w:tc>
          <w:tcPr>
            <w:tcW w:w="120" w:type="dxa"/>
            <w:vAlign w:val="bottom"/>
          </w:tcPr>
          <w:p>
            <w:pPr>
              <w:spacing w:after="0"/>
              <w:rPr>
                <w:sz w:val="18"/>
                <w:szCs w:val="18"/>
                <w:color w:val="auto"/>
              </w:rPr>
            </w:pPr>
          </w:p>
        </w:tc>
      </w:tr>
      <w:tr>
        <w:trPr>
          <w:trHeight w:val="20"/>
        </w:trPr>
        <w:tc>
          <w:tcPr>
            <w:tcW w:w="77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770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4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99,158</w:t>
            </w:r>
          </w:p>
        </w:tc>
        <w:tc>
          <w:tcPr>
            <w:tcW w:w="180" w:type="dxa"/>
            <w:vAlign w:val="bottom"/>
          </w:tcPr>
          <w:p>
            <w:pPr>
              <w:spacing w:after="0"/>
              <w:rPr>
                <w:sz w:val="18"/>
                <w:szCs w:val="18"/>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101,309</w:t>
            </w: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Accrued expenses</w:t>
            </w:r>
          </w:p>
        </w:tc>
        <w:tc>
          <w:tcPr>
            <w:tcW w:w="4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32,896</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41,640</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4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31,494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47,268</w:t>
            </w:r>
          </w:p>
        </w:tc>
        <w:tc>
          <w:tcPr>
            <w:tcW w:w="120" w:type="dxa"/>
            <w:vAlign w:val="bottom"/>
          </w:tcPr>
          <w:p>
            <w:pPr>
              <w:spacing w:after="0"/>
              <w:rPr>
                <w:sz w:val="18"/>
                <w:szCs w:val="18"/>
                <w:color w:val="auto"/>
              </w:rPr>
            </w:pPr>
          </w:p>
        </w:tc>
      </w:tr>
      <w:tr>
        <w:trPr>
          <w:trHeight w:val="216"/>
        </w:trPr>
        <w:tc>
          <w:tcPr>
            <w:tcW w:w="770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Billings in excess of contract revenues</w:t>
            </w:r>
          </w:p>
        </w:tc>
        <w:tc>
          <w:tcPr>
            <w:tcW w:w="44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28,756</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25,796</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77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4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192,304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216,013</w:t>
            </w: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4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419,619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448,216</w:t>
            </w: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LIABILITIES—Noncurrent</w:t>
            </w:r>
          </w:p>
        </w:tc>
        <w:tc>
          <w:tcPr>
            <w:tcW w:w="4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40,979</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50,432</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4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92,365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78,985</w:t>
            </w:r>
          </w:p>
        </w:tc>
        <w:tc>
          <w:tcPr>
            <w:tcW w:w="120" w:type="dxa"/>
            <w:vAlign w:val="bottom"/>
          </w:tcPr>
          <w:p>
            <w:pPr>
              <w:spacing w:after="0"/>
              <w:rPr>
                <w:sz w:val="18"/>
                <w:szCs w:val="18"/>
                <w:color w:val="auto"/>
              </w:rPr>
            </w:pPr>
          </w:p>
        </w:tc>
      </w:tr>
      <w:tr>
        <w:trPr>
          <w:trHeight w:val="216"/>
        </w:trPr>
        <w:tc>
          <w:tcPr>
            <w:tcW w:w="7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44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14,514</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12,547</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77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Total liabilities</w:t>
            </w:r>
          </w:p>
        </w:tc>
        <w:tc>
          <w:tcPr>
            <w:tcW w:w="4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759,781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806,193</w:t>
            </w: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 (Note 9)</w:t>
            </w:r>
          </w:p>
        </w:tc>
        <w:tc>
          <w:tcPr>
            <w:tcW w:w="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EQUITY:</w:t>
            </w:r>
          </w:p>
        </w:tc>
        <w:tc>
          <w:tcPr>
            <w:tcW w:w="4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198"/>
        </w:trPr>
        <w:tc>
          <w:tcPr>
            <w:tcW w:w="770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Common stock—$.0001 par value; 170,000 shares authorized, 67,993 and 67,280 shares issued at</w:t>
            </w:r>
          </w:p>
        </w:tc>
        <w:tc>
          <w:tcPr>
            <w:tcW w:w="4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June 30, 2025 and December 31, 2024, respectively, and 66,681 and 67,280 shares outstanding at</w:t>
            </w:r>
          </w:p>
        </w:tc>
        <w:tc>
          <w:tcPr>
            <w:tcW w:w="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June 30, 2025 and December 31, 2024, respectively.</w:t>
            </w:r>
          </w:p>
        </w:tc>
        <w:tc>
          <w:tcPr>
            <w:tcW w:w="4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20"/>
                <w:szCs w:val="20"/>
                <w:color w:val="auto"/>
              </w:rPr>
            </w:pPr>
          </w:p>
        </w:tc>
      </w:tr>
      <w:tr>
        <w:trPr>
          <w:trHeight w:val="216"/>
        </w:trPr>
        <w:tc>
          <w:tcPr>
            <w:tcW w:w="77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Treasury stock; 1,312 and zero shares at June 30, 2025 and December 31, 2024, respectively.</w:t>
            </w:r>
          </w:p>
        </w:tc>
        <w:tc>
          <w:tcPr>
            <w:tcW w:w="44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(11,594)</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4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323,613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322,383</w:t>
            </w: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Accumulated retained earnings</w:t>
            </w:r>
          </w:p>
        </w:tc>
        <w:tc>
          <w:tcPr>
            <w:tcW w:w="4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170,596</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127,485</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44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(753)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(965)</w:t>
            </w:r>
          </w:p>
        </w:tc>
      </w:tr>
      <w:tr>
        <w:trPr>
          <w:trHeight w:val="210"/>
        </w:trPr>
        <w:tc>
          <w:tcPr>
            <w:tcW w:w="7700" w:type="dxa"/>
            <w:vAlign w:val="bottom"/>
            <w:tcBorders>
              <w:top w:val="single" w:sz="8" w:color="CFF0FC"/>
              <w:bottom w:val="single" w:sz="8" w:color="CFF0FC"/>
            </w:tcBorders>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Total equity</w:t>
            </w:r>
          </w:p>
        </w:tc>
        <w:tc>
          <w:tcPr>
            <w:tcW w:w="440" w:type="dxa"/>
            <w:vAlign w:val="bottom"/>
            <w:tcBorders>
              <w:top w:val="single" w:sz="8" w:color="auto"/>
              <w:bottom w:val="single" w:sz="8" w:color="auto"/>
            </w:tcBorders>
            <w:shd w:val="clear" w:color="auto" w:fill="CFF0FC"/>
          </w:tcPr>
          <w:p>
            <w:pPr>
              <w:spacing w:after="0"/>
              <w:rPr>
                <w:sz w:val="18"/>
                <w:szCs w:val="18"/>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481,869</w:t>
            </w:r>
          </w:p>
        </w:tc>
        <w:tc>
          <w:tcPr>
            <w:tcW w:w="18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448,910</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9"/>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1,241,650</w:t>
            </w:r>
          </w:p>
        </w:tc>
        <w:tc>
          <w:tcPr>
            <w:tcW w:w="180" w:type="dxa"/>
            <w:vAlign w:val="bottom"/>
          </w:tcPr>
          <w:p>
            <w:pPr>
              <w:spacing w:after="0"/>
              <w:rPr>
                <w:sz w:val="18"/>
                <w:szCs w:val="18"/>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1,255,103</w:t>
            </w:r>
          </w:p>
        </w:tc>
        <w:tc>
          <w:tcPr>
            <w:tcW w:w="120" w:type="dxa"/>
            <w:vAlign w:val="bottom"/>
          </w:tcPr>
          <w:p>
            <w:pPr>
              <w:spacing w:after="0"/>
              <w:rPr>
                <w:sz w:val="18"/>
                <w:szCs w:val="18"/>
                <w:color w:val="auto"/>
              </w:rPr>
            </w:pPr>
          </w:p>
        </w:tc>
      </w:tr>
      <w:tr>
        <w:trPr>
          <w:trHeight w:val="20"/>
        </w:trPr>
        <w:tc>
          <w:tcPr>
            <w:tcW w:w="77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5"/>
        </w:trPr>
        <w:tc>
          <w:tcPr>
            <w:tcW w:w="8140" w:type="dxa"/>
            <w:vAlign w:val="bottom"/>
            <w:gridSpan w:val="2"/>
          </w:tcPr>
          <w:p>
            <w:pPr>
              <w:ind w:left="3180"/>
              <w:spacing w:after="0"/>
              <w:rPr>
                <w:sz w:val="20"/>
                <w:szCs w:val="20"/>
                <w:color w:val="auto"/>
              </w:rPr>
            </w:pPr>
            <w:r>
              <w:rPr>
                <w:rFonts w:ascii="Times New Roman" w:cs="Times New Roman" w:eastAsia="Times New Roman" w:hAnsi="Times New Roman"/>
                <w:sz w:val="18"/>
                <w:szCs w:val="18"/>
                <w:color w:val="auto"/>
              </w:rPr>
              <w:t>See notes to unaudited condensed consolidated financial statements.</w:t>
            </w: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414"/>
        </w:trPr>
        <w:tc>
          <w:tcPr>
            <w:tcW w:w="7700" w:type="dxa"/>
            <w:vAlign w:val="bottom"/>
          </w:tcPr>
          <w:p>
            <w:pPr>
              <w:ind w:left="5580"/>
              <w:spacing w:after="0"/>
              <w:rPr>
                <w:sz w:val="20"/>
                <w:szCs w:val="20"/>
                <w:color w:val="auto"/>
              </w:rPr>
            </w:pPr>
            <w:r>
              <w:rPr>
                <w:rFonts w:ascii="Times New Roman" w:cs="Times New Roman" w:eastAsia="Times New Roman" w:hAnsi="Times New Roman"/>
                <w:sz w:val="18"/>
                <w:szCs w:val="18"/>
                <w:color w:val="auto"/>
              </w:rPr>
              <w:t>3</w:t>
            </w: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763"/>
        </w:trPr>
        <w:tc>
          <w:tcPr>
            <w:tcW w:w="77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-4705350</wp:posOffset>
            </wp:positionV>
            <wp:extent cx="685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-4705350</wp:posOffset>
            </wp:positionV>
            <wp:extent cx="7747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-3573780</wp:posOffset>
            </wp:positionV>
            <wp:extent cx="685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-3573780</wp:posOffset>
            </wp:positionV>
            <wp:extent cx="7747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-2742565</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-2742565</wp:posOffset>
            </wp:positionV>
            <wp:extent cx="7747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5864225</wp:posOffset>
            </wp:positionH>
            <wp:positionV relativeFrom="paragraph">
              <wp:posOffset>-1237615</wp:posOffset>
            </wp:positionV>
            <wp:extent cx="93980" cy="1797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7047230</wp:posOffset>
            </wp:positionH>
            <wp:positionV relativeFrom="paragraph">
              <wp:posOffset>-1237615</wp:posOffset>
            </wp:positionV>
            <wp:extent cx="102870" cy="1797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02870" cy="17970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Great Lakes Dredge &amp; Dock Corporation and Subsidiaries</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960" w:type="dxa"/>
            <w:vAlign w:val="bottom"/>
            <w:gridSpan w:val="4"/>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120" w:type="dxa"/>
            <w:vAlign w:val="bottom"/>
            <w:gridSpan w:val="4"/>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73"/>
        </w:trPr>
        <w:tc>
          <w:tcPr>
            <w:tcW w:w="3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gridSpan w:val="4"/>
          </w:tcPr>
          <w:p>
            <w:pPr>
              <w:jc w:val="right"/>
              <w:ind w:right="9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4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gridSpan w:val="4"/>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1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3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2"/>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60" w:type="dxa"/>
            <w:vAlign w:val="bottom"/>
          </w:tcPr>
          <w:p>
            <w:pPr>
              <w:jc w:val="right"/>
              <w:ind w:right="59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00" w:type="dxa"/>
            <w:vAlign w:val="bottom"/>
          </w:tcPr>
          <w:p>
            <w:pPr>
              <w:jc w:val="right"/>
              <w:ind w:right="59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r>
      <w:tr>
        <w:trPr>
          <w:trHeight w:val="115"/>
        </w:trPr>
        <w:tc>
          <w:tcPr>
            <w:tcW w:w="3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126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r>
      <w:tr>
        <w:trPr>
          <w:trHeight w:val="216"/>
        </w:trPr>
        <w:tc>
          <w:tcPr>
            <w:tcW w:w="3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Contract revenues</w:t>
            </w:r>
          </w:p>
        </w:tc>
        <w:tc>
          <w:tcPr>
            <w:tcW w:w="1460" w:type="dxa"/>
            <w:vAlign w:val="bottom"/>
            <w:gridSpan w:val="2"/>
            <w:shd w:val="clear" w:color="auto" w:fill="CFF0FC"/>
          </w:tcPr>
          <w:p>
            <w:pPr>
              <w:jc w:val="right"/>
              <w:ind w:right="828"/>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193,755</w:t>
            </w:r>
          </w:p>
        </w:tc>
        <w:tc>
          <w:tcPr>
            <w:tcW w:w="2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9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170,086</w:t>
            </w:r>
          </w:p>
        </w:tc>
        <w:tc>
          <w:tcPr>
            <w:tcW w:w="320" w:type="dxa"/>
            <w:vAlign w:val="bottom"/>
            <w:shd w:val="clear" w:color="auto" w:fill="CFF0FC"/>
          </w:tcPr>
          <w:p>
            <w:pPr>
              <w:spacing w:after="0"/>
              <w:rPr>
                <w:sz w:val="18"/>
                <w:szCs w:val="18"/>
                <w:color w:val="auto"/>
              </w:rPr>
            </w:pPr>
          </w:p>
        </w:tc>
        <w:tc>
          <w:tcPr>
            <w:tcW w:w="380" w:type="dxa"/>
            <w:vAlign w:val="bottom"/>
            <w:shd w:val="clear" w:color="auto" w:fill="CFF0FC"/>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436,620</w:t>
            </w:r>
          </w:p>
        </w:tc>
        <w:tc>
          <w:tcPr>
            <w:tcW w:w="18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368,746</w:t>
            </w:r>
          </w:p>
        </w:tc>
        <w:tc>
          <w:tcPr>
            <w:tcW w:w="120" w:type="dxa"/>
            <w:vAlign w:val="bottom"/>
            <w:shd w:val="clear" w:color="auto" w:fill="CFF0FC"/>
          </w:tcPr>
          <w:p>
            <w:pPr>
              <w:spacing w:after="0"/>
              <w:rPr>
                <w:sz w:val="18"/>
                <w:szCs w:val="18"/>
                <w:color w:val="auto"/>
              </w:rPr>
            </w:pPr>
          </w:p>
        </w:tc>
      </w:tr>
      <w:tr>
        <w:trPr>
          <w:trHeight w:val="216"/>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Costs of contract revenues</w:t>
            </w:r>
          </w:p>
        </w:tc>
        <w:tc>
          <w:tcPr>
            <w:tcW w:w="48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157,189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140,246</w:t>
            </w:r>
          </w:p>
        </w:tc>
        <w:tc>
          <w:tcPr>
            <w:tcW w:w="3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330,531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293,332</w:t>
            </w:r>
          </w:p>
        </w:tc>
        <w:tc>
          <w:tcPr>
            <w:tcW w:w="120" w:type="dxa"/>
            <w:vAlign w:val="bottom"/>
          </w:tcPr>
          <w:p>
            <w:pPr>
              <w:spacing w:after="0"/>
              <w:rPr>
                <w:sz w:val="18"/>
                <w:szCs w:val="18"/>
                <w:color w:val="auto"/>
              </w:rPr>
            </w:pPr>
          </w:p>
        </w:tc>
      </w:tr>
      <w:tr>
        <w:trPr>
          <w:trHeight w:val="210"/>
        </w:trPr>
        <w:tc>
          <w:tcPr>
            <w:tcW w:w="31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Gross profit</w:t>
            </w:r>
          </w:p>
        </w:tc>
        <w:tc>
          <w:tcPr>
            <w:tcW w:w="4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36,566</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29,840</w:t>
            </w:r>
          </w:p>
        </w:tc>
        <w:tc>
          <w:tcPr>
            <w:tcW w:w="3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106,089</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75,414</w:t>
            </w:r>
          </w:p>
        </w:tc>
        <w:tc>
          <w:tcPr>
            <w:tcW w:w="120" w:type="dxa"/>
            <w:vAlign w:val="bottom"/>
            <w:shd w:val="clear" w:color="auto" w:fill="CFF0FC"/>
          </w:tcPr>
          <w:p>
            <w:pPr>
              <w:spacing w:after="0"/>
              <w:rPr>
                <w:sz w:val="18"/>
                <w:szCs w:val="18"/>
                <w:color w:val="auto"/>
              </w:rPr>
            </w:pPr>
          </w:p>
        </w:tc>
      </w:tr>
      <w:tr>
        <w:trPr>
          <w:trHeight w:val="216"/>
        </w:trPr>
        <w:tc>
          <w:tcPr>
            <w:tcW w:w="3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3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4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19,478</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16,161</w:t>
            </w:r>
          </w:p>
        </w:tc>
        <w:tc>
          <w:tcPr>
            <w:tcW w:w="3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39,516</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32,272</w:t>
            </w:r>
          </w:p>
        </w:tc>
        <w:tc>
          <w:tcPr>
            <w:tcW w:w="120" w:type="dxa"/>
            <w:vAlign w:val="bottom"/>
            <w:shd w:val="clear" w:color="auto" w:fill="CFF0FC"/>
          </w:tcPr>
          <w:p>
            <w:pPr>
              <w:spacing w:after="0"/>
              <w:rPr>
                <w:sz w:val="18"/>
                <w:szCs w:val="18"/>
                <w:color w:val="auto"/>
              </w:rPr>
            </w:pPr>
          </w:p>
        </w:tc>
      </w:tr>
      <w:tr>
        <w:trPr>
          <w:trHeight w:val="216"/>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Other (gains) losses</w:t>
            </w: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(906)</w:t>
            </w:r>
          </w:p>
        </w:tc>
        <w:tc>
          <w:tcPr>
            <w:tcW w:w="38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(459)</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(2,922)</w:t>
            </w:r>
          </w:p>
        </w:tc>
      </w:tr>
      <w:tr>
        <w:trPr>
          <w:trHeight w:val="210"/>
        </w:trPr>
        <w:tc>
          <w:tcPr>
            <w:tcW w:w="31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Operating income</w:t>
            </w:r>
          </w:p>
        </w:tc>
        <w:tc>
          <w:tcPr>
            <w:tcW w:w="480" w:type="dxa"/>
            <w:vAlign w:val="bottom"/>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17,087</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14,585</w:t>
            </w:r>
          </w:p>
        </w:tc>
        <w:tc>
          <w:tcPr>
            <w:tcW w:w="320" w:type="dxa"/>
            <w:vAlign w:val="bottom"/>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1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67,032</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46,064</w:t>
            </w:r>
          </w:p>
        </w:tc>
        <w:tc>
          <w:tcPr>
            <w:tcW w:w="120" w:type="dxa"/>
            <w:vAlign w:val="bottom"/>
            <w:shd w:val="clear" w:color="auto" w:fill="CFF0FC"/>
          </w:tcPr>
          <w:p>
            <w:pPr>
              <w:spacing w:after="0"/>
              <w:rPr>
                <w:sz w:val="18"/>
                <w:szCs w:val="18"/>
                <w:color w:val="auto"/>
              </w:rPr>
            </w:pPr>
          </w:p>
        </w:tc>
      </w:tr>
      <w:tr>
        <w:trPr>
          <w:trHeight w:val="216"/>
        </w:trPr>
        <w:tc>
          <w:tcPr>
            <w:tcW w:w="3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3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expense—net</w:t>
            </w:r>
          </w:p>
        </w:tc>
        <w:tc>
          <w:tcPr>
            <w:tcW w:w="4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(4,215)</w:t>
            </w: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(4,198)</w:t>
            </w:r>
          </w:p>
        </w:tc>
        <w:tc>
          <w:tcPr>
            <w:tcW w:w="38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(8,666)</w:t>
            </w:r>
          </w:p>
        </w:tc>
        <w:tc>
          <w:tcPr>
            <w:tcW w:w="14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(8,089)</w:t>
            </w:r>
          </w:p>
        </w:tc>
      </w:tr>
      <w:tr>
        <w:trPr>
          <w:trHeight w:val="216"/>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(122)</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120" w:type="dxa"/>
            <w:vAlign w:val="bottom"/>
          </w:tcPr>
          <w:p>
            <w:pPr>
              <w:spacing w:after="0"/>
              <w:rPr>
                <w:sz w:val="18"/>
                <w:szCs w:val="18"/>
                <w:color w:val="auto"/>
              </w:rPr>
            </w:pPr>
          </w:p>
        </w:tc>
      </w:tr>
      <w:tr>
        <w:trPr>
          <w:trHeight w:val="210"/>
        </w:trPr>
        <w:tc>
          <w:tcPr>
            <w:tcW w:w="31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480" w:type="dxa"/>
            <w:vAlign w:val="bottom"/>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13,118</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10,515</w:t>
            </w:r>
          </w:p>
        </w:tc>
        <w:tc>
          <w:tcPr>
            <w:tcW w:w="320" w:type="dxa"/>
            <w:vAlign w:val="bottom"/>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1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58,244</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38,528</w:t>
            </w:r>
          </w:p>
        </w:tc>
        <w:tc>
          <w:tcPr>
            <w:tcW w:w="120" w:type="dxa"/>
            <w:vAlign w:val="bottom"/>
            <w:shd w:val="clear" w:color="auto" w:fill="CFF0FC"/>
          </w:tcPr>
          <w:p>
            <w:pPr>
              <w:spacing w:after="0"/>
              <w:rPr>
                <w:sz w:val="18"/>
                <w:szCs w:val="18"/>
                <w:color w:val="auto"/>
              </w:rPr>
            </w:pPr>
          </w:p>
        </w:tc>
      </w:tr>
      <w:tr>
        <w:trPr>
          <w:trHeight w:val="216"/>
        </w:trPr>
        <w:tc>
          <w:tcPr>
            <w:tcW w:w="3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3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4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(3,423)</w:t>
            </w: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(2,842)</w:t>
            </w:r>
          </w:p>
        </w:tc>
        <w:tc>
          <w:tcPr>
            <w:tcW w:w="38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(15,133)</w:t>
            </w:r>
          </w:p>
        </w:tc>
        <w:tc>
          <w:tcPr>
            <w:tcW w:w="14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(9,831)</w:t>
            </w:r>
          </w:p>
        </w:tc>
      </w:tr>
      <w:tr>
        <w:trPr>
          <w:trHeight w:val="20"/>
        </w:trPr>
        <w:tc>
          <w:tcPr>
            <w:tcW w:w="3140" w:type="dxa"/>
            <w:vAlign w:val="bottom"/>
            <w:shd w:val="clear" w:color="auto" w:fill="CFF0FC"/>
          </w:tcPr>
          <w:p>
            <w:pPr>
              <w:spacing w:after="0" w:line="20" w:lineRule="exact"/>
              <w:rPr>
                <w:sz w:val="1"/>
                <w:szCs w:val="1"/>
                <w:color w:val="auto"/>
              </w:rPr>
            </w:pPr>
          </w:p>
        </w:tc>
        <w:tc>
          <w:tcPr>
            <w:tcW w:w="48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09"/>
        </w:trPr>
        <w:tc>
          <w:tcPr>
            <w:tcW w:w="3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Net income</w:t>
            </w:r>
          </w:p>
        </w:tc>
        <w:tc>
          <w:tcPr>
            <w:tcW w:w="1460" w:type="dxa"/>
            <w:vAlign w:val="bottom"/>
            <w:gridSpan w:val="2"/>
          </w:tcPr>
          <w:p>
            <w:pPr>
              <w:jc w:val="right"/>
              <w:ind w:right="828"/>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9,695</w:t>
            </w:r>
          </w:p>
        </w:tc>
        <w:tc>
          <w:tcPr>
            <w:tcW w:w="200" w:type="dxa"/>
            <w:vAlign w:val="bottom"/>
          </w:tcPr>
          <w:p>
            <w:pPr>
              <w:spacing w:after="0"/>
              <w:rPr>
                <w:sz w:val="18"/>
                <w:szCs w:val="18"/>
                <w:color w:val="auto"/>
              </w:rPr>
            </w:pPr>
          </w:p>
        </w:tc>
        <w:tc>
          <w:tcPr>
            <w:tcW w:w="1120" w:type="dxa"/>
            <w:vAlign w:val="bottom"/>
            <w:gridSpan w:val="2"/>
          </w:tcPr>
          <w:p>
            <w:pPr>
              <w:jc w:val="right"/>
              <w:ind w:right="9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7,673</w:t>
            </w:r>
          </w:p>
        </w:tc>
        <w:tc>
          <w:tcPr>
            <w:tcW w:w="320" w:type="dxa"/>
            <w:vAlign w:val="bottom"/>
          </w:tcPr>
          <w:p>
            <w:pPr>
              <w:spacing w:after="0"/>
              <w:rPr>
                <w:sz w:val="18"/>
                <w:szCs w:val="18"/>
                <w:color w:val="auto"/>
              </w:rPr>
            </w:pPr>
          </w:p>
        </w:tc>
        <w:tc>
          <w:tcPr>
            <w:tcW w:w="38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43,111</w:t>
            </w:r>
          </w:p>
        </w:tc>
        <w:tc>
          <w:tcPr>
            <w:tcW w:w="180" w:type="dxa"/>
            <w:vAlign w:val="bottom"/>
          </w:tcPr>
          <w:p>
            <w:pPr>
              <w:spacing w:after="0"/>
              <w:rPr>
                <w:sz w:val="18"/>
                <w:szCs w:val="18"/>
                <w:color w:val="auto"/>
              </w:rPr>
            </w:pPr>
          </w:p>
        </w:tc>
        <w:tc>
          <w:tcPr>
            <w:tcW w:w="6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28,697</w:t>
            </w:r>
          </w:p>
        </w:tc>
        <w:tc>
          <w:tcPr>
            <w:tcW w:w="120" w:type="dxa"/>
            <w:vAlign w:val="bottom"/>
          </w:tcPr>
          <w:p>
            <w:pPr>
              <w:spacing w:after="0"/>
              <w:rPr>
                <w:sz w:val="18"/>
                <w:szCs w:val="18"/>
                <w:color w:val="auto"/>
              </w:rPr>
            </w:pPr>
          </w:p>
        </w:tc>
      </w:tr>
      <w:tr>
        <w:trPr>
          <w:trHeight w:val="20"/>
        </w:trPr>
        <w:tc>
          <w:tcPr>
            <w:tcW w:w="3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314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16"/>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Basic earnings per share</w:t>
            </w:r>
          </w:p>
        </w:tc>
        <w:tc>
          <w:tcPr>
            <w:tcW w:w="1460" w:type="dxa"/>
            <w:vAlign w:val="bottom"/>
            <w:gridSpan w:val="2"/>
          </w:tcPr>
          <w:p>
            <w:pPr>
              <w:jc w:val="right"/>
              <w:ind w:right="828"/>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200" w:type="dxa"/>
            <w:vAlign w:val="bottom"/>
          </w:tcPr>
          <w:p>
            <w:pPr>
              <w:spacing w:after="0"/>
              <w:rPr>
                <w:sz w:val="18"/>
                <w:szCs w:val="18"/>
                <w:color w:val="auto"/>
              </w:rPr>
            </w:pPr>
          </w:p>
        </w:tc>
        <w:tc>
          <w:tcPr>
            <w:tcW w:w="1120" w:type="dxa"/>
            <w:vAlign w:val="bottom"/>
            <w:gridSpan w:val="2"/>
          </w:tcPr>
          <w:p>
            <w:pPr>
              <w:jc w:val="right"/>
              <w:ind w:right="9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320" w:type="dxa"/>
            <w:vAlign w:val="bottom"/>
          </w:tcPr>
          <w:p>
            <w:pPr>
              <w:spacing w:after="0"/>
              <w:rPr>
                <w:sz w:val="18"/>
                <w:szCs w:val="18"/>
                <w:color w:val="auto"/>
              </w:rPr>
            </w:pPr>
          </w:p>
        </w:tc>
        <w:tc>
          <w:tcPr>
            <w:tcW w:w="38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0.64</w:t>
            </w:r>
          </w:p>
        </w:tc>
        <w:tc>
          <w:tcPr>
            <w:tcW w:w="180" w:type="dxa"/>
            <w:vAlign w:val="bottom"/>
          </w:tcPr>
          <w:p>
            <w:pPr>
              <w:spacing w:after="0"/>
              <w:rPr>
                <w:sz w:val="18"/>
                <w:szCs w:val="18"/>
                <w:color w:val="auto"/>
              </w:rPr>
            </w:pPr>
          </w:p>
        </w:tc>
        <w:tc>
          <w:tcPr>
            <w:tcW w:w="6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0.43</w:t>
            </w:r>
          </w:p>
        </w:tc>
        <w:tc>
          <w:tcPr>
            <w:tcW w:w="120" w:type="dxa"/>
            <w:vAlign w:val="bottom"/>
          </w:tcPr>
          <w:p>
            <w:pPr>
              <w:spacing w:after="0"/>
              <w:rPr>
                <w:sz w:val="18"/>
                <w:szCs w:val="18"/>
                <w:color w:val="auto"/>
              </w:rPr>
            </w:pPr>
          </w:p>
        </w:tc>
      </w:tr>
      <w:tr>
        <w:trPr>
          <w:trHeight w:val="216"/>
        </w:trPr>
        <w:tc>
          <w:tcPr>
            <w:tcW w:w="3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Basic weighted average shares</w:t>
            </w:r>
          </w:p>
        </w:tc>
        <w:tc>
          <w:tcPr>
            <w:tcW w:w="4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66,698</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67,118</w:t>
            </w:r>
          </w:p>
        </w:tc>
        <w:tc>
          <w:tcPr>
            <w:tcW w:w="3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67,037</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66,924</w:t>
            </w:r>
          </w:p>
        </w:tc>
        <w:tc>
          <w:tcPr>
            <w:tcW w:w="120" w:type="dxa"/>
            <w:vAlign w:val="bottom"/>
            <w:shd w:val="clear" w:color="auto" w:fill="CFF0FC"/>
          </w:tcPr>
          <w:p>
            <w:pPr>
              <w:spacing w:after="0"/>
              <w:rPr>
                <w:sz w:val="18"/>
                <w:szCs w:val="18"/>
                <w:color w:val="auto"/>
              </w:rPr>
            </w:pPr>
          </w:p>
        </w:tc>
      </w:tr>
      <w:tr>
        <w:trPr>
          <w:trHeight w:val="216"/>
        </w:trPr>
        <w:tc>
          <w:tcPr>
            <w:tcW w:w="3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3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1460" w:type="dxa"/>
            <w:vAlign w:val="bottom"/>
            <w:gridSpan w:val="2"/>
            <w:shd w:val="clear" w:color="auto" w:fill="CFF0FC"/>
          </w:tcPr>
          <w:p>
            <w:pPr>
              <w:jc w:val="right"/>
              <w:ind w:right="828"/>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2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9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320" w:type="dxa"/>
            <w:vAlign w:val="bottom"/>
            <w:shd w:val="clear" w:color="auto" w:fill="CFF0FC"/>
          </w:tcPr>
          <w:p>
            <w:pPr>
              <w:spacing w:after="0"/>
              <w:rPr>
                <w:sz w:val="18"/>
                <w:szCs w:val="18"/>
                <w:color w:val="auto"/>
              </w:rPr>
            </w:pPr>
          </w:p>
        </w:tc>
        <w:tc>
          <w:tcPr>
            <w:tcW w:w="380" w:type="dxa"/>
            <w:vAlign w:val="bottom"/>
            <w:shd w:val="clear" w:color="auto" w:fill="CFF0FC"/>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0.64</w:t>
            </w:r>
          </w:p>
        </w:tc>
        <w:tc>
          <w:tcPr>
            <w:tcW w:w="18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120" w:type="dxa"/>
            <w:vAlign w:val="bottom"/>
            <w:shd w:val="clear" w:color="auto" w:fill="CFF0FC"/>
          </w:tcPr>
          <w:p>
            <w:pPr>
              <w:spacing w:after="0"/>
              <w:rPr>
                <w:sz w:val="18"/>
                <w:szCs w:val="18"/>
                <w:color w:val="auto"/>
              </w:rPr>
            </w:pPr>
          </w:p>
        </w:tc>
      </w:tr>
      <w:tr>
        <w:trPr>
          <w:trHeight w:val="234"/>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Diluted weighted average shares</w:t>
            </w:r>
          </w:p>
        </w:tc>
        <w:tc>
          <w:tcPr>
            <w:tcW w:w="4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67,185</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67,697</w:t>
            </w: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67,806</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67,615</w:t>
            </w:r>
          </w:p>
        </w:tc>
        <w:tc>
          <w:tcPr>
            <w:tcW w:w="1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3331210</wp:posOffset>
            </wp:positionH>
            <wp:positionV relativeFrom="paragraph">
              <wp:posOffset>-1005205</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-1005205</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-1005205</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-1005205</wp:posOffset>
            </wp:positionV>
            <wp:extent cx="7747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Great Lakes Dredge &amp; Dock Corporation and Subsidiaries</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40" w:type="dxa"/>
            <w:vAlign w:val="bottom"/>
          </w:tcPr>
          <w:p>
            <w:pPr>
              <w:spacing w:after="0"/>
              <w:rPr>
                <w:sz w:val="13"/>
                <w:szCs w:val="13"/>
                <w:color w:val="auto"/>
              </w:rPr>
            </w:pPr>
          </w:p>
        </w:tc>
        <w:tc>
          <w:tcPr>
            <w:tcW w:w="2220" w:type="dxa"/>
            <w:vAlign w:val="bottom"/>
            <w:gridSpan w:val="4"/>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34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73"/>
        </w:trPr>
        <w:tc>
          <w:tcPr>
            <w:tcW w:w="574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3"/>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4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5740" w:type="dxa"/>
            <w:vAlign w:val="bottom"/>
          </w:tcPr>
          <w:p>
            <w:pPr>
              <w:spacing w:after="0"/>
              <w:rPr>
                <w:sz w:val="12"/>
                <w:szCs w:val="12"/>
                <w:color w:val="auto"/>
              </w:rPr>
            </w:pPr>
          </w:p>
        </w:tc>
        <w:tc>
          <w:tcPr>
            <w:tcW w:w="7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Borders>
              <w:bottom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3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5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115"/>
        </w:trPr>
        <w:tc>
          <w:tcPr>
            <w:tcW w:w="5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216"/>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720" w:type="dxa"/>
            <w:vAlign w:val="bottom"/>
            <w:shd w:val="clear" w:color="auto" w:fill="CFF0FC"/>
          </w:tcPr>
          <w:p>
            <w:pPr>
              <w:jc w:val="right"/>
              <w:ind w:right="562"/>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9,695</w:t>
            </w:r>
          </w:p>
        </w:tc>
        <w:tc>
          <w:tcPr>
            <w:tcW w:w="36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536"/>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7,673</w:t>
            </w:r>
          </w:p>
        </w:tc>
        <w:tc>
          <w:tcPr>
            <w:tcW w:w="50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43,111</w:t>
            </w:r>
          </w:p>
        </w:tc>
        <w:tc>
          <w:tcPr>
            <w:tcW w:w="5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28,697</w:t>
            </w:r>
          </w:p>
        </w:tc>
        <w:tc>
          <w:tcPr>
            <w:tcW w:w="100" w:type="dxa"/>
            <w:vAlign w:val="bottom"/>
            <w:shd w:val="clear" w:color="auto" w:fill="CFF0FC"/>
          </w:tcPr>
          <w:p>
            <w:pPr>
              <w:spacing w:after="0"/>
              <w:rPr>
                <w:sz w:val="18"/>
                <w:szCs w:val="18"/>
                <w:color w:val="auto"/>
              </w:rPr>
            </w:pP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Net change in cash flow derivative hedges—net of tax (1)</w:t>
            </w:r>
          </w:p>
        </w:tc>
        <w:tc>
          <w:tcPr>
            <w:tcW w:w="72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(150)</w:t>
            </w:r>
          </w:p>
        </w:tc>
        <w:tc>
          <w:tcPr>
            <w:tcW w:w="7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1,338</w:t>
            </w:r>
          </w:p>
        </w:tc>
        <w:tc>
          <w:tcPr>
            <w:tcW w:w="100" w:type="dxa"/>
            <w:vAlign w:val="bottom"/>
          </w:tcPr>
          <w:p>
            <w:pPr>
              <w:spacing w:after="0"/>
              <w:rPr>
                <w:sz w:val="18"/>
                <w:szCs w:val="18"/>
                <w:color w:val="auto"/>
              </w:rPr>
            </w:pPr>
          </w:p>
        </w:tc>
      </w:tr>
      <w:tr>
        <w:trPr>
          <w:trHeight w:val="20"/>
        </w:trPr>
        <w:tc>
          <w:tcPr>
            <w:tcW w:w="57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720" w:type="dxa"/>
            <w:vAlign w:val="bottom"/>
            <w:shd w:val="clear" w:color="auto" w:fill="CFF0FC"/>
          </w:tcPr>
          <w:p>
            <w:pPr>
              <w:jc w:val="right"/>
              <w:ind w:right="562"/>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9,545</w:t>
            </w:r>
          </w:p>
        </w:tc>
        <w:tc>
          <w:tcPr>
            <w:tcW w:w="36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536"/>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7,723</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43,323</w:t>
            </w:r>
          </w:p>
        </w:tc>
        <w:tc>
          <w:tcPr>
            <w:tcW w:w="5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30,035</w:t>
            </w:r>
          </w:p>
        </w:tc>
        <w:tc>
          <w:tcPr>
            <w:tcW w:w="100" w:type="dxa"/>
            <w:vAlign w:val="bottom"/>
            <w:shd w:val="clear" w:color="auto" w:fill="CFF0FC"/>
          </w:tcPr>
          <w:p>
            <w:pPr>
              <w:spacing w:after="0"/>
              <w:rPr>
                <w:sz w:val="19"/>
                <w:szCs w:val="19"/>
                <w:color w:val="auto"/>
              </w:rPr>
            </w:pPr>
          </w:p>
        </w:tc>
      </w:tr>
      <w:tr>
        <w:trPr>
          <w:trHeight w:val="20"/>
        </w:trPr>
        <w:tc>
          <w:tcPr>
            <w:tcW w:w="5740" w:type="dxa"/>
            <w:vAlign w:val="bottom"/>
            <w:tcBorders>
              <w:top w:val="single" w:sz="8" w:color="CFF0FC"/>
            </w:tcBorders>
            <w:shd w:val="clear" w:color="auto" w:fill="CFF0FC"/>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CFF0FC"/>
            </w:tcBorders>
            <w:shd w:val="clear" w:color="auto" w:fill="CFF0FC"/>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4368165</wp:posOffset>
            </wp:positionH>
            <wp:positionV relativeFrom="paragraph">
              <wp:posOffset>-24765</wp:posOffset>
            </wp:positionV>
            <wp:extent cx="7747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-7620</wp:posOffset>
            </wp:positionV>
            <wp:extent cx="7747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-24765</wp:posOffset>
            </wp:positionV>
            <wp:extent cx="7747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-7620</wp:posOffset>
            </wp:positionV>
            <wp:extent cx="7747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-24765</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-7620</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left="520" w:right="2060" w:hanging="512"/>
        <w:spacing w:after="0" w:line="312" w:lineRule="auto"/>
        <w:tabs>
          <w:tab w:leader="none" w:pos="5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Net of income tax benefit (provision) of $52 and $(17) for the three months ended June 30, 2025 and 2024, respectively. Net of income tax provision of $(71) and $(453) for the six months ended June 30, 2025 and 2024, respectively.</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Great Lakes Dredge &amp; Dock Corporation and Subsidiaries</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Equity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00" w:type="dxa"/>
            <w:vAlign w:val="bottom"/>
          </w:tcPr>
          <w:p>
            <w:pPr>
              <w:spacing w:after="0"/>
              <w:rPr>
                <w:sz w:val="14"/>
                <w:szCs w:val="14"/>
                <w:color w:val="auto"/>
              </w:rPr>
            </w:pP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Shares of</w:t>
            </w:r>
          </w:p>
        </w:tc>
        <w:tc>
          <w:tcPr>
            <w:tcW w:w="80" w:type="dxa"/>
            <w:vAlign w:val="bottom"/>
          </w:tcPr>
          <w:p>
            <w:pPr>
              <w:spacing w:after="0"/>
              <w:rPr>
                <w:sz w:val="14"/>
                <w:szCs w:val="14"/>
                <w:color w:val="auto"/>
              </w:rPr>
            </w:pPr>
          </w:p>
        </w:tc>
        <w:tc>
          <w:tcPr>
            <w:tcW w:w="7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00" w:type="dxa"/>
            <w:vAlign w:val="bottom"/>
          </w:tcPr>
          <w:p>
            <w:pPr>
              <w:spacing w:after="0"/>
              <w:rPr>
                <w:sz w:val="14"/>
                <w:szCs w:val="14"/>
                <w:color w:val="auto"/>
              </w:rPr>
            </w:pPr>
          </w:p>
        </w:tc>
        <w:tc>
          <w:tcPr>
            <w:tcW w:w="10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4"/>
                <w:szCs w:val="14"/>
                <w:color w:val="auto"/>
              </w:rPr>
            </w:pPr>
          </w:p>
        </w:tc>
        <w:tc>
          <w:tcPr>
            <w:tcW w:w="760" w:type="dxa"/>
            <w:vAlign w:val="bottom"/>
            <w:vMerge w:val="restart"/>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00" w:type="dxa"/>
            <w:vAlign w:val="bottom"/>
          </w:tcPr>
          <w:p>
            <w:pPr>
              <w:spacing w:after="0"/>
              <w:rPr>
                <w:sz w:val="14"/>
                <w:szCs w:val="14"/>
                <w:color w:val="auto"/>
              </w:rPr>
            </w:pPr>
          </w:p>
        </w:tc>
        <w:tc>
          <w:tcPr>
            <w:tcW w:w="10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8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3500" w:type="dxa"/>
            <w:vAlign w:val="bottom"/>
          </w:tcPr>
          <w:p>
            <w:pPr>
              <w:spacing w:after="0"/>
              <w:rPr>
                <w:sz w:val="15"/>
                <w:szCs w:val="15"/>
                <w:color w:val="auto"/>
              </w:rPr>
            </w:pP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0" w:type="dxa"/>
            <w:vAlign w:val="bottom"/>
          </w:tcPr>
          <w:p>
            <w:pPr>
              <w:spacing w:after="0"/>
              <w:rPr>
                <w:sz w:val="15"/>
                <w:szCs w:val="15"/>
                <w:color w:val="auto"/>
              </w:rPr>
            </w:pPr>
          </w:p>
        </w:tc>
        <w:tc>
          <w:tcPr>
            <w:tcW w:w="102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15"/>
                <w:szCs w:val="15"/>
                <w:color w:val="auto"/>
              </w:rPr>
            </w:pPr>
          </w:p>
        </w:tc>
        <w:tc>
          <w:tcPr>
            <w:tcW w:w="760" w:type="dxa"/>
            <w:vAlign w:val="bottom"/>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40" w:type="dxa"/>
            <w:vAlign w:val="bottom"/>
          </w:tcPr>
          <w:p>
            <w:pPr>
              <w:spacing w:after="0"/>
              <w:rPr>
                <w:sz w:val="15"/>
                <w:szCs w:val="15"/>
                <w:color w:val="auto"/>
              </w:rPr>
            </w:pPr>
          </w:p>
        </w:tc>
        <w:tc>
          <w:tcPr>
            <w:tcW w:w="7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55"/>
        </w:trPr>
        <w:tc>
          <w:tcPr>
            <w:tcW w:w="3500" w:type="dxa"/>
            <w:vAlign w:val="bottom"/>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BALANCE—January 1, 2025</w:t>
            </w: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67,280</w:t>
            </w:r>
          </w:p>
        </w:tc>
        <w:tc>
          <w:tcPr>
            <w:tcW w:w="160" w:type="dxa"/>
            <w:vAlign w:val="bottom"/>
            <w:shd w:val="clear" w:color="auto" w:fill="CCECFF"/>
          </w:tcPr>
          <w:p>
            <w:pPr>
              <w:spacing w:after="0"/>
              <w:rPr>
                <w:sz w:val="18"/>
                <w:szCs w:val="18"/>
                <w:color w:val="auto"/>
              </w:rPr>
            </w:pPr>
          </w:p>
        </w:tc>
        <w:tc>
          <w:tcPr>
            <w:tcW w:w="2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360" w:type="dxa"/>
            <w:vAlign w:val="bottom"/>
            <w:gridSpan w:val="2"/>
            <w:shd w:val="clear" w:color="auto" w:fill="CCEC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322,383</w:t>
            </w:r>
          </w:p>
        </w:tc>
        <w:tc>
          <w:tcPr>
            <w:tcW w:w="220" w:type="dxa"/>
            <w:vAlign w:val="bottom"/>
            <w:shd w:val="clear" w:color="auto" w:fill="CCECFF"/>
          </w:tcPr>
          <w:p>
            <w:pPr>
              <w:spacing w:after="0"/>
              <w:rPr>
                <w:sz w:val="18"/>
                <w:szCs w:val="18"/>
                <w:color w:val="auto"/>
              </w:rPr>
            </w:pPr>
          </w:p>
        </w:tc>
        <w:tc>
          <w:tcPr>
            <w:tcW w:w="1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127,485</w:t>
            </w:r>
          </w:p>
        </w:tc>
        <w:tc>
          <w:tcPr>
            <w:tcW w:w="32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8"/>
                <w:szCs w:val="18"/>
                <w:color w:val="auto"/>
              </w:rPr>
              <w:t>(965)</w:t>
            </w:r>
          </w:p>
        </w:tc>
        <w:tc>
          <w:tcPr>
            <w:tcW w:w="1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448,910</w:t>
            </w:r>
          </w:p>
        </w:tc>
        <w:tc>
          <w:tcPr>
            <w:tcW w:w="10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Share-based compensation</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500" w:type="dxa"/>
            <w:vAlign w:val="bottom"/>
            <w:shd w:val="clear" w:color="auto" w:fill="CCECFF"/>
          </w:tcPr>
          <w:p>
            <w:pPr>
              <w:ind w:left="80"/>
              <w:spacing w:after="0" w:line="198" w:lineRule="exact"/>
              <w:rPr>
                <w:sz w:val="20"/>
                <w:szCs w:val="20"/>
                <w:color w:val="auto"/>
              </w:rPr>
            </w:pPr>
            <w:r>
              <w:rPr>
                <w:rFonts w:ascii="Times New Roman" w:cs="Times New Roman" w:eastAsia="Times New Roman" w:hAnsi="Times New Roman"/>
                <w:sz w:val="18"/>
                <w:szCs w:val="18"/>
                <w:color w:val="auto"/>
              </w:rPr>
              <w:t>Vesting of restricted stock units and impact</w:t>
            </w:r>
          </w:p>
        </w:tc>
        <w:tc>
          <w:tcPr>
            <w:tcW w:w="920" w:type="dxa"/>
            <w:vAlign w:val="bottom"/>
            <w:shd w:val="clear" w:color="auto" w:fill="CCECFF"/>
          </w:tcPr>
          <w:p>
            <w:pPr>
              <w:spacing w:after="0"/>
              <w:rPr>
                <w:sz w:val="17"/>
                <w:szCs w:val="17"/>
                <w:color w:val="auto"/>
              </w:rPr>
            </w:pPr>
          </w:p>
        </w:tc>
        <w:tc>
          <w:tcPr>
            <w:tcW w:w="160" w:type="dxa"/>
            <w:vAlign w:val="bottom"/>
            <w:shd w:val="clear" w:color="auto" w:fill="CCECFF"/>
          </w:tcPr>
          <w:p>
            <w:pPr>
              <w:spacing w:after="0"/>
              <w:rPr>
                <w:sz w:val="17"/>
                <w:szCs w:val="17"/>
                <w:color w:val="auto"/>
              </w:rPr>
            </w:pPr>
          </w:p>
        </w:tc>
        <w:tc>
          <w:tcPr>
            <w:tcW w:w="80" w:type="dxa"/>
            <w:vAlign w:val="bottom"/>
            <w:shd w:val="clear" w:color="auto" w:fill="CCECFF"/>
          </w:tcPr>
          <w:p>
            <w:pPr>
              <w:spacing w:after="0"/>
              <w:rPr>
                <w:sz w:val="17"/>
                <w:szCs w:val="17"/>
                <w:color w:val="auto"/>
              </w:rPr>
            </w:pPr>
          </w:p>
        </w:tc>
        <w:tc>
          <w:tcPr>
            <w:tcW w:w="140" w:type="dxa"/>
            <w:vAlign w:val="bottom"/>
            <w:shd w:val="clear" w:color="auto" w:fill="CCECFF"/>
          </w:tcPr>
          <w:p>
            <w:pPr>
              <w:spacing w:after="0"/>
              <w:rPr>
                <w:sz w:val="17"/>
                <w:szCs w:val="17"/>
                <w:color w:val="auto"/>
              </w:rPr>
            </w:pPr>
          </w:p>
        </w:tc>
        <w:tc>
          <w:tcPr>
            <w:tcW w:w="560" w:type="dxa"/>
            <w:vAlign w:val="bottom"/>
            <w:shd w:val="clear" w:color="auto" w:fill="CCECFF"/>
          </w:tcPr>
          <w:p>
            <w:pPr>
              <w:spacing w:after="0"/>
              <w:rPr>
                <w:sz w:val="17"/>
                <w:szCs w:val="17"/>
                <w:color w:val="auto"/>
              </w:rPr>
            </w:pPr>
          </w:p>
        </w:tc>
        <w:tc>
          <w:tcPr>
            <w:tcW w:w="240" w:type="dxa"/>
            <w:vAlign w:val="bottom"/>
            <w:shd w:val="clear" w:color="auto" w:fill="CCECFF"/>
          </w:tcPr>
          <w:p>
            <w:pPr>
              <w:spacing w:after="0"/>
              <w:rPr>
                <w:sz w:val="17"/>
                <w:szCs w:val="17"/>
                <w:color w:val="auto"/>
              </w:rPr>
            </w:pPr>
          </w:p>
        </w:tc>
        <w:tc>
          <w:tcPr>
            <w:tcW w:w="120" w:type="dxa"/>
            <w:vAlign w:val="bottom"/>
            <w:shd w:val="clear" w:color="auto" w:fill="CCECFF"/>
          </w:tcPr>
          <w:p>
            <w:pPr>
              <w:spacing w:after="0"/>
              <w:rPr>
                <w:sz w:val="17"/>
                <w:szCs w:val="17"/>
                <w:color w:val="auto"/>
              </w:rPr>
            </w:pPr>
          </w:p>
        </w:tc>
        <w:tc>
          <w:tcPr>
            <w:tcW w:w="760" w:type="dxa"/>
            <w:vAlign w:val="bottom"/>
            <w:shd w:val="clear" w:color="auto" w:fill="CCECFF"/>
          </w:tcPr>
          <w:p>
            <w:pPr>
              <w:spacing w:after="0"/>
              <w:rPr>
                <w:sz w:val="17"/>
                <w:szCs w:val="17"/>
                <w:color w:val="auto"/>
              </w:rPr>
            </w:pPr>
          </w:p>
        </w:tc>
        <w:tc>
          <w:tcPr>
            <w:tcW w:w="220" w:type="dxa"/>
            <w:vAlign w:val="bottom"/>
            <w:shd w:val="clear" w:color="auto" w:fill="CCECFF"/>
          </w:tcPr>
          <w:p>
            <w:pPr>
              <w:spacing w:after="0"/>
              <w:rPr>
                <w:sz w:val="17"/>
                <w:szCs w:val="17"/>
                <w:color w:val="auto"/>
              </w:rPr>
            </w:pPr>
          </w:p>
        </w:tc>
        <w:tc>
          <w:tcPr>
            <w:tcW w:w="100" w:type="dxa"/>
            <w:vAlign w:val="bottom"/>
            <w:shd w:val="clear" w:color="auto" w:fill="CCECFF"/>
          </w:tcPr>
          <w:p>
            <w:pPr>
              <w:spacing w:after="0"/>
              <w:rPr>
                <w:sz w:val="17"/>
                <w:szCs w:val="17"/>
                <w:color w:val="auto"/>
              </w:rPr>
            </w:pPr>
          </w:p>
        </w:tc>
        <w:tc>
          <w:tcPr>
            <w:tcW w:w="800" w:type="dxa"/>
            <w:vAlign w:val="bottom"/>
            <w:shd w:val="clear" w:color="auto" w:fill="CCECFF"/>
          </w:tcPr>
          <w:p>
            <w:pPr>
              <w:spacing w:after="0"/>
              <w:rPr>
                <w:sz w:val="17"/>
                <w:szCs w:val="17"/>
                <w:color w:val="auto"/>
              </w:rPr>
            </w:pPr>
          </w:p>
        </w:tc>
        <w:tc>
          <w:tcPr>
            <w:tcW w:w="220" w:type="dxa"/>
            <w:vAlign w:val="bottom"/>
            <w:shd w:val="clear" w:color="auto" w:fill="CCECFF"/>
          </w:tcPr>
          <w:p>
            <w:pPr>
              <w:spacing w:after="0"/>
              <w:rPr>
                <w:sz w:val="17"/>
                <w:szCs w:val="17"/>
                <w:color w:val="auto"/>
              </w:rPr>
            </w:pPr>
          </w:p>
        </w:tc>
        <w:tc>
          <w:tcPr>
            <w:tcW w:w="120" w:type="dxa"/>
            <w:vAlign w:val="bottom"/>
            <w:shd w:val="clear" w:color="auto" w:fill="CCECFF"/>
          </w:tcPr>
          <w:p>
            <w:pPr>
              <w:spacing w:after="0"/>
              <w:rPr>
                <w:sz w:val="17"/>
                <w:szCs w:val="17"/>
                <w:color w:val="auto"/>
              </w:rPr>
            </w:pPr>
          </w:p>
        </w:tc>
        <w:tc>
          <w:tcPr>
            <w:tcW w:w="760" w:type="dxa"/>
            <w:vAlign w:val="bottom"/>
            <w:shd w:val="clear" w:color="auto" w:fill="CCECFF"/>
          </w:tcPr>
          <w:p>
            <w:pPr>
              <w:spacing w:after="0"/>
              <w:rPr>
                <w:sz w:val="17"/>
                <w:szCs w:val="17"/>
                <w:color w:val="auto"/>
              </w:rPr>
            </w:pPr>
          </w:p>
        </w:tc>
        <w:tc>
          <w:tcPr>
            <w:tcW w:w="220" w:type="dxa"/>
            <w:vAlign w:val="bottom"/>
            <w:shd w:val="clear" w:color="auto" w:fill="CCECFF"/>
          </w:tcPr>
          <w:p>
            <w:pPr>
              <w:spacing w:after="0"/>
              <w:rPr>
                <w:sz w:val="17"/>
                <w:szCs w:val="17"/>
                <w:color w:val="auto"/>
              </w:rPr>
            </w:pPr>
          </w:p>
        </w:tc>
        <w:tc>
          <w:tcPr>
            <w:tcW w:w="100" w:type="dxa"/>
            <w:vAlign w:val="bottom"/>
            <w:shd w:val="clear" w:color="auto" w:fill="CCECFF"/>
          </w:tcPr>
          <w:p>
            <w:pPr>
              <w:spacing w:after="0"/>
              <w:rPr>
                <w:sz w:val="17"/>
                <w:szCs w:val="17"/>
                <w:color w:val="auto"/>
              </w:rPr>
            </w:pPr>
          </w:p>
        </w:tc>
        <w:tc>
          <w:tcPr>
            <w:tcW w:w="1120" w:type="dxa"/>
            <w:vAlign w:val="bottom"/>
            <w:shd w:val="clear" w:color="auto" w:fill="CCECFF"/>
          </w:tcPr>
          <w:p>
            <w:pPr>
              <w:spacing w:after="0"/>
              <w:rPr>
                <w:sz w:val="17"/>
                <w:szCs w:val="17"/>
                <w:color w:val="auto"/>
              </w:rPr>
            </w:pPr>
          </w:p>
        </w:tc>
        <w:tc>
          <w:tcPr>
            <w:tcW w:w="200" w:type="dxa"/>
            <w:vAlign w:val="bottom"/>
            <w:shd w:val="clear" w:color="auto" w:fill="CCECFF"/>
          </w:tcPr>
          <w:p>
            <w:pPr>
              <w:spacing w:after="0"/>
              <w:rPr>
                <w:sz w:val="17"/>
                <w:szCs w:val="17"/>
                <w:color w:val="auto"/>
              </w:rPr>
            </w:pPr>
          </w:p>
        </w:tc>
        <w:tc>
          <w:tcPr>
            <w:tcW w:w="140" w:type="dxa"/>
            <w:vAlign w:val="bottom"/>
            <w:shd w:val="clear" w:color="auto" w:fill="CCECFF"/>
          </w:tcPr>
          <w:p>
            <w:pPr>
              <w:spacing w:after="0"/>
              <w:rPr>
                <w:sz w:val="17"/>
                <w:szCs w:val="17"/>
                <w:color w:val="auto"/>
              </w:rPr>
            </w:pPr>
          </w:p>
        </w:tc>
        <w:tc>
          <w:tcPr>
            <w:tcW w:w="660" w:type="dxa"/>
            <w:vAlign w:val="bottom"/>
            <w:shd w:val="clear" w:color="auto" w:fill="CCECFF"/>
          </w:tcPr>
          <w:p>
            <w:pPr>
              <w:spacing w:after="0"/>
              <w:rPr>
                <w:sz w:val="17"/>
                <w:szCs w:val="17"/>
                <w:color w:val="auto"/>
              </w:rPr>
            </w:pPr>
          </w:p>
        </w:tc>
        <w:tc>
          <w:tcPr>
            <w:tcW w:w="100" w:type="dxa"/>
            <w:vAlign w:val="bottom"/>
            <w:shd w:val="clear" w:color="auto" w:fill="CCEC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500" w:type="dxa"/>
            <w:vAlign w:val="bottom"/>
            <w:shd w:val="clear" w:color="auto" w:fill="CCECFF"/>
          </w:tcPr>
          <w:p>
            <w:pPr>
              <w:ind w:left="80"/>
              <w:spacing w:after="0"/>
              <w:rPr>
                <w:sz w:val="20"/>
                <w:szCs w:val="20"/>
                <w:color w:val="auto"/>
              </w:rPr>
            </w:pPr>
            <w:r>
              <w:rPr>
                <w:rFonts w:ascii="Times New Roman" w:cs="Times New Roman" w:eastAsia="Times New Roman" w:hAnsi="Times New Roman"/>
                <w:sz w:val="18"/>
                <w:szCs w:val="18"/>
                <w:color w:val="auto"/>
              </w:rPr>
              <w:t>of shares withheld for taxes</w:t>
            </w: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160" w:type="dxa"/>
            <w:vAlign w:val="bottom"/>
            <w:shd w:val="clear" w:color="auto" w:fill="CCECFF"/>
          </w:tcPr>
          <w:p>
            <w:pPr>
              <w:spacing w:after="0"/>
              <w:rPr>
                <w:sz w:val="20"/>
                <w:szCs w:val="20"/>
                <w:color w:val="auto"/>
              </w:rPr>
            </w:pPr>
          </w:p>
        </w:tc>
        <w:tc>
          <w:tcPr>
            <w:tcW w:w="80" w:type="dxa"/>
            <w:vAlign w:val="bottom"/>
            <w:shd w:val="clear" w:color="auto" w:fill="CCECFF"/>
          </w:tcPr>
          <w:p>
            <w:pPr>
              <w:spacing w:after="0"/>
              <w:rPr>
                <w:sz w:val="20"/>
                <w:szCs w:val="20"/>
                <w:color w:val="auto"/>
              </w:rPr>
            </w:pPr>
          </w:p>
        </w:tc>
        <w:tc>
          <w:tcPr>
            <w:tcW w:w="140" w:type="dxa"/>
            <w:vAlign w:val="bottom"/>
            <w:shd w:val="clear" w:color="auto" w:fill="CCECFF"/>
          </w:tcPr>
          <w:p>
            <w:pPr>
              <w:spacing w:after="0"/>
              <w:rPr>
                <w:sz w:val="20"/>
                <w:szCs w:val="20"/>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CFF"/>
          </w:tcPr>
          <w:p>
            <w:pPr>
              <w:spacing w:after="0"/>
              <w:rPr>
                <w:sz w:val="20"/>
                <w:szCs w:val="20"/>
                <w:color w:val="auto"/>
              </w:rPr>
            </w:pPr>
          </w:p>
        </w:tc>
        <w:tc>
          <w:tcPr>
            <w:tcW w:w="120" w:type="dxa"/>
            <w:vAlign w:val="bottom"/>
            <w:shd w:val="clear" w:color="auto" w:fill="CCECFF"/>
          </w:tcPr>
          <w:p>
            <w:pPr>
              <w:spacing w:after="0"/>
              <w:rPr>
                <w:sz w:val="20"/>
                <w:szCs w:val="20"/>
                <w:color w:val="auto"/>
              </w:rPr>
            </w:pPr>
          </w:p>
        </w:tc>
        <w:tc>
          <w:tcPr>
            <w:tcW w:w="980" w:type="dxa"/>
            <w:vAlign w:val="bottom"/>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CFF"/>
          </w:tcPr>
          <w:p>
            <w:pPr>
              <w:spacing w:after="0"/>
              <w:rPr>
                <w:sz w:val="20"/>
                <w:szCs w:val="20"/>
                <w:color w:val="auto"/>
              </w:rPr>
            </w:pPr>
          </w:p>
        </w:tc>
        <w:tc>
          <w:tcPr>
            <w:tcW w:w="102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8"/>
                <w:szCs w:val="18"/>
                <w:color w:val="auto"/>
              </w:rPr>
              <w:t>(1,080)</w:t>
            </w:r>
          </w:p>
        </w:tc>
        <w:tc>
          <w:tcPr>
            <w:tcW w:w="120" w:type="dxa"/>
            <w:vAlign w:val="bottom"/>
            <w:shd w:val="clear" w:color="auto" w:fill="CCECFF"/>
          </w:tcPr>
          <w:p>
            <w:pPr>
              <w:spacing w:after="0"/>
              <w:rPr>
                <w:sz w:val="20"/>
                <w:szCs w:val="20"/>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CFF"/>
          </w:tcPr>
          <w:p>
            <w:pPr>
              <w:spacing w:after="0"/>
              <w:rPr>
                <w:sz w:val="20"/>
                <w:szCs w:val="20"/>
                <w:color w:val="auto"/>
              </w:rPr>
            </w:pPr>
          </w:p>
        </w:tc>
        <w:tc>
          <w:tcPr>
            <w:tcW w:w="100" w:type="dxa"/>
            <w:vAlign w:val="bottom"/>
            <w:shd w:val="clear" w:color="auto" w:fill="CCECFF"/>
          </w:tcPr>
          <w:p>
            <w:pPr>
              <w:spacing w:after="0"/>
              <w:rPr>
                <w:sz w:val="20"/>
                <w:szCs w:val="20"/>
                <w:color w:val="auto"/>
              </w:rPr>
            </w:pPr>
          </w:p>
        </w:tc>
        <w:tc>
          <w:tcPr>
            <w:tcW w:w="1320" w:type="dxa"/>
            <w:vAlign w:val="bottom"/>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CFF"/>
          </w:tcPr>
          <w:p>
            <w:pPr>
              <w:spacing w:after="0"/>
              <w:rPr>
                <w:sz w:val="20"/>
                <w:szCs w:val="20"/>
                <w:color w:val="auto"/>
              </w:rPr>
            </w:pPr>
          </w:p>
        </w:tc>
        <w:tc>
          <w:tcPr>
            <w:tcW w:w="76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color w:val="auto"/>
              </w:rPr>
              <w:t>(1,080)</w:t>
            </w:r>
          </w:p>
        </w:tc>
        <w:tc>
          <w:tcPr>
            <w:tcW w:w="0" w:type="dxa"/>
            <w:vAlign w:val="bottom"/>
          </w:tcPr>
          <w:p>
            <w:pPr>
              <w:spacing w:after="0"/>
              <w:rPr>
                <w:sz w:val="1"/>
                <w:szCs w:val="1"/>
                <w:color w:val="auto"/>
              </w:rPr>
            </w:pPr>
          </w:p>
        </w:tc>
      </w:tr>
      <w:tr>
        <w:trPr>
          <w:trHeight w:val="198"/>
        </w:trPr>
        <w:tc>
          <w:tcPr>
            <w:tcW w:w="3500" w:type="dxa"/>
            <w:vAlign w:val="bottom"/>
          </w:tcPr>
          <w:p>
            <w:pPr>
              <w:ind w:left="80"/>
              <w:spacing w:after="0" w:line="198" w:lineRule="exact"/>
              <w:rPr>
                <w:sz w:val="20"/>
                <w:szCs w:val="20"/>
                <w:color w:val="auto"/>
              </w:rPr>
            </w:pPr>
            <w:r>
              <w:rPr>
                <w:rFonts w:ascii="Times New Roman" w:cs="Times New Roman" w:eastAsia="Times New Roman" w:hAnsi="Times New Roman"/>
                <w:sz w:val="18"/>
                <w:szCs w:val="18"/>
                <w:color w:val="auto"/>
              </w:rPr>
              <w:t>Exercise of options and purchases from</w:t>
            </w: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employee stock plans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CECFF"/>
          </w:tcPr>
          <w:p>
            <w:pPr>
              <w:ind w:left="80"/>
              <w:spacing w:after="0"/>
              <w:rPr>
                <w:sz w:val="20"/>
                <w:szCs w:val="20"/>
                <w:color w:val="auto"/>
              </w:rPr>
            </w:pPr>
            <w:r>
              <w:rPr>
                <w:rFonts w:ascii="Times New Roman" w:cs="Times New Roman" w:eastAsia="Times New Roman" w:hAnsi="Times New Roman"/>
                <w:sz w:val="18"/>
                <w:szCs w:val="18"/>
                <w:color w:val="auto"/>
              </w:rPr>
              <w:t>Forfeiture of restricted stock units</w:t>
            </w:r>
          </w:p>
        </w:tc>
        <w:tc>
          <w:tcPr>
            <w:tcW w:w="108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shd w:val="clear" w:color="auto" w:fill="CCECFF"/>
          </w:tcPr>
          <w:p>
            <w:pPr>
              <w:spacing w:after="0"/>
              <w:rPr>
                <w:sz w:val="18"/>
                <w:szCs w:val="18"/>
                <w:color w:val="auto"/>
              </w:rPr>
            </w:pPr>
          </w:p>
        </w:tc>
        <w:tc>
          <w:tcPr>
            <w:tcW w:w="140" w:type="dxa"/>
            <w:vAlign w:val="bottom"/>
            <w:shd w:val="clear" w:color="auto" w:fill="CCECFF"/>
          </w:tcPr>
          <w:p>
            <w:pPr>
              <w:spacing w:after="0"/>
              <w:rPr>
                <w:sz w:val="18"/>
                <w:szCs w:val="18"/>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980" w:type="dxa"/>
            <w:vAlign w:val="bottom"/>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CFF"/>
          </w:tcPr>
          <w:p>
            <w:pPr>
              <w:spacing w:after="0"/>
              <w:rPr>
                <w:sz w:val="18"/>
                <w:szCs w:val="18"/>
                <w:color w:val="auto"/>
              </w:rPr>
            </w:pPr>
          </w:p>
        </w:tc>
        <w:tc>
          <w:tcPr>
            <w:tcW w:w="10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CFF"/>
          </w:tcPr>
          <w:p>
            <w:pPr>
              <w:spacing w:after="0"/>
              <w:rPr>
                <w:sz w:val="18"/>
                <w:szCs w:val="18"/>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1320" w:type="dxa"/>
            <w:vAlign w:val="bottom"/>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CFF"/>
          </w:tcPr>
          <w:p>
            <w:pPr>
              <w:spacing w:after="0"/>
              <w:rPr>
                <w:sz w:val="18"/>
                <w:szCs w:val="18"/>
                <w:color w:val="auto"/>
              </w:rPr>
            </w:pPr>
          </w:p>
        </w:tc>
        <w:tc>
          <w:tcPr>
            <w:tcW w:w="76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(1,312)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(11,594)</w:t>
            </w:r>
          </w:p>
        </w:tc>
        <w:tc>
          <w:tcPr>
            <w:tcW w:w="10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(11,594)</w:t>
            </w:r>
          </w:p>
        </w:tc>
        <w:tc>
          <w:tcPr>
            <w:tcW w:w="0" w:type="dxa"/>
            <w:vAlign w:val="bottom"/>
          </w:tcPr>
          <w:p>
            <w:pPr>
              <w:spacing w:after="0"/>
              <w:rPr>
                <w:sz w:val="1"/>
                <w:szCs w:val="1"/>
                <w:color w:val="auto"/>
              </w:rPr>
            </w:pPr>
          </w:p>
        </w:tc>
      </w:tr>
      <w:tr>
        <w:trPr>
          <w:trHeight w:val="216"/>
        </w:trPr>
        <w:tc>
          <w:tcPr>
            <w:tcW w:w="3500" w:type="dxa"/>
            <w:vAlign w:val="bottom"/>
            <w:shd w:val="clear" w:color="auto" w:fill="CCECFF"/>
          </w:tcPr>
          <w:p>
            <w:pPr>
              <w:ind w:left="80"/>
              <w:spacing w:after="0"/>
              <w:rPr>
                <w:sz w:val="20"/>
                <w:szCs w:val="20"/>
                <w:color w:val="auto"/>
              </w:rPr>
            </w:pPr>
            <w:r>
              <w:rPr>
                <w:rFonts w:ascii="Times New Roman" w:cs="Times New Roman" w:eastAsia="Times New Roman" w:hAnsi="Times New Roman"/>
                <w:sz w:val="18"/>
                <w:szCs w:val="18"/>
                <w:color w:val="auto"/>
              </w:rPr>
              <w:t>Net income</w:t>
            </w:r>
          </w:p>
        </w:tc>
        <w:tc>
          <w:tcPr>
            <w:tcW w:w="108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CFF"/>
          </w:tcPr>
          <w:p>
            <w:pPr>
              <w:spacing w:after="0"/>
              <w:rPr>
                <w:sz w:val="18"/>
                <w:szCs w:val="18"/>
                <w:color w:val="auto"/>
              </w:rPr>
            </w:pPr>
          </w:p>
        </w:tc>
        <w:tc>
          <w:tcPr>
            <w:tcW w:w="140" w:type="dxa"/>
            <w:vAlign w:val="bottom"/>
            <w:shd w:val="clear" w:color="auto" w:fill="CCECFF"/>
          </w:tcPr>
          <w:p>
            <w:pPr>
              <w:spacing w:after="0"/>
              <w:rPr>
                <w:sz w:val="18"/>
                <w:szCs w:val="18"/>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980" w:type="dxa"/>
            <w:vAlign w:val="bottom"/>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CFF"/>
          </w:tcPr>
          <w:p>
            <w:pPr>
              <w:spacing w:after="0"/>
              <w:rPr>
                <w:sz w:val="18"/>
                <w:szCs w:val="18"/>
                <w:color w:val="auto"/>
              </w:rPr>
            </w:pPr>
          </w:p>
        </w:tc>
        <w:tc>
          <w:tcPr>
            <w:tcW w:w="10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CFF"/>
          </w:tcPr>
          <w:p>
            <w:pPr>
              <w:spacing w:after="0"/>
              <w:rPr>
                <w:sz w:val="18"/>
                <w:szCs w:val="18"/>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43,111</w:t>
            </w:r>
          </w:p>
        </w:tc>
        <w:tc>
          <w:tcPr>
            <w:tcW w:w="22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1320" w:type="dxa"/>
            <w:vAlign w:val="bottom"/>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CFF"/>
          </w:tcPr>
          <w:p>
            <w:pPr>
              <w:spacing w:after="0"/>
              <w:rPr>
                <w:sz w:val="18"/>
                <w:szCs w:val="18"/>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43,111</w:t>
            </w:r>
          </w:p>
        </w:tc>
        <w:tc>
          <w:tcPr>
            <w:tcW w:w="10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Other comprehensive income—net of tax</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0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BALANCE—June 30, 2025</w:t>
            </w: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66,681</w:t>
            </w:r>
          </w:p>
        </w:tc>
        <w:tc>
          <w:tcPr>
            <w:tcW w:w="160" w:type="dxa"/>
            <w:vAlign w:val="bottom"/>
            <w:shd w:val="clear" w:color="auto" w:fill="CCECFF"/>
          </w:tcPr>
          <w:p>
            <w:pPr>
              <w:spacing w:after="0"/>
              <w:rPr>
                <w:sz w:val="19"/>
                <w:szCs w:val="19"/>
                <w:color w:val="auto"/>
              </w:rPr>
            </w:pPr>
          </w:p>
        </w:tc>
        <w:tc>
          <w:tcPr>
            <w:tcW w:w="80" w:type="dxa"/>
            <w:vAlign w:val="bottom"/>
            <w:shd w:val="clear" w:color="auto" w:fill="CCECFF"/>
          </w:tcPr>
          <w:p>
            <w:pPr>
              <w:spacing w:after="0"/>
              <w:rPr>
                <w:sz w:val="19"/>
                <w:szCs w:val="19"/>
                <w:color w:val="auto"/>
              </w:rPr>
            </w:pPr>
          </w:p>
        </w:tc>
        <w:tc>
          <w:tcPr>
            <w:tcW w:w="1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360" w:type="dxa"/>
            <w:vAlign w:val="bottom"/>
            <w:gridSpan w:val="2"/>
            <w:shd w:val="clear" w:color="auto" w:fill="CCECFF"/>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4"/>
                <w:szCs w:val="14"/>
                <w:color w:val="auto"/>
              </w:rPr>
              <w:t>(11,594)</w:t>
            </w:r>
          </w:p>
        </w:tc>
        <w:tc>
          <w:tcPr>
            <w:tcW w:w="1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323,613</w:t>
            </w:r>
          </w:p>
        </w:tc>
        <w:tc>
          <w:tcPr>
            <w:tcW w:w="220" w:type="dxa"/>
            <w:vAlign w:val="bottom"/>
            <w:shd w:val="clear" w:color="auto" w:fill="CCECFF"/>
          </w:tcPr>
          <w:p>
            <w:pPr>
              <w:spacing w:after="0"/>
              <w:rPr>
                <w:sz w:val="19"/>
                <w:szCs w:val="19"/>
                <w:color w:val="auto"/>
              </w:rPr>
            </w:pPr>
          </w:p>
        </w:tc>
        <w:tc>
          <w:tcPr>
            <w:tcW w:w="1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170,596</w:t>
            </w:r>
          </w:p>
        </w:tc>
        <w:tc>
          <w:tcPr>
            <w:tcW w:w="32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8"/>
                <w:szCs w:val="18"/>
                <w:color w:val="auto"/>
              </w:rPr>
              <w:t>(753)</w:t>
            </w:r>
          </w:p>
        </w:tc>
        <w:tc>
          <w:tcPr>
            <w:tcW w:w="1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481,869</w:t>
            </w:r>
          </w:p>
        </w:tc>
        <w:tc>
          <w:tcPr>
            <w:tcW w:w="100" w:type="dxa"/>
            <w:vAlign w:val="bottom"/>
            <w:shd w:val="clear" w:color="auto" w:fill="CCEC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00" w:type="dxa"/>
            <w:vAlign w:val="bottom"/>
            <w:tcBorders>
              <w:top w:val="single" w:sz="8" w:color="CCECFF"/>
            </w:tcBorders>
            <w:shd w:val="clear" w:color="auto" w:fill="CCEC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CFF"/>
            </w:tcBorders>
            <w:shd w:val="clear" w:color="auto" w:fill="CCECFF"/>
          </w:tcPr>
          <w:p>
            <w:pPr>
              <w:spacing w:after="0" w:line="20" w:lineRule="exact"/>
              <w:rPr>
                <w:sz w:val="1"/>
                <w:szCs w:val="1"/>
                <w:color w:val="auto"/>
              </w:rPr>
            </w:pPr>
          </w:p>
        </w:tc>
        <w:tc>
          <w:tcPr>
            <w:tcW w:w="80" w:type="dxa"/>
            <w:vAlign w:val="bottom"/>
            <w:tcBorders>
              <w:top w:val="single" w:sz="8" w:color="CCECFF"/>
            </w:tcBorders>
            <w:shd w:val="clear" w:color="auto" w:fill="CCEC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CFF"/>
            </w:tcBorders>
            <w:shd w:val="clear" w:color="auto" w:fill="CCEC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CFF"/>
            </w:tcBorders>
            <w:shd w:val="clear" w:color="auto" w:fill="CCEC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CFF"/>
            </w:tcBorders>
            <w:shd w:val="clear" w:color="auto" w:fill="CCEC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CFF"/>
            </w:tcBorders>
            <w:shd w:val="clear" w:color="auto" w:fill="CCEC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CFF"/>
            </w:tcBorders>
            <w:shd w:val="clear" w:color="auto" w:fill="CCEC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CFF"/>
            </w:tcBorders>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BALANCE—January 1, 2024</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66,623</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3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317,337</w:t>
            </w:r>
          </w:p>
        </w:tc>
        <w:tc>
          <w:tcPr>
            <w:tcW w:w="2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70,220</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(2,015)</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385,548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CECFF"/>
          </w:tcPr>
          <w:p>
            <w:pPr>
              <w:ind w:left="80"/>
              <w:spacing w:after="0"/>
              <w:rPr>
                <w:sz w:val="20"/>
                <w:szCs w:val="20"/>
                <w:color w:val="auto"/>
              </w:rPr>
            </w:pPr>
            <w:r>
              <w:rPr>
                <w:rFonts w:ascii="Times New Roman" w:cs="Times New Roman" w:eastAsia="Times New Roman" w:hAnsi="Times New Roman"/>
                <w:sz w:val="18"/>
                <w:szCs w:val="18"/>
                <w:color w:val="auto"/>
              </w:rPr>
              <w:t>Share-based compensation</w:t>
            </w: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60" w:type="dxa"/>
            <w:vAlign w:val="bottom"/>
            <w:shd w:val="clear" w:color="auto" w:fill="CCECFF"/>
          </w:tcPr>
          <w:p>
            <w:pPr>
              <w:spacing w:after="0"/>
              <w:rPr>
                <w:sz w:val="18"/>
                <w:szCs w:val="18"/>
                <w:color w:val="auto"/>
              </w:rPr>
            </w:pPr>
          </w:p>
        </w:tc>
        <w:tc>
          <w:tcPr>
            <w:tcW w:w="80" w:type="dxa"/>
            <w:vAlign w:val="bottom"/>
            <w:shd w:val="clear" w:color="auto" w:fill="CCECFF"/>
          </w:tcPr>
          <w:p>
            <w:pPr>
              <w:spacing w:after="0"/>
              <w:rPr>
                <w:sz w:val="18"/>
                <w:szCs w:val="18"/>
                <w:color w:val="auto"/>
              </w:rPr>
            </w:pPr>
          </w:p>
        </w:tc>
        <w:tc>
          <w:tcPr>
            <w:tcW w:w="140" w:type="dxa"/>
            <w:vAlign w:val="bottom"/>
            <w:shd w:val="clear" w:color="auto" w:fill="CCECFF"/>
          </w:tcPr>
          <w:p>
            <w:pPr>
              <w:spacing w:after="0"/>
              <w:rPr>
                <w:sz w:val="18"/>
                <w:szCs w:val="18"/>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980" w:type="dxa"/>
            <w:vAlign w:val="bottom"/>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CFF"/>
          </w:tcPr>
          <w:p>
            <w:pPr>
              <w:spacing w:after="0"/>
              <w:rPr>
                <w:sz w:val="18"/>
                <w:szCs w:val="18"/>
                <w:color w:val="auto"/>
              </w:rPr>
            </w:pP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2,396</w:t>
            </w:r>
          </w:p>
        </w:tc>
        <w:tc>
          <w:tcPr>
            <w:tcW w:w="22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1320" w:type="dxa"/>
            <w:vAlign w:val="bottom"/>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CFF"/>
          </w:tcPr>
          <w:p>
            <w:pPr>
              <w:spacing w:after="0"/>
              <w:rPr>
                <w:sz w:val="18"/>
                <w:szCs w:val="18"/>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2,397</w:t>
            </w:r>
          </w:p>
        </w:tc>
        <w:tc>
          <w:tcPr>
            <w:tcW w:w="10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500" w:type="dxa"/>
            <w:vAlign w:val="bottom"/>
          </w:tcPr>
          <w:p>
            <w:pPr>
              <w:ind w:left="80"/>
              <w:spacing w:after="0" w:line="198" w:lineRule="exact"/>
              <w:rPr>
                <w:sz w:val="20"/>
                <w:szCs w:val="20"/>
                <w:color w:val="auto"/>
              </w:rPr>
            </w:pPr>
            <w:r>
              <w:rPr>
                <w:rFonts w:ascii="Times New Roman" w:cs="Times New Roman" w:eastAsia="Times New Roman" w:hAnsi="Times New Roman"/>
                <w:sz w:val="18"/>
                <w:szCs w:val="18"/>
                <w:color w:val="auto"/>
              </w:rPr>
              <w:t>Vesting of restricted stock units and impact</w:t>
            </w: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of shares withheld for taxes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(970)</w:t>
            </w: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(970)</w:t>
            </w:r>
          </w:p>
        </w:tc>
        <w:tc>
          <w:tcPr>
            <w:tcW w:w="0" w:type="dxa"/>
            <w:vAlign w:val="bottom"/>
          </w:tcPr>
          <w:p>
            <w:pPr>
              <w:spacing w:after="0"/>
              <w:rPr>
                <w:sz w:val="1"/>
                <w:szCs w:val="1"/>
                <w:color w:val="auto"/>
              </w:rPr>
            </w:pPr>
          </w:p>
        </w:tc>
      </w:tr>
      <w:tr>
        <w:trPr>
          <w:trHeight w:val="198"/>
        </w:trPr>
        <w:tc>
          <w:tcPr>
            <w:tcW w:w="3500" w:type="dxa"/>
            <w:vAlign w:val="bottom"/>
            <w:shd w:val="clear" w:color="auto" w:fill="CCECFF"/>
          </w:tcPr>
          <w:p>
            <w:pPr>
              <w:ind w:left="80"/>
              <w:spacing w:after="0" w:line="198" w:lineRule="exact"/>
              <w:rPr>
                <w:sz w:val="20"/>
                <w:szCs w:val="20"/>
                <w:color w:val="auto"/>
              </w:rPr>
            </w:pPr>
            <w:r>
              <w:rPr>
                <w:rFonts w:ascii="Times New Roman" w:cs="Times New Roman" w:eastAsia="Times New Roman" w:hAnsi="Times New Roman"/>
                <w:sz w:val="18"/>
                <w:szCs w:val="18"/>
                <w:color w:val="auto"/>
              </w:rPr>
              <w:t>Exercise of options and purchases from</w:t>
            </w:r>
          </w:p>
        </w:tc>
        <w:tc>
          <w:tcPr>
            <w:tcW w:w="920" w:type="dxa"/>
            <w:vAlign w:val="bottom"/>
            <w:shd w:val="clear" w:color="auto" w:fill="CCECFF"/>
          </w:tcPr>
          <w:p>
            <w:pPr>
              <w:spacing w:after="0"/>
              <w:rPr>
                <w:sz w:val="17"/>
                <w:szCs w:val="17"/>
                <w:color w:val="auto"/>
              </w:rPr>
            </w:pPr>
          </w:p>
        </w:tc>
        <w:tc>
          <w:tcPr>
            <w:tcW w:w="160" w:type="dxa"/>
            <w:vAlign w:val="bottom"/>
            <w:shd w:val="clear" w:color="auto" w:fill="CCECFF"/>
          </w:tcPr>
          <w:p>
            <w:pPr>
              <w:spacing w:after="0"/>
              <w:rPr>
                <w:sz w:val="17"/>
                <w:szCs w:val="17"/>
                <w:color w:val="auto"/>
              </w:rPr>
            </w:pPr>
          </w:p>
        </w:tc>
        <w:tc>
          <w:tcPr>
            <w:tcW w:w="80" w:type="dxa"/>
            <w:vAlign w:val="bottom"/>
            <w:shd w:val="clear" w:color="auto" w:fill="CCECFF"/>
          </w:tcPr>
          <w:p>
            <w:pPr>
              <w:spacing w:after="0"/>
              <w:rPr>
                <w:sz w:val="17"/>
                <w:szCs w:val="17"/>
                <w:color w:val="auto"/>
              </w:rPr>
            </w:pPr>
          </w:p>
        </w:tc>
        <w:tc>
          <w:tcPr>
            <w:tcW w:w="140" w:type="dxa"/>
            <w:vAlign w:val="bottom"/>
            <w:shd w:val="clear" w:color="auto" w:fill="CCECFF"/>
          </w:tcPr>
          <w:p>
            <w:pPr>
              <w:spacing w:after="0"/>
              <w:rPr>
                <w:sz w:val="17"/>
                <w:szCs w:val="17"/>
                <w:color w:val="auto"/>
              </w:rPr>
            </w:pPr>
          </w:p>
        </w:tc>
        <w:tc>
          <w:tcPr>
            <w:tcW w:w="560" w:type="dxa"/>
            <w:vAlign w:val="bottom"/>
            <w:shd w:val="clear" w:color="auto" w:fill="CCECFF"/>
          </w:tcPr>
          <w:p>
            <w:pPr>
              <w:spacing w:after="0"/>
              <w:rPr>
                <w:sz w:val="17"/>
                <w:szCs w:val="17"/>
                <w:color w:val="auto"/>
              </w:rPr>
            </w:pPr>
          </w:p>
        </w:tc>
        <w:tc>
          <w:tcPr>
            <w:tcW w:w="240" w:type="dxa"/>
            <w:vAlign w:val="bottom"/>
            <w:shd w:val="clear" w:color="auto" w:fill="CCECFF"/>
          </w:tcPr>
          <w:p>
            <w:pPr>
              <w:spacing w:after="0"/>
              <w:rPr>
                <w:sz w:val="17"/>
                <w:szCs w:val="17"/>
                <w:color w:val="auto"/>
              </w:rPr>
            </w:pPr>
          </w:p>
        </w:tc>
        <w:tc>
          <w:tcPr>
            <w:tcW w:w="120" w:type="dxa"/>
            <w:vAlign w:val="bottom"/>
            <w:shd w:val="clear" w:color="auto" w:fill="CCECFF"/>
          </w:tcPr>
          <w:p>
            <w:pPr>
              <w:spacing w:after="0"/>
              <w:rPr>
                <w:sz w:val="17"/>
                <w:szCs w:val="17"/>
                <w:color w:val="auto"/>
              </w:rPr>
            </w:pPr>
          </w:p>
        </w:tc>
        <w:tc>
          <w:tcPr>
            <w:tcW w:w="760" w:type="dxa"/>
            <w:vAlign w:val="bottom"/>
            <w:shd w:val="clear" w:color="auto" w:fill="CCECFF"/>
          </w:tcPr>
          <w:p>
            <w:pPr>
              <w:spacing w:after="0"/>
              <w:rPr>
                <w:sz w:val="17"/>
                <w:szCs w:val="17"/>
                <w:color w:val="auto"/>
              </w:rPr>
            </w:pPr>
          </w:p>
        </w:tc>
        <w:tc>
          <w:tcPr>
            <w:tcW w:w="220" w:type="dxa"/>
            <w:vAlign w:val="bottom"/>
            <w:shd w:val="clear" w:color="auto" w:fill="CCECFF"/>
          </w:tcPr>
          <w:p>
            <w:pPr>
              <w:spacing w:after="0"/>
              <w:rPr>
                <w:sz w:val="17"/>
                <w:szCs w:val="17"/>
                <w:color w:val="auto"/>
              </w:rPr>
            </w:pPr>
          </w:p>
        </w:tc>
        <w:tc>
          <w:tcPr>
            <w:tcW w:w="100" w:type="dxa"/>
            <w:vAlign w:val="bottom"/>
            <w:shd w:val="clear" w:color="auto" w:fill="CCECFF"/>
          </w:tcPr>
          <w:p>
            <w:pPr>
              <w:spacing w:after="0"/>
              <w:rPr>
                <w:sz w:val="17"/>
                <w:szCs w:val="17"/>
                <w:color w:val="auto"/>
              </w:rPr>
            </w:pPr>
          </w:p>
        </w:tc>
        <w:tc>
          <w:tcPr>
            <w:tcW w:w="800" w:type="dxa"/>
            <w:vAlign w:val="bottom"/>
            <w:shd w:val="clear" w:color="auto" w:fill="CCECFF"/>
          </w:tcPr>
          <w:p>
            <w:pPr>
              <w:spacing w:after="0"/>
              <w:rPr>
                <w:sz w:val="17"/>
                <w:szCs w:val="17"/>
                <w:color w:val="auto"/>
              </w:rPr>
            </w:pPr>
          </w:p>
        </w:tc>
        <w:tc>
          <w:tcPr>
            <w:tcW w:w="220" w:type="dxa"/>
            <w:vAlign w:val="bottom"/>
            <w:shd w:val="clear" w:color="auto" w:fill="CCECFF"/>
          </w:tcPr>
          <w:p>
            <w:pPr>
              <w:spacing w:after="0"/>
              <w:rPr>
                <w:sz w:val="17"/>
                <w:szCs w:val="17"/>
                <w:color w:val="auto"/>
              </w:rPr>
            </w:pPr>
          </w:p>
        </w:tc>
        <w:tc>
          <w:tcPr>
            <w:tcW w:w="120" w:type="dxa"/>
            <w:vAlign w:val="bottom"/>
            <w:shd w:val="clear" w:color="auto" w:fill="CCECFF"/>
          </w:tcPr>
          <w:p>
            <w:pPr>
              <w:spacing w:after="0"/>
              <w:rPr>
                <w:sz w:val="17"/>
                <w:szCs w:val="17"/>
                <w:color w:val="auto"/>
              </w:rPr>
            </w:pPr>
          </w:p>
        </w:tc>
        <w:tc>
          <w:tcPr>
            <w:tcW w:w="760" w:type="dxa"/>
            <w:vAlign w:val="bottom"/>
            <w:shd w:val="clear" w:color="auto" w:fill="CCECFF"/>
          </w:tcPr>
          <w:p>
            <w:pPr>
              <w:spacing w:after="0"/>
              <w:rPr>
                <w:sz w:val="17"/>
                <w:szCs w:val="17"/>
                <w:color w:val="auto"/>
              </w:rPr>
            </w:pPr>
          </w:p>
        </w:tc>
        <w:tc>
          <w:tcPr>
            <w:tcW w:w="220" w:type="dxa"/>
            <w:vAlign w:val="bottom"/>
            <w:shd w:val="clear" w:color="auto" w:fill="CCECFF"/>
          </w:tcPr>
          <w:p>
            <w:pPr>
              <w:spacing w:after="0"/>
              <w:rPr>
                <w:sz w:val="17"/>
                <w:szCs w:val="17"/>
                <w:color w:val="auto"/>
              </w:rPr>
            </w:pPr>
          </w:p>
        </w:tc>
        <w:tc>
          <w:tcPr>
            <w:tcW w:w="100" w:type="dxa"/>
            <w:vAlign w:val="bottom"/>
            <w:shd w:val="clear" w:color="auto" w:fill="CCECFF"/>
          </w:tcPr>
          <w:p>
            <w:pPr>
              <w:spacing w:after="0"/>
              <w:rPr>
                <w:sz w:val="17"/>
                <w:szCs w:val="17"/>
                <w:color w:val="auto"/>
              </w:rPr>
            </w:pPr>
          </w:p>
        </w:tc>
        <w:tc>
          <w:tcPr>
            <w:tcW w:w="1120" w:type="dxa"/>
            <w:vAlign w:val="bottom"/>
            <w:shd w:val="clear" w:color="auto" w:fill="CCECFF"/>
          </w:tcPr>
          <w:p>
            <w:pPr>
              <w:spacing w:after="0"/>
              <w:rPr>
                <w:sz w:val="17"/>
                <w:szCs w:val="17"/>
                <w:color w:val="auto"/>
              </w:rPr>
            </w:pPr>
          </w:p>
        </w:tc>
        <w:tc>
          <w:tcPr>
            <w:tcW w:w="200" w:type="dxa"/>
            <w:vAlign w:val="bottom"/>
            <w:shd w:val="clear" w:color="auto" w:fill="CCECFF"/>
          </w:tcPr>
          <w:p>
            <w:pPr>
              <w:spacing w:after="0"/>
              <w:rPr>
                <w:sz w:val="17"/>
                <w:szCs w:val="17"/>
                <w:color w:val="auto"/>
              </w:rPr>
            </w:pPr>
          </w:p>
        </w:tc>
        <w:tc>
          <w:tcPr>
            <w:tcW w:w="140" w:type="dxa"/>
            <w:vAlign w:val="bottom"/>
            <w:shd w:val="clear" w:color="auto" w:fill="CCECFF"/>
          </w:tcPr>
          <w:p>
            <w:pPr>
              <w:spacing w:after="0"/>
              <w:rPr>
                <w:sz w:val="17"/>
                <w:szCs w:val="17"/>
                <w:color w:val="auto"/>
              </w:rPr>
            </w:pPr>
          </w:p>
        </w:tc>
        <w:tc>
          <w:tcPr>
            <w:tcW w:w="660" w:type="dxa"/>
            <w:vAlign w:val="bottom"/>
            <w:shd w:val="clear" w:color="auto" w:fill="CCECFF"/>
          </w:tcPr>
          <w:p>
            <w:pPr>
              <w:spacing w:after="0"/>
              <w:rPr>
                <w:sz w:val="17"/>
                <w:szCs w:val="17"/>
                <w:color w:val="auto"/>
              </w:rPr>
            </w:pPr>
          </w:p>
        </w:tc>
        <w:tc>
          <w:tcPr>
            <w:tcW w:w="100" w:type="dxa"/>
            <w:vAlign w:val="bottom"/>
            <w:shd w:val="clear" w:color="auto" w:fill="CCEC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500" w:type="dxa"/>
            <w:vAlign w:val="bottom"/>
            <w:shd w:val="clear" w:color="auto" w:fill="CCECFF"/>
          </w:tcPr>
          <w:p>
            <w:pPr>
              <w:ind w:left="80"/>
              <w:spacing w:after="0"/>
              <w:rPr>
                <w:sz w:val="20"/>
                <w:szCs w:val="20"/>
                <w:color w:val="auto"/>
              </w:rPr>
            </w:pPr>
            <w:r>
              <w:rPr>
                <w:rFonts w:ascii="Times New Roman" w:cs="Times New Roman" w:eastAsia="Times New Roman" w:hAnsi="Times New Roman"/>
                <w:sz w:val="18"/>
                <w:szCs w:val="18"/>
                <w:color w:val="auto"/>
              </w:rPr>
              <w:t>employee stock plans</w:t>
            </w: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60" w:type="dxa"/>
            <w:vAlign w:val="bottom"/>
            <w:shd w:val="clear" w:color="auto" w:fill="CCECFF"/>
          </w:tcPr>
          <w:p>
            <w:pPr>
              <w:spacing w:after="0"/>
              <w:rPr>
                <w:sz w:val="20"/>
                <w:szCs w:val="20"/>
                <w:color w:val="auto"/>
              </w:rPr>
            </w:pPr>
          </w:p>
        </w:tc>
        <w:tc>
          <w:tcPr>
            <w:tcW w:w="80" w:type="dxa"/>
            <w:vAlign w:val="bottom"/>
            <w:shd w:val="clear" w:color="auto" w:fill="CCECFF"/>
          </w:tcPr>
          <w:p>
            <w:pPr>
              <w:spacing w:after="0"/>
              <w:rPr>
                <w:sz w:val="20"/>
                <w:szCs w:val="20"/>
                <w:color w:val="auto"/>
              </w:rPr>
            </w:pPr>
          </w:p>
        </w:tc>
        <w:tc>
          <w:tcPr>
            <w:tcW w:w="140" w:type="dxa"/>
            <w:vAlign w:val="bottom"/>
            <w:shd w:val="clear" w:color="auto" w:fill="CCECFF"/>
          </w:tcPr>
          <w:p>
            <w:pPr>
              <w:spacing w:after="0"/>
              <w:rPr>
                <w:sz w:val="20"/>
                <w:szCs w:val="20"/>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CFF"/>
          </w:tcPr>
          <w:p>
            <w:pPr>
              <w:spacing w:after="0"/>
              <w:rPr>
                <w:sz w:val="20"/>
                <w:szCs w:val="20"/>
                <w:color w:val="auto"/>
              </w:rPr>
            </w:pPr>
          </w:p>
        </w:tc>
        <w:tc>
          <w:tcPr>
            <w:tcW w:w="120" w:type="dxa"/>
            <w:vAlign w:val="bottom"/>
            <w:shd w:val="clear" w:color="auto" w:fill="CCECFF"/>
          </w:tcPr>
          <w:p>
            <w:pPr>
              <w:spacing w:after="0"/>
              <w:rPr>
                <w:sz w:val="20"/>
                <w:szCs w:val="20"/>
                <w:color w:val="auto"/>
              </w:rPr>
            </w:pPr>
          </w:p>
        </w:tc>
        <w:tc>
          <w:tcPr>
            <w:tcW w:w="980" w:type="dxa"/>
            <w:vAlign w:val="bottom"/>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CFF"/>
          </w:tcPr>
          <w:p>
            <w:pPr>
              <w:spacing w:after="0"/>
              <w:rPr>
                <w:sz w:val="20"/>
                <w:szCs w:val="20"/>
                <w:color w:val="auto"/>
              </w:rPr>
            </w:pP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220" w:type="dxa"/>
            <w:vAlign w:val="bottom"/>
            <w:shd w:val="clear" w:color="auto" w:fill="CCECFF"/>
          </w:tcPr>
          <w:p>
            <w:pPr>
              <w:spacing w:after="0"/>
              <w:rPr>
                <w:sz w:val="20"/>
                <w:szCs w:val="20"/>
                <w:color w:val="auto"/>
              </w:rPr>
            </w:pPr>
          </w:p>
        </w:tc>
        <w:tc>
          <w:tcPr>
            <w:tcW w:w="120" w:type="dxa"/>
            <w:vAlign w:val="bottom"/>
            <w:shd w:val="clear" w:color="auto" w:fill="CCECFF"/>
          </w:tcPr>
          <w:p>
            <w:pPr>
              <w:spacing w:after="0"/>
              <w:rPr>
                <w:sz w:val="20"/>
                <w:szCs w:val="20"/>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CFF"/>
          </w:tcPr>
          <w:p>
            <w:pPr>
              <w:spacing w:after="0"/>
              <w:rPr>
                <w:sz w:val="20"/>
                <w:szCs w:val="20"/>
                <w:color w:val="auto"/>
              </w:rPr>
            </w:pPr>
          </w:p>
        </w:tc>
        <w:tc>
          <w:tcPr>
            <w:tcW w:w="100" w:type="dxa"/>
            <w:vAlign w:val="bottom"/>
            <w:shd w:val="clear" w:color="auto" w:fill="CCECFF"/>
          </w:tcPr>
          <w:p>
            <w:pPr>
              <w:spacing w:after="0"/>
              <w:rPr>
                <w:sz w:val="20"/>
                <w:szCs w:val="20"/>
                <w:color w:val="auto"/>
              </w:rPr>
            </w:pPr>
          </w:p>
        </w:tc>
        <w:tc>
          <w:tcPr>
            <w:tcW w:w="1320" w:type="dxa"/>
            <w:vAlign w:val="bottom"/>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CFF"/>
          </w:tcPr>
          <w:p>
            <w:pPr>
              <w:spacing w:after="0"/>
              <w:rPr>
                <w:sz w:val="20"/>
                <w:szCs w:val="20"/>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100" w:type="dxa"/>
            <w:vAlign w:val="bottom"/>
            <w:shd w:val="clear" w:color="auto" w:fill="CCEC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Net income</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28,697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Borders>
              <w:bottom w:val="single" w:sz="8" w:color="CCECFF"/>
            </w:tcBorders>
            <w:shd w:val="clear" w:color="auto" w:fill="CCECFF"/>
          </w:tcPr>
          <w:p>
            <w:pPr>
              <w:ind w:left="80"/>
              <w:spacing w:after="0"/>
              <w:rPr>
                <w:sz w:val="20"/>
                <w:szCs w:val="20"/>
                <w:color w:val="auto"/>
              </w:rPr>
            </w:pPr>
            <w:r>
              <w:rPr>
                <w:rFonts w:ascii="Times New Roman" w:cs="Times New Roman" w:eastAsia="Times New Roman" w:hAnsi="Times New Roman"/>
                <w:sz w:val="18"/>
                <w:szCs w:val="18"/>
                <w:color w:val="auto"/>
              </w:rPr>
              <w:t>Other comprehensive income—net of tax</w:t>
            </w:r>
          </w:p>
        </w:tc>
        <w:tc>
          <w:tcPr>
            <w:tcW w:w="9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CFF"/>
            </w:tcBorders>
            <w:shd w:val="clear" w:color="auto" w:fill="CCECFF"/>
          </w:tcPr>
          <w:p>
            <w:pPr>
              <w:spacing w:after="0"/>
              <w:rPr>
                <w:sz w:val="18"/>
                <w:szCs w:val="18"/>
                <w:color w:val="auto"/>
              </w:rPr>
            </w:pPr>
          </w:p>
        </w:tc>
        <w:tc>
          <w:tcPr>
            <w:tcW w:w="80" w:type="dxa"/>
            <w:vAlign w:val="bottom"/>
            <w:tcBorders>
              <w:bottom w:val="single" w:sz="8" w:color="CCECFF"/>
            </w:tcBorders>
            <w:shd w:val="clear" w:color="auto" w:fill="CCECFF"/>
          </w:tcPr>
          <w:p>
            <w:pPr>
              <w:spacing w:after="0"/>
              <w:rPr>
                <w:sz w:val="18"/>
                <w:szCs w:val="18"/>
                <w:color w:val="auto"/>
              </w:rPr>
            </w:pPr>
          </w:p>
        </w:tc>
        <w:tc>
          <w:tcPr>
            <w:tcW w:w="140" w:type="dxa"/>
            <w:vAlign w:val="bottom"/>
            <w:tcBorders>
              <w:bottom w:val="single" w:sz="8" w:color="auto"/>
            </w:tcBorders>
            <w:shd w:val="clear" w:color="auto" w:fill="CCECFF"/>
          </w:tcPr>
          <w:p>
            <w:pPr>
              <w:spacing w:after="0"/>
              <w:rPr>
                <w:sz w:val="18"/>
                <w:szCs w:val="18"/>
                <w:color w:val="auto"/>
              </w:rPr>
            </w:pPr>
          </w:p>
        </w:tc>
        <w:tc>
          <w:tcPr>
            <w:tcW w:w="5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CFF"/>
            </w:tcBorders>
            <w:shd w:val="clear" w:color="auto" w:fill="CCECFF"/>
          </w:tcPr>
          <w:p>
            <w:pPr>
              <w:spacing w:after="0"/>
              <w:rPr>
                <w:sz w:val="18"/>
                <w:szCs w:val="18"/>
                <w:color w:val="auto"/>
              </w:rPr>
            </w:pPr>
          </w:p>
        </w:tc>
        <w:tc>
          <w:tcPr>
            <w:tcW w:w="120" w:type="dxa"/>
            <w:vAlign w:val="bottom"/>
            <w:tcBorders>
              <w:bottom w:val="single" w:sz="8" w:color="auto"/>
            </w:tcBorders>
            <w:shd w:val="clear" w:color="auto" w:fill="CCECFF"/>
          </w:tcPr>
          <w:p>
            <w:pPr>
              <w:spacing w:after="0"/>
              <w:rPr>
                <w:sz w:val="18"/>
                <w:szCs w:val="18"/>
                <w:color w:val="auto"/>
              </w:rPr>
            </w:pPr>
          </w:p>
        </w:tc>
        <w:tc>
          <w:tcPr>
            <w:tcW w:w="7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CFF"/>
            </w:tcBorders>
            <w:shd w:val="clear" w:color="auto" w:fill="CCECFF"/>
          </w:tcPr>
          <w:p>
            <w:pPr>
              <w:spacing w:after="0"/>
              <w:rPr>
                <w:sz w:val="18"/>
                <w:szCs w:val="18"/>
                <w:color w:val="auto"/>
              </w:rPr>
            </w:pPr>
          </w:p>
        </w:tc>
        <w:tc>
          <w:tcPr>
            <w:tcW w:w="100" w:type="dxa"/>
            <w:vAlign w:val="bottom"/>
            <w:tcBorders>
              <w:bottom w:val="single" w:sz="8" w:color="auto"/>
            </w:tcBorders>
            <w:shd w:val="clear" w:color="auto" w:fill="CCECFF"/>
          </w:tcPr>
          <w:p>
            <w:pPr>
              <w:spacing w:after="0"/>
              <w:rPr>
                <w:sz w:val="18"/>
                <w:szCs w:val="18"/>
                <w:color w:val="auto"/>
              </w:rPr>
            </w:pPr>
          </w:p>
        </w:tc>
        <w:tc>
          <w:tcPr>
            <w:tcW w:w="8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CFF"/>
            </w:tcBorders>
            <w:shd w:val="clear" w:color="auto" w:fill="CCECFF"/>
          </w:tcPr>
          <w:p>
            <w:pPr>
              <w:spacing w:after="0"/>
              <w:rPr>
                <w:sz w:val="18"/>
                <w:szCs w:val="18"/>
                <w:color w:val="auto"/>
              </w:rPr>
            </w:pPr>
          </w:p>
        </w:tc>
        <w:tc>
          <w:tcPr>
            <w:tcW w:w="120" w:type="dxa"/>
            <w:vAlign w:val="bottom"/>
            <w:tcBorders>
              <w:bottom w:val="single" w:sz="8" w:color="auto"/>
            </w:tcBorders>
            <w:shd w:val="clear" w:color="auto" w:fill="CCECFF"/>
          </w:tcPr>
          <w:p>
            <w:pPr>
              <w:spacing w:after="0"/>
              <w:rPr>
                <w:sz w:val="18"/>
                <w:szCs w:val="18"/>
                <w:color w:val="auto"/>
              </w:rPr>
            </w:pPr>
          </w:p>
        </w:tc>
        <w:tc>
          <w:tcPr>
            <w:tcW w:w="7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CFF"/>
            </w:tcBorders>
            <w:shd w:val="clear" w:color="auto" w:fill="CCECFF"/>
          </w:tcPr>
          <w:p>
            <w:pPr>
              <w:spacing w:after="0"/>
              <w:rPr>
                <w:sz w:val="18"/>
                <w:szCs w:val="18"/>
                <w:color w:val="auto"/>
              </w:rPr>
            </w:pPr>
          </w:p>
        </w:tc>
        <w:tc>
          <w:tcPr>
            <w:tcW w:w="100" w:type="dxa"/>
            <w:vAlign w:val="bottom"/>
            <w:tcBorders>
              <w:bottom w:val="single" w:sz="8" w:color="auto"/>
            </w:tcBorders>
            <w:shd w:val="clear" w:color="auto" w:fill="CCECFF"/>
          </w:tcPr>
          <w:p>
            <w:pPr>
              <w:spacing w:after="0"/>
              <w:rPr>
                <w:sz w:val="18"/>
                <w:szCs w:val="18"/>
                <w:color w:val="auto"/>
              </w:rPr>
            </w:pPr>
          </w:p>
        </w:tc>
        <w:tc>
          <w:tcPr>
            <w:tcW w:w="11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1,338</w:t>
            </w:r>
          </w:p>
        </w:tc>
        <w:tc>
          <w:tcPr>
            <w:tcW w:w="200" w:type="dxa"/>
            <w:vAlign w:val="bottom"/>
            <w:tcBorders>
              <w:bottom w:val="single" w:sz="8" w:color="CCECFF"/>
            </w:tcBorders>
            <w:shd w:val="clear" w:color="auto" w:fill="CCECFF"/>
          </w:tcPr>
          <w:p>
            <w:pPr>
              <w:spacing w:after="0"/>
              <w:rPr>
                <w:sz w:val="18"/>
                <w:szCs w:val="18"/>
                <w:color w:val="auto"/>
              </w:rPr>
            </w:pPr>
          </w:p>
        </w:tc>
        <w:tc>
          <w:tcPr>
            <w:tcW w:w="140" w:type="dxa"/>
            <w:vAlign w:val="bottom"/>
            <w:tcBorders>
              <w:bottom w:val="single" w:sz="8" w:color="auto"/>
            </w:tcBorders>
            <w:shd w:val="clear" w:color="auto" w:fill="CCECFF"/>
          </w:tcPr>
          <w:p>
            <w:pPr>
              <w:spacing w:after="0"/>
              <w:rPr>
                <w:sz w:val="18"/>
                <w:szCs w:val="18"/>
                <w:color w:val="auto"/>
              </w:rPr>
            </w:pPr>
          </w:p>
        </w:tc>
        <w:tc>
          <w:tcPr>
            <w:tcW w:w="6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1,338</w:t>
            </w:r>
          </w:p>
        </w:tc>
        <w:tc>
          <w:tcPr>
            <w:tcW w:w="100" w:type="dxa"/>
            <w:vAlign w:val="bottom"/>
            <w:tcBorders>
              <w:bottom w:val="single" w:sz="8" w:color="CCECFF"/>
            </w:tcBorders>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BALANCE—June 30, 2024</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67,189</w:t>
            </w:r>
          </w:p>
        </w:tc>
        <w:tc>
          <w:tcPr>
            <w:tcW w:w="16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36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319,776</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98,917</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(677)</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418,023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2807970</wp:posOffset>
            </wp:positionH>
            <wp:positionV relativeFrom="paragraph">
              <wp:posOffset>-1370965</wp:posOffset>
            </wp:positionV>
            <wp:extent cx="7683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2807970</wp:posOffset>
            </wp:positionH>
            <wp:positionV relativeFrom="paragraph">
              <wp:posOffset>-1353820</wp:posOffset>
            </wp:positionV>
            <wp:extent cx="7683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-1370965</wp:posOffset>
            </wp:positionV>
            <wp:extent cx="7683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-1353820</wp:posOffset>
            </wp:positionV>
            <wp:extent cx="7683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-1370965</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-1353820</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-1370965</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-1353820</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-1370965</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-1353820</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-1370965</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-1353820</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-1370965</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-1353820</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2807970</wp:posOffset>
            </wp:positionH>
            <wp:positionV relativeFrom="paragraph">
              <wp:posOffset>-170815</wp:posOffset>
            </wp:positionV>
            <wp:extent cx="7683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-170815</wp:posOffset>
            </wp:positionV>
            <wp:extent cx="7683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-170815</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-170815</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-170815</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-170815</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Great Lakes Dredge &amp; Dock Corporation and Subsidiaries</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Equity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3740" w:type="dxa"/>
            <w:vAlign w:val="bottom"/>
          </w:tcPr>
          <w:p>
            <w:pPr>
              <w:spacing w:after="0"/>
              <w:rPr>
                <w:sz w:val="14"/>
                <w:szCs w:val="14"/>
                <w:color w:val="auto"/>
              </w:rPr>
            </w:pPr>
          </w:p>
        </w:tc>
        <w:tc>
          <w:tcPr>
            <w:tcW w:w="9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Shares of</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3740" w:type="dxa"/>
            <w:vAlign w:val="bottom"/>
          </w:tcPr>
          <w:p>
            <w:pPr>
              <w:spacing w:after="0"/>
              <w:rPr>
                <w:sz w:val="14"/>
                <w:szCs w:val="14"/>
                <w:color w:val="auto"/>
              </w:rPr>
            </w:pPr>
          </w:p>
        </w:tc>
        <w:tc>
          <w:tcPr>
            <w:tcW w:w="9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w w:val="97"/>
              </w:rPr>
              <w:t>Common</w:t>
            </w:r>
          </w:p>
        </w:tc>
        <w:tc>
          <w:tcPr>
            <w:tcW w:w="260" w:type="dxa"/>
            <w:vAlign w:val="bottom"/>
          </w:tcPr>
          <w:p>
            <w:pPr>
              <w:spacing w:after="0"/>
              <w:rPr>
                <w:sz w:val="14"/>
                <w:szCs w:val="14"/>
                <w:color w:val="auto"/>
              </w:rPr>
            </w:pPr>
          </w:p>
        </w:tc>
        <w:tc>
          <w:tcPr>
            <w:tcW w:w="88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00" w:type="dxa"/>
            <w:vAlign w:val="bottom"/>
          </w:tcPr>
          <w:p>
            <w:pPr>
              <w:spacing w:after="0"/>
              <w:rPr>
                <w:sz w:val="14"/>
                <w:szCs w:val="14"/>
                <w:color w:val="auto"/>
              </w:rPr>
            </w:pPr>
          </w:p>
        </w:tc>
        <w:tc>
          <w:tcPr>
            <w:tcW w:w="102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14"/>
                <w:szCs w:val="14"/>
                <w:color w:val="auto"/>
              </w:rPr>
            </w:pPr>
          </w:p>
        </w:tc>
        <w:tc>
          <w:tcPr>
            <w:tcW w:w="760" w:type="dxa"/>
            <w:vAlign w:val="bottom"/>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3"/>
        </w:trPr>
        <w:tc>
          <w:tcPr>
            <w:tcW w:w="3740" w:type="dxa"/>
            <w:vAlign w:val="bottom"/>
          </w:tcPr>
          <w:p>
            <w:pPr>
              <w:spacing w:after="0"/>
              <w:rPr>
                <w:sz w:val="15"/>
                <w:szCs w:val="15"/>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rPr>
              <w:t>Loss</w:t>
            </w:r>
          </w:p>
        </w:tc>
        <w:tc>
          <w:tcPr>
            <w:tcW w:w="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5"/>
                <w:szCs w:val="15"/>
                <w:color w:val="auto"/>
              </w:rPr>
            </w:pPr>
          </w:p>
        </w:tc>
      </w:tr>
      <w:tr>
        <w:trPr>
          <w:trHeight w:val="358"/>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BALANCE—March 31, 2025</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67,564</w:t>
            </w:r>
          </w:p>
        </w:tc>
        <w:tc>
          <w:tcPr>
            <w:tcW w:w="140" w:type="dxa"/>
            <w:vAlign w:val="bottom"/>
          </w:tcPr>
          <w:p>
            <w:pPr>
              <w:spacing w:after="0"/>
              <w:rPr>
                <w:sz w:val="24"/>
                <w:szCs w:val="24"/>
                <w:color w:val="auto"/>
              </w:rPr>
            </w:pP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3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(3,171)</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322,810</w:t>
            </w:r>
          </w:p>
        </w:tc>
        <w:tc>
          <w:tcPr>
            <w:tcW w:w="2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160,901</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(603)</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479,944</w:t>
            </w:r>
          </w:p>
        </w:tc>
        <w:tc>
          <w:tcPr>
            <w:tcW w:w="100" w:type="dxa"/>
            <w:vAlign w:val="bottom"/>
          </w:tcPr>
          <w:p>
            <w:pPr>
              <w:spacing w:after="0"/>
              <w:rPr>
                <w:sz w:val="24"/>
                <w:szCs w:val="24"/>
                <w:color w:val="auto"/>
              </w:rPr>
            </w:pPr>
          </w:p>
        </w:tc>
      </w:tr>
      <w:tr>
        <w:trPr>
          <w:trHeight w:val="216"/>
        </w:trPr>
        <w:tc>
          <w:tcPr>
            <w:tcW w:w="3740" w:type="dxa"/>
            <w:vAlign w:val="bottom"/>
            <w:shd w:val="clear" w:color="auto" w:fill="CCECFF"/>
          </w:tcPr>
          <w:p>
            <w:pPr>
              <w:ind w:left="80"/>
              <w:spacing w:after="0"/>
              <w:rPr>
                <w:sz w:val="20"/>
                <w:szCs w:val="20"/>
                <w:color w:val="auto"/>
              </w:rPr>
            </w:pPr>
            <w:r>
              <w:rPr>
                <w:rFonts w:ascii="Times New Roman" w:cs="Times New Roman" w:eastAsia="Times New Roman" w:hAnsi="Times New Roman"/>
                <w:sz w:val="18"/>
                <w:szCs w:val="18"/>
                <w:color w:val="auto"/>
              </w:rPr>
              <w:t>Share-based compensation</w:t>
            </w: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760" w:type="dxa"/>
            <w:vAlign w:val="bottom"/>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CFF"/>
          </w:tcPr>
          <w:p>
            <w:pPr>
              <w:spacing w:after="0"/>
              <w:rPr>
                <w:sz w:val="18"/>
                <w:szCs w:val="18"/>
                <w:color w:val="auto"/>
              </w:rPr>
            </w:pP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22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1320" w:type="dxa"/>
            <w:vAlign w:val="bottom"/>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CFF"/>
          </w:tcPr>
          <w:p>
            <w:pPr>
              <w:spacing w:after="0"/>
              <w:rPr>
                <w:sz w:val="18"/>
                <w:szCs w:val="18"/>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100" w:type="dxa"/>
            <w:vAlign w:val="bottom"/>
            <w:shd w:val="clear" w:color="auto" w:fill="CCECFF"/>
          </w:tcPr>
          <w:p>
            <w:pPr>
              <w:spacing w:after="0"/>
              <w:rPr>
                <w:sz w:val="18"/>
                <w:szCs w:val="18"/>
                <w:color w:val="auto"/>
              </w:rPr>
            </w:pPr>
          </w:p>
        </w:tc>
      </w:tr>
      <w:tr>
        <w:trPr>
          <w:trHeight w:val="198"/>
        </w:trPr>
        <w:tc>
          <w:tcPr>
            <w:tcW w:w="3740" w:type="dxa"/>
            <w:vAlign w:val="bottom"/>
          </w:tcPr>
          <w:p>
            <w:pPr>
              <w:ind w:left="80"/>
              <w:spacing w:after="0" w:line="198" w:lineRule="exact"/>
              <w:rPr>
                <w:sz w:val="20"/>
                <w:szCs w:val="20"/>
                <w:color w:val="auto"/>
              </w:rPr>
            </w:pPr>
            <w:r>
              <w:rPr>
                <w:rFonts w:ascii="Times New Roman" w:cs="Times New Roman" w:eastAsia="Times New Roman" w:hAnsi="Times New Roman"/>
                <w:sz w:val="18"/>
                <w:szCs w:val="18"/>
                <w:color w:val="auto"/>
              </w:rPr>
              <w:t>Vesting of restricted stock units and impact of</w:t>
            </w: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3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shares withheld for taxes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(193)</w:t>
            </w: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(193)</w:t>
            </w:r>
          </w:p>
        </w:tc>
      </w:tr>
      <w:tr>
        <w:trPr>
          <w:trHeight w:val="216"/>
        </w:trPr>
        <w:tc>
          <w:tcPr>
            <w:tcW w:w="3740" w:type="dxa"/>
            <w:vAlign w:val="bottom"/>
            <w:shd w:val="clear" w:color="auto" w:fill="CCECFF"/>
          </w:tcPr>
          <w:p>
            <w:pPr>
              <w:ind w:left="80"/>
              <w:spacing w:after="0"/>
              <w:rPr>
                <w:sz w:val="20"/>
                <w:szCs w:val="20"/>
                <w:color w:val="auto"/>
              </w:rPr>
            </w:pPr>
            <w:r>
              <w:rPr>
                <w:rFonts w:ascii="Times New Roman" w:cs="Times New Roman" w:eastAsia="Times New Roman" w:hAnsi="Times New Roman"/>
                <w:sz w:val="18"/>
                <w:szCs w:val="18"/>
                <w:color w:val="auto"/>
              </w:rPr>
              <w:t>Forfeiture of restricted stock units</w:t>
            </w:r>
          </w:p>
        </w:tc>
        <w:tc>
          <w:tcPr>
            <w:tcW w:w="94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760" w:type="dxa"/>
            <w:vAlign w:val="bottom"/>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CFF"/>
          </w:tcPr>
          <w:p>
            <w:pPr>
              <w:spacing w:after="0"/>
              <w:rPr>
                <w:sz w:val="18"/>
                <w:szCs w:val="18"/>
                <w:color w:val="auto"/>
              </w:rPr>
            </w:pPr>
          </w:p>
        </w:tc>
        <w:tc>
          <w:tcPr>
            <w:tcW w:w="10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CFF"/>
          </w:tcPr>
          <w:p>
            <w:pPr>
              <w:spacing w:after="0"/>
              <w:rPr>
                <w:sz w:val="18"/>
                <w:szCs w:val="18"/>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1320" w:type="dxa"/>
            <w:vAlign w:val="bottom"/>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CFF"/>
          </w:tcPr>
          <w:p>
            <w:pPr>
              <w:spacing w:after="0"/>
              <w:rPr>
                <w:sz w:val="18"/>
                <w:szCs w:val="18"/>
                <w:color w:val="auto"/>
              </w:rPr>
            </w:pPr>
          </w:p>
        </w:tc>
        <w:tc>
          <w:tcPr>
            <w:tcW w:w="76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(960)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(8,423)</w:t>
            </w:r>
          </w:p>
        </w:tc>
        <w:tc>
          <w:tcPr>
            <w:tcW w:w="10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(8,423)</w:t>
            </w:r>
          </w:p>
        </w:tc>
      </w:tr>
      <w:tr>
        <w:trPr>
          <w:trHeight w:val="216"/>
        </w:trPr>
        <w:tc>
          <w:tcPr>
            <w:tcW w:w="3740" w:type="dxa"/>
            <w:vAlign w:val="bottom"/>
            <w:shd w:val="clear" w:color="auto" w:fill="CCECFF"/>
          </w:tcPr>
          <w:p>
            <w:pPr>
              <w:ind w:left="80"/>
              <w:spacing w:after="0"/>
              <w:rPr>
                <w:sz w:val="20"/>
                <w:szCs w:val="20"/>
                <w:color w:val="auto"/>
              </w:rPr>
            </w:pPr>
            <w:r>
              <w:rPr>
                <w:rFonts w:ascii="Times New Roman" w:cs="Times New Roman" w:eastAsia="Times New Roman" w:hAnsi="Times New Roman"/>
                <w:sz w:val="18"/>
                <w:szCs w:val="18"/>
                <w:color w:val="auto"/>
              </w:rPr>
              <w:t>Net income</w:t>
            </w:r>
          </w:p>
        </w:tc>
        <w:tc>
          <w:tcPr>
            <w:tcW w:w="94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760" w:type="dxa"/>
            <w:vAlign w:val="bottom"/>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CFF"/>
          </w:tcPr>
          <w:p>
            <w:pPr>
              <w:spacing w:after="0"/>
              <w:rPr>
                <w:sz w:val="18"/>
                <w:szCs w:val="18"/>
                <w:color w:val="auto"/>
              </w:rPr>
            </w:pPr>
          </w:p>
        </w:tc>
        <w:tc>
          <w:tcPr>
            <w:tcW w:w="10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CFF"/>
          </w:tcPr>
          <w:p>
            <w:pPr>
              <w:spacing w:after="0"/>
              <w:rPr>
                <w:sz w:val="18"/>
                <w:szCs w:val="18"/>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9,695</w:t>
            </w:r>
          </w:p>
        </w:tc>
        <w:tc>
          <w:tcPr>
            <w:tcW w:w="22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1320" w:type="dxa"/>
            <w:vAlign w:val="bottom"/>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CFF"/>
          </w:tcPr>
          <w:p>
            <w:pPr>
              <w:spacing w:after="0"/>
              <w:rPr>
                <w:sz w:val="18"/>
                <w:szCs w:val="18"/>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9,695</w:t>
            </w:r>
          </w:p>
        </w:tc>
        <w:tc>
          <w:tcPr>
            <w:tcW w:w="100" w:type="dxa"/>
            <w:vAlign w:val="bottom"/>
            <w:shd w:val="clear" w:color="auto" w:fill="CCECFF"/>
          </w:tcPr>
          <w:p>
            <w:pPr>
              <w:spacing w:after="0"/>
              <w:rPr>
                <w:sz w:val="18"/>
                <w:szCs w:val="18"/>
                <w:color w:val="auto"/>
              </w:rPr>
            </w:pPr>
          </w:p>
        </w:tc>
      </w:tr>
      <w:tr>
        <w:trPr>
          <w:trHeight w:val="216"/>
        </w:trPr>
        <w:tc>
          <w:tcPr>
            <w:tcW w:w="3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Other comprehensive loss—net of tax</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(150)</w:t>
            </w:r>
          </w:p>
        </w:tc>
        <w:tc>
          <w:tcPr>
            <w:tcW w:w="14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(150)</w:t>
            </w:r>
          </w:p>
        </w:tc>
      </w:tr>
      <w:tr>
        <w:trPr>
          <w:trHeight w:val="20"/>
        </w:trPr>
        <w:tc>
          <w:tcPr>
            <w:tcW w:w="37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374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BALANCE—June 30, 2025</w:t>
            </w: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66,681</w:t>
            </w:r>
          </w:p>
        </w:tc>
        <w:tc>
          <w:tcPr>
            <w:tcW w:w="140" w:type="dxa"/>
            <w:vAlign w:val="bottom"/>
            <w:shd w:val="clear" w:color="auto" w:fill="CCECFF"/>
          </w:tcPr>
          <w:p>
            <w:pPr>
              <w:spacing w:after="0"/>
              <w:rPr>
                <w:sz w:val="21"/>
                <w:szCs w:val="21"/>
                <w:color w:val="auto"/>
              </w:rPr>
            </w:pPr>
          </w:p>
        </w:tc>
        <w:tc>
          <w:tcPr>
            <w:tcW w:w="20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380" w:type="dxa"/>
            <w:vAlign w:val="bottom"/>
            <w:gridSpan w:val="2"/>
            <w:shd w:val="clear" w:color="auto" w:fill="CCECFF"/>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4"/>
                <w:szCs w:val="14"/>
                <w:color w:val="auto"/>
              </w:rPr>
              <w:t>(11,594)</w:t>
            </w:r>
          </w:p>
        </w:tc>
        <w:tc>
          <w:tcPr>
            <w:tcW w:w="1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323,613</w:t>
            </w:r>
          </w:p>
        </w:tc>
        <w:tc>
          <w:tcPr>
            <w:tcW w:w="220" w:type="dxa"/>
            <w:vAlign w:val="bottom"/>
            <w:shd w:val="clear" w:color="auto" w:fill="CCECFF"/>
          </w:tcPr>
          <w:p>
            <w:pPr>
              <w:spacing w:after="0"/>
              <w:rPr>
                <w:sz w:val="21"/>
                <w:szCs w:val="21"/>
                <w:color w:val="auto"/>
              </w:rPr>
            </w:pPr>
          </w:p>
        </w:tc>
        <w:tc>
          <w:tcPr>
            <w:tcW w:w="1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170,596</w:t>
            </w:r>
          </w:p>
        </w:tc>
        <w:tc>
          <w:tcPr>
            <w:tcW w:w="32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8"/>
                <w:szCs w:val="18"/>
                <w:color w:val="auto"/>
              </w:rPr>
              <w:t>(753)</w:t>
            </w:r>
          </w:p>
        </w:tc>
        <w:tc>
          <w:tcPr>
            <w:tcW w:w="1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481,869</w:t>
            </w:r>
          </w:p>
        </w:tc>
        <w:tc>
          <w:tcPr>
            <w:tcW w:w="100" w:type="dxa"/>
            <w:vAlign w:val="bottom"/>
            <w:shd w:val="clear" w:color="auto" w:fill="CCECFF"/>
          </w:tcPr>
          <w:p>
            <w:pPr>
              <w:spacing w:after="0"/>
              <w:rPr>
                <w:sz w:val="21"/>
                <w:szCs w:val="21"/>
                <w:color w:val="auto"/>
              </w:rPr>
            </w:pPr>
          </w:p>
        </w:tc>
      </w:tr>
      <w:tr>
        <w:trPr>
          <w:trHeight w:val="197"/>
        </w:trPr>
        <w:tc>
          <w:tcPr>
            <w:tcW w:w="3740" w:type="dxa"/>
            <w:vAlign w:val="bottom"/>
            <w:tcBorders>
              <w:top w:val="single" w:sz="8" w:color="CCECFF"/>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40" w:type="dxa"/>
            <w:vAlign w:val="bottom"/>
            <w:tcBorders>
              <w:top w:val="single" w:sz="8" w:color="CCECFF"/>
            </w:tcBorders>
          </w:tcPr>
          <w:p>
            <w:pPr>
              <w:spacing w:after="0"/>
              <w:rPr>
                <w:sz w:val="17"/>
                <w:szCs w:val="17"/>
                <w:color w:val="auto"/>
              </w:rPr>
            </w:pPr>
          </w:p>
        </w:tc>
        <w:tc>
          <w:tcPr>
            <w:tcW w:w="100" w:type="dxa"/>
            <w:vAlign w:val="bottom"/>
            <w:tcBorders>
              <w:top w:val="single" w:sz="8" w:color="CCEC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60" w:type="dxa"/>
            <w:vAlign w:val="bottom"/>
            <w:tcBorders>
              <w:top w:val="single" w:sz="8" w:color="CCEC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220" w:type="dxa"/>
            <w:vAlign w:val="bottom"/>
            <w:tcBorders>
              <w:top w:val="single" w:sz="8" w:color="CCEC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20" w:type="dxa"/>
            <w:vAlign w:val="bottom"/>
            <w:tcBorders>
              <w:top w:val="single" w:sz="8" w:color="CCEC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20" w:type="dxa"/>
            <w:vAlign w:val="bottom"/>
            <w:tcBorders>
              <w:top w:val="single" w:sz="8" w:color="CCEC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00" w:type="dxa"/>
            <w:vAlign w:val="bottom"/>
            <w:tcBorders>
              <w:top w:val="single" w:sz="8" w:color="CCEC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00" w:type="dxa"/>
            <w:vAlign w:val="bottom"/>
            <w:tcBorders>
              <w:top w:val="single" w:sz="8" w:color="CCECFF"/>
            </w:tcBorders>
          </w:tcPr>
          <w:p>
            <w:pPr>
              <w:spacing w:after="0"/>
              <w:rPr>
                <w:sz w:val="17"/>
                <w:szCs w:val="17"/>
                <w:color w:val="auto"/>
              </w:rPr>
            </w:pPr>
          </w:p>
        </w:tc>
      </w:tr>
      <w:tr>
        <w:trPr>
          <w:trHeight w:val="216"/>
        </w:trPr>
        <w:tc>
          <w:tcPr>
            <w:tcW w:w="374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BALANCE—March 31, 2024</w:t>
            </w: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66,941</w:t>
            </w:r>
          </w:p>
        </w:tc>
        <w:tc>
          <w:tcPr>
            <w:tcW w:w="140" w:type="dxa"/>
            <w:vAlign w:val="bottom"/>
            <w:shd w:val="clear" w:color="auto" w:fill="CCECFF"/>
          </w:tcPr>
          <w:p>
            <w:pPr>
              <w:spacing w:after="0"/>
              <w:rPr>
                <w:sz w:val="18"/>
                <w:szCs w:val="18"/>
                <w:color w:val="auto"/>
              </w:rPr>
            </w:pPr>
          </w:p>
        </w:tc>
        <w:tc>
          <w:tcPr>
            <w:tcW w:w="20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380" w:type="dxa"/>
            <w:vAlign w:val="bottom"/>
            <w:gridSpan w:val="2"/>
            <w:shd w:val="clear" w:color="auto" w:fill="CCEC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318,517</w:t>
            </w:r>
          </w:p>
        </w:tc>
        <w:tc>
          <w:tcPr>
            <w:tcW w:w="220" w:type="dxa"/>
            <w:vAlign w:val="bottom"/>
            <w:shd w:val="clear" w:color="auto" w:fill="CCECFF"/>
          </w:tcPr>
          <w:p>
            <w:pPr>
              <w:spacing w:after="0"/>
              <w:rPr>
                <w:sz w:val="18"/>
                <w:szCs w:val="18"/>
                <w:color w:val="auto"/>
              </w:rPr>
            </w:pPr>
          </w:p>
        </w:tc>
        <w:tc>
          <w:tcPr>
            <w:tcW w:w="1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91,244</w:t>
            </w:r>
          </w:p>
        </w:tc>
        <w:tc>
          <w:tcPr>
            <w:tcW w:w="32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8"/>
                <w:szCs w:val="18"/>
                <w:color w:val="auto"/>
              </w:rPr>
              <w:t>(727)</w:t>
            </w:r>
          </w:p>
        </w:tc>
        <w:tc>
          <w:tcPr>
            <w:tcW w:w="1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409,040</w:t>
            </w:r>
          </w:p>
        </w:tc>
        <w:tc>
          <w:tcPr>
            <w:tcW w:w="100" w:type="dxa"/>
            <w:vAlign w:val="bottom"/>
            <w:shd w:val="clear" w:color="auto" w:fill="CCECFF"/>
          </w:tcPr>
          <w:p>
            <w:pPr>
              <w:spacing w:after="0"/>
              <w:rPr>
                <w:sz w:val="18"/>
                <w:szCs w:val="18"/>
                <w:color w:val="auto"/>
              </w:rPr>
            </w:pPr>
          </w:p>
        </w:tc>
      </w:tr>
      <w:tr>
        <w:trPr>
          <w:trHeight w:val="216"/>
        </w:trPr>
        <w:tc>
          <w:tcPr>
            <w:tcW w:w="3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Share-based compensation</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1,398</w:t>
            </w:r>
          </w:p>
        </w:tc>
        <w:tc>
          <w:tcPr>
            <w:tcW w:w="100" w:type="dxa"/>
            <w:vAlign w:val="bottom"/>
          </w:tcPr>
          <w:p>
            <w:pPr>
              <w:spacing w:after="0"/>
              <w:rPr>
                <w:sz w:val="18"/>
                <w:szCs w:val="18"/>
                <w:color w:val="auto"/>
              </w:rPr>
            </w:pPr>
          </w:p>
        </w:tc>
      </w:tr>
      <w:tr>
        <w:trPr>
          <w:trHeight w:val="198"/>
        </w:trPr>
        <w:tc>
          <w:tcPr>
            <w:tcW w:w="3740" w:type="dxa"/>
            <w:vAlign w:val="bottom"/>
            <w:shd w:val="clear" w:color="auto" w:fill="CCECFF"/>
          </w:tcPr>
          <w:p>
            <w:pPr>
              <w:ind w:left="80"/>
              <w:spacing w:after="0" w:line="198" w:lineRule="exact"/>
              <w:rPr>
                <w:sz w:val="20"/>
                <w:szCs w:val="20"/>
                <w:color w:val="auto"/>
              </w:rPr>
            </w:pPr>
            <w:r>
              <w:rPr>
                <w:rFonts w:ascii="Times New Roman" w:cs="Times New Roman" w:eastAsia="Times New Roman" w:hAnsi="Times New Roman"/>
                <w:sz w:val="18"/>
                <w:szCs w:val="18"/>
                <w:color w:val="auto"/>
              </w:rPr>
              <w:t>Vesting of restricted stock units and impact of</w:t>
            </w:r>
          </w:p>
        </w:tc>
        <w:tc>
          <w:tcPr>
            <w:tcW w:w="800" w:type="dxa"/>
            <w:vAlign w:val="bottom"/>
            <w:shd w:val="clear" w:color="auto" w:fill="CCECFF"/>
          </w:tcPr>
          <w:p>
            <w:pPr>
              <w:spacing w:after="0"/>
              <w:rPr>
                <w:sz w:val="17"/>
                <w:szCs w:val="17"/>
                <w:color w:val="auto"/>
              </w:rPr>
            </w:pPr>
          </w:p>
        </w:tc>
        <w:tc>
          <w:tcPr>
            <w:tcW w:w="140" w:type="dxa"/>
            <w:vAlign w:val="bottom"/>
            <w:shd w:val="clear" w:color="auto" w:fill="CCECFF"/>
          </w:tcPr>
          <w:p>
            <w:pPr>
              <w:spacing w:after="0"/>
              <w:rPr>
                <w:sz w:val="17"/>
                <w:szCs w:val="17"/>
                <w:color w:val="auto"/>
              </w:rPr>
            </w:pPr>
          </w:p>
        </w:tc>
        <w:tc>
          <w:tcPr>
            <w:tcW w:w="100" w:type="dxa"/>
            <w:vAlign w:val="bottom"/>
            <w:shd w:val="clear" w:color="auto" w:fill="CCECFF"/>
          </w:tcPr>
          <w:p>
            <w:pPr>
              <w:spacing w:after="0"/>
              <w:rPr>
                <w:sz w:val="17"/>
                <w:szCs w:val="17"/>
                <w:color w:val="auto"/>
              </w:rPr>
            </w:pPr>
          </w:p>
        </w:tc>
        <w:tc>
          <w:tcPr>
            <w:tcW w:w="100" w:type="dxa"/>
            <w:vAlign w:val="bottom"/>
            <w:shd w:val="clear" w:color="auto" w:fill="CCECFF"/>
          </w:tcPr>
          <w:p>
            <w:pPr>
              <w:spacing w:after="0"/>
              <w:rPr>
                <w:sz w:val="17"/>
                <w:szCs w:val="17"/>
                <w:color w:val="auto"/>
              </w:rPr>
            </w:pPr>
          </w:p>
        </w:tc>
        <w:tc>
          <w:tcPr>
            <w:tcW w:w="680" w:type="dxa"/>
            <w:vAlign w:val="bottom"/>
            <w:shd w:val="clear" w:color="auto" w:fill="CCECFF"/>
          </w:tcPr>
          <w:p>
            <w:pPr>
              <w:spacing w:after="0"/>
              <w:rPr>
                <w:sz w:val="17"/>
                <w:szCs w:val="17"/>
                <w:color w:val="auto"/>
              </w:rPr>
            </w:pPr>
          </w:p>
        </w:tc>
        <w:tc>
          <w:tcPr>
            <w:tcW w:w="260" w:type="dxa"/>
            <w:vAlign w:val="bottom"/>
            <w:shd w:val="clear" w:color="auto" w:fill="CCECFF"/>
          </w:tcPr>
          <w:p>
            <w:pPr>
              <w:spacing w:after="0"/>
              <w:rPr>
                <w:sz w:val="17"/>
                <w:szCs w:val="17"/>
                <w:color w:val="auto"/>
              </w:rPr>
            </w:pPr>
          </w:p>
        </w:tc>
        <w:tc>
          <w:tcPr>
            <w:tcW w:w="120" w:type="dxa"/>
            <w:vAlign w:val="bottom"/>
            <w:shd w:val="clear" w:color="auto" w:fill="CCECFF"/>
          </w:tcPr>
          <w:p>
            <w:pPr>
              <w:spacing w:after="0"/>
              <w:rPr>
                <w:sz w:val="17"/>
                <w:szCs w:val="17"/>
                <w:color w:val="auto"/>
              </w:rPr>
            </w:pPr>
          </w:p>
        </w:tc>
        <w:tc>
          <w:tcPr>
            <w:tcW w:w="540" w:type="dxa"/>
            <w:vAlign w:val="bottom"/>
            <w:shd w:val="clear" w:color="auto" w:fill="CCECFF"/>
          </w:tcPr>
          <w:p>
            <w:pPr>
              <w:spacing w:after="0"/>
              <w:rPr>
                <w:sz w:val="17"/>
                <w:szCs w:val="17"/>
                <w:color w:val="auto"/>
              </w:rPr>
            </w:pPr>
          </w:p>
        </w:tc>
        <w:tc>
          <w:tcPr>
            <w:tcW w:w="220" w:type="dxa"/>
            <w:vAlign w:val="bottom"/>
            <w:shd w:val="clear" w:color="auto" w:fill="CCECFF"/>
          </w:tcPr>
          <w:p>
            <w:pPr>
              <w:spacing w:after="0"/>
              <w:rPr>
                <w:sz w:val="17"/>
                <w:szCs w:val="17"/>
                <w:color w:val="auto"/>
              </w:rPr>
            </w:pPr>
          </w:p>
        </w:tc>
        <w:tc>
          <w:tcPr>
            <w:tcW w:w="100" w:type="dxa"/>
            <w:vAlign w:val="bottom"/>
            <w:shd w:val="clear" w:color="auto" w:fill="CCECFF"/>
          </w:tcPr>
          <w:p>
            <w:pPr>
              <w:spacing w:after="0"/>
              <w:rPr>
                <w:sz w:val="17"/>
                <w:szCs w:val="17"/>
                <w:color w:val="auto"/>
              </w:rPr>
            </w:pPr>
          </w:p>
        </w:tc>
        <w:tc>
          <w:tcPr>
            <w:tcW w:w="800" w:type="dxa"/>
            <w:vAlign w:val="bottom"/>
            <w:shd w:val="clear" w:color="auto" w:fill="CCECFF"/>
          </w:tcPr>
          <w:p>
            <w:pPr>
              <w:spacing w:after="0"/>
              <w:rPr>
                <w:sz w:val="17"/>
                <w:szCs w:val="17"/>
                <w:color w:val="auto"/>
              </w:rPr>
            </w:pPr>
          </w:p>
        </w:tc>
        <w:tc>
          <w:tcPr>
            <w:tcW w:w="220" w:type="dxa"/>
            <w:vAlign w:val="bottom"/>
            <w:shd w:val="clear" w:color="auto" w:fill="CCECFF"/>
          </w:tcPr>
          <w:p>
            <w:pPr>
              <w:spacing w:after="0"/>
              <w:rPr>
                <w:sz w:val="17"/>
                <w:szCs w:val="17"/>
                <w:color w:val="auto"/>
              </w:rPr>
            </w:pPr>
          </w:p>
        </w:tc>
        <w:tc>
          <w:tcPr>
            <w:tcW w:w="120" w:type="dxa"/>
            <w:vAlign w:val="bottom"/>
            <w:shd w:val="clear" w:color="auto" w:fill="CCECFF"/>
          </w:tcPr>
          <w:p>
            <w:pPr>
              <w:spacing w:after="0"/>
              <w:rPr>
                <w:sz w:val="17"/>
                <w:szCs w:val="17"/>
                <w:color w:val="auto"/>
              </w:rPr>
            </w:pPr>
          </w:p>
        </w:tc>
        <w:tc>
          <w:tcPr>
            <w:tcW w:w="760" w:type="dxa"/>
            <w:vAlign w:val="bottom"/>
            <w:shd w:val="clear" w:color="auto" w:fill="CCECFF"/>
          </w:tcPr>
          <w:p>
            <w:pPr>
              <w:spacing w:after="0"/>
              <w:rPr>
                <w:sz w:val="17"/>
                <w:szCs w:val="17"/>
                <w:color w:val="auto"/>
              </w:rPr>
            </w:pPr>
          </w:p>
        </w:tc>
        <w:tc>
          <w:tcPr>
            <w:tcW w:w="220" w:type="dxa"/>
            <w:vAlign w:val="bottom"/>
            <w:shd w:val="clear" w:color="auto" w:fill="CCECFF"/>
          </w:tcPr>
          <w:p>
            <w:pPr>
              <w:spacing w:after="0"/>
              <w:rPr>
                <w:sz w:val="17"/>
                <w:szCs w:val="17"/>
                <w:color w:val="auto"/>
              </w:rPr>
            </w:pPr>
          </w:p>
        </w:tc>
        <w:tc>
          <w:tcPr>
            <w:tcW w:w="100" w:type="dxa"/>
            <w:vAlign w:val="bottom"/>
            <w:shd w:val="clear" w:color="auto" w:fill="CCECFF"/>
          </w:tcPr>
          <w:p>
            <w:pPr>
              <w:spacing w:after="0"/>
              <w:rPr>
                <w:sz w:val="17"/>
                <w:szCs w:val="17"/>
                <w:color w:val="auto"/>
              </w:rPr>
            </w:pPr>
          </w:p>
        </w:tc>
        <w:tc>
          <w:tcPr>
            <w:tcW w:w="1120" w:type="dxa"/>
            <w:vAlign w:val="bottom"/>
            <w:shd w:val="clear" w:color="auto" w:fill="CCECFF"/>
          </w:tcPr>
          <w:p>
            <w:pPr>
              <w:spacing w:after="0"/>
              <w:rPr>
                <w:sz w:val="17"/>
                <w:szCs w:val="17"/>
                <w:color w:val="auto"/>
              </w:rPr>
            </w:pPr>
          </w:p>
        </w:tc>
        <w:tc>
          <w:tcPr>
            <w:tcW w:w="200" w:type="dxa"/>
            <w:vAlign w:val="bottom"/>
            <w:shd w:val="clear" w:color="auto" w:fill="CCECFF"/>
          </w:tcPr>
          <w:p>
            <w:pPr>
              <w:spacing w:after="0"/>
              <w:rPr>
                <w:sz w:val="17"/>
                <w:szCs w:val="17"/>
                <w:color w:val="auto"/>
              </w:rPr>
            </w:pPr>
          </w:p>
        </w:tc>
        <w:tc>
          <w:tcPr>
            <w:tcW w:w="140" w:type="dxa"/>
            <w:vAlign w:val="bottom"/>
            <w:shd w:val="clear" w:color="auto" w:fill="CCECFF"/>
          </w:tcPr>
          <w:p>
            <w:pPr>
              <w:spacing w:after="0"/>
              <w:rPr>
                <w:sz w:val="17"/>
                <w:szCs w:val="17"/>
                <w:color w:val="auto"/>
              </w:rPr>
            </w:pPr>
          </w:p>
        </w:tc>
        <w:tc>
          <w:tcPr>
            <w:tcW w:w="660" w:type="dxa"/>
            <w:vAlign w:val="bottom"/>
            <w:shd w:val="clear" w:color="auto" w:fill="CCECFF"/>
          </w:tcPr>
          <w:p>
            <w:pPr>
              <w:spacing w:after="0"/>
              <w:rPr>
                <w:sz w:val="17"/>
                <w:szCs w:val="17"/>
                <w:color w:val="auto"/>
              </w:rPr>
            </w:pPr>
          </w:p>
        </w:tc>
        <w:tc>
          <w:tcPr>
            <w:tcW w:w="100" w:type="dxa"/>
            <w:vAlign w:val="bottom"/>
            <w:shd w:val="clear" w:color="auto" w:fill="CCECFF"/>
          </w:tcPr>
          <w:p>
            <w:pPr>
              <w:spacing w:after="0"/>
              <w:rPr>
                <w:sz w:val="17"/>
                <w:szCs w:val="17"/>
                <w:color w:val="auto"/>
              </w:rPr>
            </w:pPr>
          </w:p>
        </w:tc>
      </w:tr>
      <w:tr>
        <w:trPr>
          <w:trHeight w:val="234"/>
        </w:trPr>
        <w:tc>
          <w:tcPr>
            <w:tcW w:w="3740" w:type="dxa"/>
            <w:vAlign w:val="bottom"/>
            <w:shd w:val="clear" w:color="auto" w:fill="CCECFF"/>
          </w:tcPr>
          <w:p>
            <w:pPr>
              <w:ind w:left="80"/>
              <w:spacing w:after="0"/>
              <w:rPr>
                <w:sz w:val="20"/>
                <w:szCs w:val="20"/>
                <w:color w:val="auto"/>
              </w:rPr>
            </w:pPr>
            <w:r>
              <w:rPr>
                <w:rFonts w:ascii="Times New Roman" w:cs="Times New Roman" w:eastAsia="Times New Roman" w:hAnsi="Times New Roman"/>
                <w:sz w:val="18"/>
                <w:szCs w:val="18"/>
                <w:color w:val="auto"/>
              </w:rPr>
              <w:t>shares withheld for taxes</w:t>
            </w: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40" w:type="dxa"/>
            <w:vAlign w:val="bottom"/>
            <w:shd w:val="clear" w:color="auto" w:fill="CCECFF"/>
          </w:tcPr>
          <w:p>
            <w:pPr>
              <w:spacing w:after="0"/>
              <w:rPr>
                <w:sz w:val="20"/>
                <w:szCs w:val="20"/>
                <w:color w:val="auto"/>
              </w:rPr>
            </w:pPr>
          </w:p>
        </w:tc>
        <w:tc>
          <w:tcPr>
            <w:tcW w:w="100" w:type="dxa"/>
            <w:vAlign w:val="bottom"/>
            <w:shd w:val="clear" w:color="auto" w:fill="CCECFF"/>
          </w:tcPr>
          <w:p>
            <w:pPr>
              <w:spacing w:after="0"/>
              <w:rPr>
                <w:sz w:val="20"/>
                <w:szCs w:val="20"/>
                <w:color w:val="auto"/>
              </w:rPr>
            </w:pPr>
          </w:p>
        </w:tc>
        <w:tc>
          <w:tcPr>
            <w:tcW w:w="100" w:type="dxa"/>
            <w:vAlign w:val="bottom"/>
            <w:shd w:val="clear" w:color="auto" w:fill="CCECFF"/>
          </w:tcPr>
          <w:p>
            <w:pPr>
              <w:spacing w:after="0"/>
              <w:rPr>
                <w:sz w:val="20"/>
                <w:szCs w:val="20"/>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CFF"/>
          </w:tcPr>
          <w:p>
            <w:pPr>
              <w:spacing w:after="0"/>
              <w:rPr>
                <w:sz w:val="20"/>
                <w:szCs w:val="20"/>
                <w:color w:val="auto"/>
              </w:rPr>
            </w:pPr>
          </w:p>
        </w:tc>
        <w:tc>
          <w:tcPr>
            <w:tcW w:w="120" w:type="dxa"/>
            <w:vAlign w:val="bottom"/>
            <w:shd w:val="clear" w:color="auto" w:fill="CCECFF"/>
          </w:tcPr>
          <w:p>
            <w:pPr>
              <w:spacing w:after="0"/>
              <w:rPr>
                <w:sz w:val="20"/>
                <w:szCs w:val="20"/>
                <w:color w:val="auto"/>
              </w:rPr>
            </w:pPr>
          </w:p>
        </w:tc>
        <w:tc>
          <w:tcPr>
            <w:tcW w:w="760" w:type="dxa"/>
            <w:vAlign w:val="bottom"/>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CFF"/>
          </w:tcPr>
          <w:p>
            <w:pPr>
              <w:spacing w:after="0"/>
              <w:rPr>
                <w:sz w:val="20"/>
                <w:szCs w:val="20"/>
                <w:color w:val="auto"/>
              </w:rPr>
            </w:pPr>
          </w:p>
        </w:tc>
        <w:tc>
          <w:tcPr>
            <w:tcW w:w="102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8"/>
                <w:szCs w:val="18"/>
                <w:color w:val="auto"/>
              </w:rPr>
              <w:t>(289)</w:t>
            </w:r>
          </w:p>
        </w:tc>
        <w:tc>
          <w:tcPr>
            <w:tcW w:w="120" w:type="dxa"/>
            <w:vAlign w:val="bottom"/>
            <w:shd w:val="clear" w:color="auto" w:fill="CCECFF"/>
          </w:tcPr>
          <w:p>
            <w:pPr>
              <w:spacing w:after="0"/>
              <w:rPr>
                <w:sz w:val="20"/>
                <w:szCs w:val="20"/>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CFF"/>
          </w:tcPr>
          <w:p>
            <w:pPr>
              <w:spacing w:after="0"/>
              <w:rPr>
                <w:sz w:val="20"/>
                <w:szCs w:val="20"/>
                <w:color w:val="auto"/>
              </w:rPr>
            </w:pPr>
          </w:p>
        </w:tc>
        <w:tc>
          <w:tcPr>
            <w:tcW w:w="100" w:type="dxa"/>
            <w:vAlign w:val="bottom"/>
            <w:shd w:val="clear" w:color="auto" w:fill="CCECFF"/>
          </w:tcPr>
          <w:p>
            <w:pPr>
              <w:spacing w:after="0"/>
              <w:rPr>
                <w:sz w:val="20"/>
                <w:szCs w:val="20"/>
                <w:color w:val="auto"/>
              </w:rPr>
            </w:pPr>
          </w:p>
        </w:tc>
        <w:tc>
          <w:tcPr>
            <w:tcW w:w="1320" w:type="dxa"/>
            <w:vAlign w:val="bottom"/>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CFF"/>
          </w:tcPr>
          <w:p>
            <w:pPr>
              <w:spacing w:after="0"/>
              <w:rPr>
                <w:sz w:val="20"/>
                <w:szCs w:val="20"/>
                <w:color w:val="auto"/>
              </w:rPr>
            </w:pPr>
          </w:p>
        </w:tc>
        <w:tc>
          <w:tcPr>
            <w:tcW w:w="76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color w:val="auto"/>
              </w:rPr>
              <w:t>(289)</w:t>
            </w:r>
          </w:p>
        </w:tc>
      </w:tr>
      <w:tr>
        <w:trPr>
          <w:trHeight w:val="198"/>
        </w:trPr>
        <w:tc>
          <w:tcPr>
            <w:tcW w:w="3740" w:type="dxa"/>
            <w:vAlign w:val="bottom"/>
          </w:tcPr>
          <w:p>
            <w:pPr>
              <w:ind w:left="80"/>
              <w:spacing w:after="0" w:line="198" w:lineRule="exact"/>
              <w:rPr>
                <w:sz w:val="20"/>
                <w:szCs w:val="20"/>
                <w:color w:val="auto"/>
              </w:rPr>
            </w:pPr>
            <w:r>
              <w:rPr>
                <w:rFonts w:ascii="Times New Roman" w:cs="Times New Roman" w:eastAsia="Times New Roman" w:hAnsi="Times New Roman"/>
                <w:sz w:val="18"/>
                <w:szCs w:val="18"/>
                <w:color w:val="auto"/>
              </w:rPr>
              <w:t>Exercise of options and purchases from</w:t>
            </w: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3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employee stock plans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tcPr>
          <w:p>
            <w:pPr>
              <w:spacing w:after="0"/>
              <w:rPr>
                <w:sz w:val="20"/>
                <w:szCs w:val="20"/>
                <w:color w:val="auto"/>
              </w:rPr>
            </w:pPr>
          </w:p>
        </w:tc>
      </w:tr>
      <w:tr>
        <w:trPr>
          <w:trHeight w:val="216"/>
        </w:trPr>
        <w:tc>
          <w:tcPr>
            <w:tcW w:w="3740" w:type="dxa"/>
            <w:vAlign w:val="bottom"/>
            <w:shd w:val="clear" w:color="auto" w:fill="CCECFF"/>
          </w:tcPr>
          <w:p>
            <w:pPr>
              <w:ind w:left="80"/>
              <w:spacing w:after="0"/>
              <w:rPr>
                <w:sz w:val="20"/>
                <w:szCs w:val="20"/>
                <w:color w:val="auto"/>
              </w:rPr>
            </w:pPr>
            <w:r>
              <w:rPr>
                <w:rFonts w:ascii="Times New Roman" w:cs="Times New Roman" w:eastAsia="Times New Roman" w:hAnsi="Times New Roman"/>
                <w:sz w:val="18"/>
                <w:szCs w:val="18"/>
                <w:color w:val="auto"/>
              </w:rPr>
              <w:t>Net income</w:t>
            </w:r>
          </w:p>
        </w:tc>
        <w:tc>
          <w:tcPr>
            <w:tcW w:w="94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760" w:type="dxa"/>
            <w:vAlign w:val="bottom"/>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CFF"/>
          </w:tcPr>
          <w:p>
            <w:pPr>
              <w:spacing w:after="0"/>
              <w:rPr>
                <w:sz w:val="18"/>
                <w:szCs w:val="18"/>
                <w:color w:val="auto"/>
              </w:rPr>
            </w:pPr>
          </w:p>
        </w:tc>
        <w:tc>
          <w:tcPr>
            <w:tcW w:w="10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CFF"/>
          </w:tcPr>
          <w:p>
            <w:pPr>
              <w:spacing w:after="0"/>
              <w:rPr>
                <w:sz w:val="18"/>
                <w:szCs w:val="18"/>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7,673</w:t>
            </w:r>
          </w:p>
        </w:tc>
        <w:tc>
          <w:tcPr>
            <w:tcW w:w="22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1320" w:type="dxa"/>
            <w:vAlign w:val="bottom"/>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CFF"/>
          </w:tcPr>
          <w:p>
            <w:pPr>
              <w:spacing w:after="0"/>
              <w:rPr>
                <w:sz w:val="18"/>
                <w:szCs w:val="18"/>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7,673</w:t>
            </w:r>
          </w:p>
        </w:tc>
        <w:tc>
          <w:tcPr>
            <w:tcW w:w="100" w:type="dxa"/>
            <w:vAlign w:val="bottom"/>
            <w:shd w:val="clear" w:color="auto" w:fill="CCECFF"/>
          </w:tcPr>
          <w:p>
            <w:pPr>
              <w:spacing w:after="0"/>
              <w:rPr>
                <w:sz w:val="18"/>
                <w:szCs w:val="18"/>
                <w:color w:val="auto"/>
              </w:rPr>
            </w:pPr>
          </w:p>
        </w:tc>
      </w:tr>
      <w:tr>
        <w:trPr>
          <w:trHeight w:val="216"/>
        </w:trPr>
        <w:tc>
          <w:tcPr>
            <w:tcW w:w="3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Other comprehensive income—net of tax</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18"/>
                <w:szCs w:val="18"/>
                <w:color w:val="auto"/>
              </w:rPr>
            </w:pPr>
          </w:p>
        </w:tc>
      </w:tr>
      <w:tr>
        <w:trPr>
          <w:trHeight w:val="230"/>
        </w:trPr>
        <w:tc>
          <w:tcPr>
            <w:tcW w:w="374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BALANCE—June 30, 2024</w:t>
            </w: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67,189</w:t>
            </w:r>
          </w:p>
        </w:tc>
        <w:tc>
          <w:tcPr>
            <w:tcW w:w="140" w:type="dxa"/>
            <w:vAlign w:val="bottom"/>
            <w:shd w:val="clear" w:color="auto" w:fill="CCECFF"/>
          </w:tcPr>
          <w:p>
            <w:pPr>
              <w:spacing w:after="0"/>
              <w:rPr>
                <w:sz w:val="19"/>
                <w:szCs w:val="19"/>
                <w:color w:val="auto"/>
              </w:rPr>
            </w:pPr>
          </w:p>
        </w:tc>
        <w:tc>
          <w:tcPr>
            <w:tcW w:w="20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380" w:type="dxa"/>
            <w:vAlign w:val="bottom"/>
            <w:gridSpan w:val="2"/>
            <w:shd w:val="clear" w:color="auto" w:fill="CCECFF"/>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319,776</w:t>
            </w:r>
          </w:p>
        </w:tc>
        <w:tc>
          <w:tcPr>
            <w:tcW w:w="220" w:type="dxa"/>
            <w:vAlign w:val="bottom"/>
            <w:shd w:val="clear" w:color="auto" w:fill="CCECFF"/>
          </w:tcPr>
          <w:p>
            <w:pPr>
              <w:spacing w:after="0"/>
              <w:rPr>
                <w:sz w:val="19"/>
                <w:szCs w:val="19"/>
                <w:color w:val="auto"/>
              </w:rPr>
            </w:pPr>
          </w:p>
        </w:tc>
        <w:tc>
          <w:tcPr>
            <w:tcW w:w="1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98,917</w:t>
            </w:r>
          </w:p>
        </w:tc>
        <w:tc>
          <w:tcPr>
            <w:tcW w:w="32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8"/>
                <w:szCs w:val="18"/>
                <w:color w:val="auto"/>
              </w:rPr>
              <w:t>(677)</w:t>
            </w:r>
          </w:p>
        </w:tc>
        <w:tc>
          <w:tcPr>
            <w:tcW w:w="1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418,023</w:t>
            </w:r>
          </w:p>
        </w:tc>
        <w:tc>
          <w:tcPr>
            <w:tcW w:w="100" w:type="dxa"/>
            <w:vAlign w:val="bottom"/>
            <w:shd w:val="clear" w:color="auto" w:fill="CCECFF"/>
          </w:tcPr>
          <w:p>
            <w:pPr>
              <w:spacing w:after="0"/>
              <w:rPr>
                <w:sz w:val="19"/>
                <w:szCs w:val="19"/>
                <w:color w:val="auto"/>
              </w:rPr>
            </w:pPr>
          </w:p>
        </w:tc>
      </w:tr>
      <w:tr>
        <w:trPr>
          <w:trHeight w:val="20"/>
        </w:trPr>
        <w:tc>
          <w:tcPr>
            <w:tcW w:w="3740" w:type="dxa"/>
            <w:vAlign w:val="bottom"/>
            <w:tcBorders>
              <w:top w:val="single" w:sz="8" w:color="CCECFF"/>
            </w:tcBorders>
            <w:shd w:val="clear" w:color="auto" w:fill="CCECFF"/>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CFF"/>
            </w:tcBorders>
            <w:shd w:val="clear" w:color="auto" w:fill="CCECFF"/>
          </w:tcPr>
          <w:p>
            <w:pPr>
              <w:spacing w:after="0" w:line="20" w:lineRule="exact"/>
              <w:rPr>
                <w:sz w:val="1"/>
                <w:szCs w:val="1"/>
                <w:color w:val="auto"/>
              </w:rPr>
            </w:pPr>
          </w:p>
        </w:tc>
        <w:tc>
          <w:tcPr>
            <w:tcW w:w="100" w:type="dxa"/>
            <w:vAlign w:val="bottom"/>
            <w:tcBorders>
              <w:top w:val="single" w:sz="8" w:color="CCECFF"/>
            </w:tcBorders>
            <w:shd w:val="clear" w:color="auto" w:fill="CCEC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CFF"/>
            </w:tcBorders>
            <w:shd w:val="clear" w:color="auto" w:fill="CCEC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CFF"/>
            </w:tcBorders>
            <w:shd w:val="clear" w:color="auto" w:fill="CCEC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CFF"/>
            </w:tcBorders>
            <w:shd w:val="clear" w:color="auto" w:fill="CCEC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CFF"/>
            </w:tcBorders>
            <w:shd w:val="clear" w:color="auto" w:fill="CCEC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CFF"/>
            </w:tcBorders>
            <w:shd w:val="clear" w:color="auto" w:fill="CCEC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CFF"/>
            </w:tcBorders>
            <w:shd w:val="clear" w:color="auto" w:fill="CCEC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2876550</wp:posOffset>
            </wp:positionH>
            <wp:positionV relativeFrom="paragraph">
              <wp:posOffset>-1430655</wp:posOffset>
            </wp:positionV>
            <wp:extent cx="7683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2876550</wp:posOffset>
            </wp:positionH>
            <wp:positionV relativeFrom="paragraph">
              <wp:posOffset>-1414145</wp:posOffset>
            </wp:positionV>
            <wp:extent cx="7683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-1430655</wp:posOffset>
            </wp:positionV>
            <wp:extent cx="7747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-1414145</wp:posOffset>
            </wp:positionV>
            <wp:extent cx="7747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-1430655</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-1414145</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-1430655</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-1414145</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-1430655</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-1414145</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-1430655</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-1414145</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-1430655</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-1414145</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2876550</wp:posOffset>
            </wp:positionH>
            <wp:positionV relativeFrom="paragraph">
              <wp:posOffset>-24765</wp:posOffset>
            </wp:positionV>
            <wp:extent cx="7683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2876550</wp:posOffset>
            </wp:positionH>
            <wp:positionV relativeFrom="paragraph">
              <wp:posOffset>-7620</wp:posOffset>
            </wp:positionV>
            <wp:extent cx="7683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-24765</wp:posOffset>
            </wp:positionV>
            <wp:extent cx="7747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-7620</wp:posOffset>
            </wp:positionV>
            <wp:extent cx="7747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-24765</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-7620</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-24765</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-7620</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-24765</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-7620</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-24765</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-7620</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Great Lakes Dredge &amp; Dock Corporation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00" w:type="dxa"/>
            <w:vAlign w:val="bottom"/>
          </w:tcPr>
          <w:p>
            <w:pPr>
              <w:spacing w:after="0"/>
              <w:rPr>
                <w:sz w:val="16"/>
                <w:szCs w:val="16"/>
                <w:color w:val="auto"/>
              </w:rPr>
            </w:pPr>
          </w:p>
        </w:tc>
        <w:tc>
          <w:tcPr>
            <w:tcW w:w="69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40" w:type="dxa"/>
            <w:vAlign w:val="bottom"/>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300" w:type="dxa"/>
            <w:vAlign w:val="bottom"/>
          </w:tcPr>
          <w:p>
            <w:pPr>
              <w:spacing w:after="0"/>
              <w:rPr>
                <w:sz w:val="17"/>
                <w:szCs w:val="17"/>
                <w:color w:val="auto"/>
              </w:rPr>
            </w:pPr>
          </w:p>
        </w:tc>
        <w:tc>
          <w:tcPr>
            <w:tcW w:w="6920" w:type="dxa"/>
            <w:vAlign w:val="bottom"/>
          </w:tcPr>
          <w:p>
            <w:pPr>
              <w:spacing w:after="0"/>
              <w:rPr>
                <w:sz w:val="17"/>
                <w:szCs w:val="17"/>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60" w:type="dxa"/>
            <w:vAlign w:val="bottom"/>
          </w:tcPr>
          <w:p>
            <w:pPr>
              <w:spacing w:after="0"/>
              <w:rPr>
                <w:sz w:val="17"/>
                <w:szCs w:val="17"/>
                <w:color w:val="auto"/>
              </w:rPr>
            </w:pPr>
          </w:p>
        </w:tc>
        <w:tc>
          <w:tcPr>
            <w:tcW w:w="1080" w:type="dxa"/>
            <w:vAlign w:val="bottom"/>
            <w:vMerge w:val="restart"/>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2"/>
        </w:trPr>
        <w:tc>
          <w:tcPr>
            <w:tcW w:w="300" w:type="dxa"/>
            <w:vAlign w:val="bottom"/>
          </w:tcPr>
          <w:p>
            <w:pPr>
              <w:spacing w:after="0"/>
              <w:rPr>
                <w:sz w:val="11"/>
                <w:szCs w:val="11"/>
                <w:color w:val="auto"/>
              </w:rPr>
            </w:pPr>
          </w:p>
        </w:tc>
        <w:tc>
          <w:tcPr>
            <w:tcW w:w="6920" w:type="dxa"/>
            <w:vAlign w:val="bottom"/>
          </w:tcPr>
          <w:p>
            <w:pPr>
              <w:spacing w:after="0"/>
              <w:rPr>
                <w:sz w:val="11"/>
                <w:szCs w:val="11"/>
                <w:color w:val="auto"/>
              </w:rPr>
            </w:pPr>
          </w:p>
        </w:tc>
        <w:tc>
          <w:tcPr>
            <w:tcW w:w="1120" w:type="dxa"/>
            <w:vAlign w:val="bottom"/>
            <w:tcBorders>
              <w:bottom w:val="single" w:sz="8" w:color="auto"/>
            </w:tcBorders>
            <w:vMerge w:val="continue"/>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300" w:type="dxa"/>
            <w:vAlign w:val="bottom"/>
          </w:tcPr>
          <w:p>
            <w:pPr>
              <w:spacing w:after="0"/>
              <w:rPr>
                <w:sz w:val="18"/>
                <w:szCs w:val="18"/>
                <w:color w:val="auto"/>
              </w:rPr>
            </w:pPr>
          </w:p>
        </w:tc>
        <w:tc>
          <w:tcPr>
            <w:tcW w:w="6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11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120" w:type="dxa"/>
            <w:vAlign w:val="bottom"/>
          </w:tcPr>
          <w:p>
            <w:pPr>
              <w:jc w:val="right"/>
              <w:ind w:right="957"/>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43,111</w:t>
            </w:r>
          </w:p>
        </w:tc>
        <w:tc>
          <w:tcPr>
            <w:tcW w:w="260" w:type="dxa"/>
            <w:vAlign w:val="bottom"/>
          </w:tcPr>
          <w:p>
            <w:pPr>
              <w:spacing w:after="0"/>
              <w:rPr>
                <w:sz w:val="18"/>
                <w:szCs w:val="18"/>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28,697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Adjustments to reconcile net income to net cash flows provided by operating activities:</w:t>
            </w:r>
          </w:p>
        </w:tc>
        <w:tc>
          <w:tcPr>
            <w:tcW w:w="11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21,175</w:t>
            </w: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22,128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9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Deferred income taxes</w:t>
            </w:r>
          </w:p>
        </w:tc>
        <w:tc>
          <w:tcPr>
            <w:tcW w:w="112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13,308</w:t>
            </w:r>
          </w:p>
        </w:tc>
        <w:tc>
          <w:tcPr>
            <w:tcW w:w="2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9,654</w:t>
            </w:r>
          </w:p>
        </w:tc>
        <w:tc>
          <w:tcPr>
            <w:tcW w:w="100" w:type="dxa"/>
            <w:vAlign w:val="bottom"/>
            <w:shd w:val="clear" w:color="auto" w:fill="CFF0FC"/>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Gain on sale of assets</w:t>
            </w:r>
          </w:p>
        </w:tc>
        <w:tc>
          <w:tcPr>
            <w:tcW w:w="112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(460)</w:t>
            </w:r>
          </w:p>
        </w:tc>
        <w:tc>
          <w:tcPr>
            <w:tcW w:w="46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(2,821)</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9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Amortization of capitalized contract costs</w:t>
            </w:r>
          </w:p>
        </w:tc>
        <w:tc>
          <w:tcPr>
            <w:tcW w:w="112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9,236</w:t>
            </w:r>
          </w:p>
        </w:tc>
        <w:tc>
          <w:tcPr>
            <w:tcW w:w="2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8,394</w:t>
            </w:r>
          </w:p>
        </w:tc>
        <w:tc>
          <w:tcPr>
            <w:tcW w:w="100" w:type="dxa"/>
            <w:vAlign w:val="bottom"/>
            <w:shd w:val="clear" w:color="auto" w:fill="CFF0FC"/>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Amortization of deferred financing fees</w:t>
            </w:r>
          </w:p>
        </w:tc>
        <w:tc>
          <w:tcPr>
            <w:tcW w:w="1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1,761</w:t>
            </w: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9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12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5,308</w:t>
            </w:r>
          </w:p>
        </w:tc>
        <w:tc>
          <w:tcPr>
            <w:tcW w:w="2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2,563</w:t>
            </w:r>
          </w:p>
        </w:tc>
        <w:tc>
          <w:tcPr>
            <w:tcW w:w="100" w:type="dxa"/>
            <w:vAlign w:val="bottom"/>
            <w:shd w:val="clear" w:color="auto" w:fill="CFF0FC"/>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1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9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Accounts receivable</w:t>
            </w:r>
          </w:p>
        </w:tc>
        <w:tc>
          <w:tcPr>
            <w:tcW w:w="112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6,943</w:t>
            </w:r>
          </w:p>
        </w:tc>
        <w:tc>
          <w:tcPr>
            <w:tcW w:w="2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(1,469)</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Contract revenues in excess of billings</w:t>
            </w:r>
          </w:p>
        </w:tc>
        <w:tc>
          <w:tcPr>
            <w:tcW w:w="1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15,015</w:t>
            </w: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(1,774)</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9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Inventories</w:t>
            </w:r>
          </w:p>
        </w:tc>
        <w:tc>
          <w:tcPr>
            <w:tcW w:w="112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(1,612)</w:t>
            </w:r>
          </w:p>
        </w:tc>
        <w:tc>
          <w:tcPr>
            <w:tcW w:w="4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1,380</w:t>
            </w:r>
          </w:p>
        </w:tc>
        <w:tc>
          <w:tcPr>
            <w:tcW w:w="100" w:type="dxa"/>
            <w:vAlign w:val="bottom"/>
            <w:shd w:val="clear" w:color="auto" w:fill="CFF0FC"/>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12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w:t>
            </w:r>
          </w:p>
        </w:tc>
        <w:tc>
          <w:tcPr>
            <w:tcW w:w="46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(767)</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9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12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(8,391)</w:t>
            </w:r>
          </w:p>
        </w:tc>
        <w:tc>
          <w:tcPr>
            <w:tcW w:w="46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(1,581)</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Billings in excess of contract revenues</w:t>
            </w:r>
          </w:p>
        </w:tc>
        <w:tc>
          <w:tcPr>
            <w:tcW w:w="1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2,960</w:t>
            </w: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(8,986)</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92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Other noncurrent assets and liabilities</w:t>
            </w:r>
          </w:p>
        </w:tc>
        <w:tc>
          <w:tcPr>
            <w:tcW w:w="112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9,422</w:t>
            </w:r>
          </w:p>
        </w:tc>
        <w:tc>
          <w:tcPr>
            <w:tcW w:w="26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100" w:type="dxa"/>
            <w:vAlign w:val="bottom"/>
            <w:tcBorders>
              <w:bottom w:val="single" w:sz="8" w:color="CFF0FC"/>
            </w:tcBorders>
            <w:shd w:val="clear" w:color="auto" w:fill="CFF0FC"/>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00" w:type="dxa"/>
            <w:vAlign w:val="bottom"/>
          </w:tcPr>
          <w:p>
            <w:pPr>
              <w:spacing w:after="0"/>
              <w:rPr>
                <w:sz w:val="18"/>
                <w:szCs w:val="18"/>
                <w:color w:val="auto"/>
              </w:rPr>
            </w:pPr>
          </w:p>
        </w:tc>
        <w:tc>
          <w:tcPr>
            <w:tcW w:w="6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provided by operating activities</w:t>
            </w:r>
          </w:p>
        </w:tc>
        <w:tc>
          <w:tcPr>
            <w:tcW w:w="1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117,771</w:t>
            </w: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56,809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11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12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(81,839)</w:t>
            </w:r>
          </w:p>
        </w:tc>
        <w:tc>
          <w:tcPr>
            <w:tcW w:w="46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(64,263)</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9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Proceeds from dispositions of property and equipment</w:t>
            </w:r>
          </w:p>
        </w:tc>
        <w:tc>
          <w:tcPr>
            <w:tcW w:w="112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26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9,033</w:t>
            </w:r>
          </w:p>
        </w:tc>
        <w:tc>
          <w:tcPr>
            <w:tcW w:w="100" w:type="dxa"/>
            <w:vAlign w:val="bottom"/>
            <w:tcBorders>
              <w:bottom w:val="single" w:sz="8" w:color="CFF0FC"/>
            </w:tcBorders>
            <w:shd w:val="clear" w:color="auto" w:fill="CFF0FC"/>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6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used in investing activities</w:t>
            </w:r>
          </w:p>
        </w:tc>
        <w:tc>
          <w:tcPr>
            <w:tcW w:w="112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(81,307)</w:t>
            </w:r>
          </w:p>
        </w:tc>
        <w:tc>
          <w:tcPr>
            <w:tcW w:w="46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(55,230)</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11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Deferred financing fees</w:t>
            </w:r>
          </w:p>
        </w:tc>
        <w:tc>
          <w:tcPr>
            <w:tcW w:w="112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(601)</w:t>
            </w:r>
          </w:p>
        </w:tc>
        <w:tc>
          <w:tcPr>
            <w:tcW w:w="46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(11,261)</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Taxes paid on settlement of vested share awards</w:t>
            </w:r>
          </w:p>
        </w:tc>
        <w:tc>
          <w:tcPr>
            <w:tcW w:w="112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(1,080)</w:t>
            </w:r>
          </w:p>
        </w:tc>
        <w:tc>
          <w:tcPr>
            <w:tcW w:w="46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(970)</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Exercise of options and purchases from employee stock plans</w:t>
            </w:r>
          </w:p>
        </w:tc>
        <w:tc>
          <w:tcPr>
            <w:tcW w:w="1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Borrowings under revolving loans</w:t>
            </w:r>
          </w:p>
        </w:tc>
        <w:tc>
          <w:tcPr>
            <w:tcW w:w="112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80,000</w:t>
            </w:r>
          </w:p>
        </w:tc>
        <w:tc>
          <w:tcPr>
            <w:tcW w:w="2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16,000</w:t>
            </w:r>
          </w:p>
        </w:tc>
        <w:tc>
          <w:tcPr>
            <w:tcW w:w="100" w:type="dxa"/>
            <w:vAlign w:val="bottom"/>
            <w:shd w:val="clear" w:color="auto" w:fill="CFF0FC"/>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Borrowings under Second Lien Credit Agreement</w:t>
            </w:r>
          </w:p>
        </w:tc>
        <w:tc>
          <w:tcPr>
            <w:tcW w:w="112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Repayments of revolving loans</w:t>
            </w:r>
          </w:p>
        </w:tc>
        <w:tc>
          <w:tcPr>
            <w:tcW w:w="112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(110,000)</w:t>
            </w:r>
          </w:p>
        </w:tc>
        <w:tc>
          <w:tcPr>
            <w:tcW w:w="46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(106,000)</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112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(11,594)</w:t>
            </w:r>
          </w:p>
        </w:tc>
        <w:tc>
          <w:tcPr>
            <w:tcW w:w="46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Payments on finance lease obligations</w:t>
            </w:r>
          </w:p>
        </w:tc>
        <w:tc>
          <w:tcPr>
            <w:tcW w:w="112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(1,044)</w:t>
            </w:r>
          </w:p>
        </w:tc>
        <w:tc>
          <w:tcPr>
            <w:tcW w:w="46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(988)</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6920" w:type="dxa"/>
            <w:vAlign w:val="bottom"/>
            <w:shd w:val="clear" w:color="auto" w:fill="CFF0F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00" w:type="dxa"/>
            <w:vAlign w:val="bottom"/>
          </w:tcPr>
          <w:p>
            <w:pPr>
              <w:spacing w:after="0"/>
              <w:rPr>
                <w:sz w:val="18"/>
                <w:szCs w:val="18"/>
                <w:color w:val="auto"/>
              </w:rPr>
            </w:pPr>
          </w:p>
        </w:tc>
        <w:tc>
          <w:tcPr>
            <w:tcW w:w="6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used in financing activities</w:t>
            </w:r>
          </w:p>
        </w:tc>
        <w:tc>
          <w:tcPr>
            <w:tcW w:w="112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(43,755)</w:t>
            </w:r>
          </w:p>
        </w:tc>
        <w:tc>
          <w:tcPr>
            <w:tcW w:w="46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(2,206)</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w:t>
            </w:r>
          </w:p>
        </w:tc>
        <w:tc>
          <w:tcPr>
            <w:tcW w:w="112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(7,291)</w:t>
            </w:r>
          </w:p>
        </w:tc>
        <w:tc>
          <w:tcPr>
            <w:tcW w:w="46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(627)</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1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10,216</w:t>
            </w:r>
          </w:p>
        </w:tc>
        <w:tc>
          <w:tcPr>
            <w:tcW w:w="26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23,761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00" w:type="dxa"/>
            <w:vAlign w:val="bottom"/>
          </w:tcPr>
          <w:p>
            <w:pPr>
              <w:spacing w:after="0"/>
              <w:rPr>
                <w:sz w:val="21"/>
                <w:szCs w:val="21"/>
                <w:color w:val="auto"/>
              </w:rPr>
            </w:pPr>
          </w:p>
        </w:tc>
        <w:tc>
          <w:tcPr>
            <w:tcW w:w="69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1120" w:type="dxa"/>
            <w:vAlign w:val="bottom"/>
            <w:tcBorders>
              <w:bottom w:val="single" w:sz="8" w:color="auto"/>
            </w:tcBorders>
            <w:shd w:val="clear" w:color="auto" w:fill="CFF0FC"/>
          </w:tcPr>
          <w:p>
            <w:pPr>
              <w:jc w:val="right"/>
              <w:ind w:right="957"/>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2,925</w:t>
            </w:r>
          </w:p>
        </w:tc>
        <w:tc>
          <w:tcPr>
            <w:tcW w:w="26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23,134</w:t>
            </w:r>
          </w:p>
        </w:tc>
        <w:tc>
          <w:tcPr>
            <w:tcW w:w="100" w:type="dxa"/>
            <w:vAlign w:val="bottom"/>
            <w:tcBorders>
              <w:bottom w:val="single" w:sz="8" w:color="CFF0FC"/>
            </w:tcBorders>
            <w:shd w:val="clear" w:color="auto" w:fill="CFF0FC"/>
          </w:tcPr>
          <w:p>
            <w:pPr>
              <w:spacing w:after="0"/>
              <w:rPr>
                <w:sz w:val="21"/>
                <w:szCs w:val="21"/>
                <w:color w:val="auto"/>
              </w:rPr>
            </w:pP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722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11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00" w:type="dxa"/>
            <w:vAlign w:val="bottom"/>
          </w:tcPr>
          <w:p>
            <w:pPr>
              <w:spacing w:after="0"/>
              <w:rPr>
                <w:sz w:val="22"/>
                <w:szCs w:val="22"/>
                <w:color w:val="auto"/>
              </w:rPr>
            </w:pPr>
          </w:p>
        </w:tc>
        <w:tc>
          <w:tcPr>
            <w:tcW w:w="69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paid for interest</w:t>
            </w:r>
          </w:p>
        </w:tc>
        <w:tc>
          <w:tcPr>
            <w:tcW w:w="1120" w:type="dxa"/>
            <w:vAlign w:val="bottom"/>
            <w:tcBorders>
              <w:bottom w:val="single" w:sz="8" w:color="auto"/>
            </w:tcBorders>
            <w:shd w:val="clear" w:color="auto" w:fill="CFF0FC"/>
          </w:tcPr>
          <w:p>
            <w:pPr>
              <w:jc w:val="right"/>
              <w:ind w:right="957"/>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16,129</w:t>
            </w:r>
          </w:p>
        </w:tc>
        <w:tc>
          <w:tcPr>
            <w:tcW w:w="260" w:type="dxa"/>
            <w:vAlign w:val="bottom"/>
            <w:tcBorders>
              <w:bottom w:val="single" w:sz="8" w:color="CFF0FC"/>
            </w:tcBorders>
            <w:shd w:val="clear" w:color="auto" w:fill="CFF0FC"/>
          </w:tcPr>
          <w:p>
            <w:pPr>
              <w:spacing w:after="0"/>
              <w:rPr>
                <w:sz w:val="22"/>
                <w:szCs w:val="22"/>
                <w:color w:val="auto"/>
              </w:rPr>
            </w:pPr>
          </w:p>
        </w:tc>
        <w:tc>
          <w:tcPr>
            <w:tcW w:w="460" w:type="dxa"/>
            <w:vAlign w:val="bottom"/>
            <w:tcBorders>
              <w:bottom w:val="single" w:sz="8" w:color="auto"/>
            </w:tcBorders>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13,803</w:t>
            </w:r>
          </w:p>
        </w:tc>
        <w:tc>
          <w:tcPr>
            <w:tcW w:w="100" w:type="dxa"/>
            <w:vAlign w:val="bottom"/>
            <w:tcBorders>
              <w:bottom w:val="single" w:sz="8" w:color="CFF0FC"/>
            </w:tcBorders>
            <w:shd w:val="clear" w:color="auto" w:fill="CFF0FC"/>
          </w:tcPr>
          <w:p>
            <w:pPr>
              <w:spacing w:after="0"/>
              <w:rPr>
                <w:sz w:val="22"/>
                <w:szCs w:val="22"/>
                <w:color w:val="auto"/>
              </w:rPr>
            </w:pPr>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300" w:type="dxa"/>
            <w:vAlign w:val="bottom"/>
          </w:tcPr>
          <w:p>
            <w:pPr>
              <w:spacing w:after="0"/>
              <w:rPr>
                <w:sz w:val="17"/>
                <w:szCs w:val="17"/>
                <w:color w:val="auto"/>
              </w:rPr>
            </w:pPr>
          </w:p>
        </w:tc>
        <w:tc>
          <w:tcPr>
            <w:tcW w:w="6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Cash paid for income taxes</w:t>
            </w:r>
          </w:p>
        </w:tc>
        <w:tc>
          <w:tcPr>
            <w:tcW w:w="1120" w:type="dxa"/>
            <w:vAlign w:val="bottom"/>
            <w:tcBorders>
              <w:bottom w:val="single" w:sz="8" w:color="auto"/>
            </w:tcBorders>
          </w:tcPr>
          <w:p>
            <w:pPr>
              <w:jc w:val="right"/>
              <w:ind w:right="957"/>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2,239</w:t>
            </w:r>
          </w:p>
        </w:tc>
        <w:tc>
          <w:tcPr>
            <w:tcW w:w="260" w:type="dxa"/>
            <w:vAlign w:val="bottom"/>
          </w:tcPr>
          <w:p>
            <w:pPr>
              <w:spacing w:after="0"/>
              <w:rPr>
                <w:sz w:val="17"/>
                <w:szCs w:val="17"/>
                <w:color w:val="auto"/>
              </w:rPr>
            </w:pPr>
          </w:p>
        </w:tc>
        <w:tc>
          <w:tcPr>
            <w:tcW w:w="460" w:type="dxa"/>
            <w:vAlign w:val="bottom"/>
            <w:tcBorders>
              <w:bottom w:val="single" w:sz="8" w:color="auto"/>
            </w:tcBorders>
          </w:tcPr>
          <w:p>
            <w:pPr>
              <w:jc w:val="right"/>
              <w:ind w:right="2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1,471</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300" w:type="dxa"/>
            <w:vAlign w:val="bottom"/>
            <w:vMerge w:val="restart"/>
          </w:tcPr>
          <w:p>
            <w:pPr>
              <w:spacing w:after="0"/>
              <w:rPr>
                <w:sz w:val="4"/>
                <w:szCs w:val="4"/>
                <w:color w:val="auto"/>
              </w:rPr>
            </w:pPr>
          </w:p>
        </w:tc>
        <w:tc>
          <w:tcPr>
            <w:tcW w:w="69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26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00" w:type="dxa"/>
            <w:vAlign w:val="bottom"/>
            <w:vMerge w:val="continue"/>
          </w:tcPr>
          <w:p>
            <w:pPr>
              <w:spacing w:after="0"/>
              <w:rPr>
                <w:sz w:val="18"/>
                <w:szCs w:val="18"/>
                <w:color w:val="auto"/>
              </w:rPr>
            </w:pPr>
          </w:p>
        </w:tc>
        <w:tc>
          <w:tcPr>
            <w:tcW w:w="6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Non-cash Investing and Financing Activities</w:t>
            </w:r>
          </w:p>
        </w:tc>
        <w:tc>
          <w:tcPr>
            <w:tcW w:w="11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purchased but not yet paid</w:t>
            </w:r>
          </w:p>
        </w:tc>
        <w:tc>
          <w:tcPr>
            <w:tcW w:w="1120" w:type="dxa"/>
            <w:vAlign w:val="bottom"/>
            <w:tcBorders>
              <w:bottom w:val="single" w:sz="8" w:color="auto"/>
            </w:tcBorders>
          </w:tcPr>
          <w:p>
            <w:pPr>
              <w:jc w:val="right"/>
              <w:ind w:right="957"/>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7,356</w:t>
            </w:r>
          </w:p>
        </w:tc>
        <w:tc>
          <w:tcPr>
            <w:tcW w:w="260" w:type="dxa"/>
            <w:vAlign w:val="bottom"/>
          </w:tcPr>
          <w:p>
            <w:pPr>
              <w:spacing w:after="0"/>
              <w:rPr>
                <w:sz w:val="18"/>
                <w:szCs w:val="18"/>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6920" w:type="dxa"/>
            <w:vAlign w:val="bottom"/>
            <w:vMerge w:val="restart"/>
          </w:tcPr>
          <w:p>
            <w:pPr>
              <w:ind w:left="2880"/>
              <w:spacing w:after="0"/>
              <w:rPr>
                <w:sz w:val="20"/>
                <w:szCs w:val="20"/>
                <w:color w:val="auto"/>
              </w:rPr>
            </w:pPr>
            <w:r>
              <w:rPr>
                <w:rFonts w:ascii="Times New Roman" w:cs="Times New Roman" w:eastAsia="Times New Roman" w:hAnsi="Times New Roman"/>
                <w:sz w:val="18"/>
                <w:szCs w:val="18"/>
                <w:color w:val="auto"/>
                <w:w w:val="99"/>
              </w:rPr>
              <w:t>See notes to unaudited condensed consolidated financial</w:t>
            </w:r>
          </w:p>
        </w:tc>
        <w:tc>
          <w:tcPr>
            <w:tcW w:w="1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300" w:type="dxa"/>
            <w:vAlign w:val="bottom"/>
          </w:tcPr>
          <w:p>
            <w:pPr>
              <w:spacing w:after="0"/>
              <w:rPr>
                <w:sz w:val="18"/>
                <w:szCs w:val="18"/>
                <w:color w:val="auto"/>
              </w:rPr>
            </w:pPr>
          </w:p>
        </w:tc>
        <w:tc>
          <w:tcPr>
            <w:tcW w:w="6920" w:type="dxa"/>
            <w:vAlign w:val="bottom"/>
            <w:vMerge w:val="continue"/>
          </w:tcPr>
          <w:p>
            <w:pPr>
              <w:spacing w:after="0"/>
              <w:rPr>
                <w:sz w:val="18"/>
                <w:szCs w:val="18"/>
                <w:color w:val="auto"/>
              </w:rPr>
            </w:pPr>
          </w:p>
        </w:tc>
        <w:tc>
          <w:tcPr>
            <w:tcW w:w="1120" w:type="dxa"/>
            <w:vAlign w:val="bottom"/>
          </w:tcPr>
          <w:p>
            <w:pPr>
              <w:jc w:val="right"/>
              <w:ind w:right="177"/>
              <w:spacing w:after="0"/>
              <w:rPr>
                <w:sz w:val="20"/>
                <w:szCs w:val="20"/>
                <w:color w:val="auto"/>
              </w:rPr>
            </w:pPr>
            <w:r>
              <w:rPr>
                <w:rFonts w:ascii="Times New Roman" w:cs="Times New Roman" w:eastAsia="Times New Roman" w:hAnsi="Times New Roman"/>
                <w:sz w:val="18"/>
                <w:szCs w:val="18"/>
                <w:color w:val="auto"/>
              </w:rPr>
              <w:t>statements.</w:t>
            </w: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4"/>
        </w:trPr>
        <w:tc>
          <w:tcPr>
            <w:tcW w:w="7220" w:type="dxa"/>
            <w:vAlign w:val="bottom"/>
            <w:gridSpan w:val="2"/>
          </w:tcPr>
          <w:p>
            <w:pPr>
              <w:jc w:val="right"/>
              <w:ind w:right="1470"/>
              <w:spacing w:after="0"/>
              <w:rPr>
                <w:sz w:val="20"/>
                <w:szCs w:val="20"/>
                <w:color w:val="auto"/>
              </w:rPr>
            </w:pPr>
            <w:r>
              <w:rPr>
                <w:rFonts w:ascii="Times New Roman" w:cs="Times New Roman" w:eastAsia="Times New Roman" w:hAnsi="Times New Roman"/>
                <w:sz w:val="18"/>
                <w:szCs w:val="18"/>
                <w:color w:val="auto"/>
              </w:rPr>
              <w:t>8</w:t>
            </w:r>
          </w:p>
        </w:tc>
        <w:tc>
          <w:tcPr>
            <w:tcW w:w="1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300" w:type="dxa"/>
            <w:vAlign w:val="bottom"/>
            <w:tcBorders>
              <w:bottom w:val="single" w:sz="8" w:color="9A9A9A"/>
            </w:tcBorders>
          </w:tcPr>
          <w:p>
            <w:pPr>
              <w:spacing w:after="0"/>
              <w:rPr>
                <w:sz w:val="24"/>
                <w:szCs w:val="24"/>
                <w:color w:val="auto"/>
              </w:rPr>
            </w:pPr>
          </w:p>
        </w:tc>
        <w:tc>
          <w:tcPr>
            <w:tcW w:w="69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-4285615</wp:posOffset>
            </wp:positionV>
            <wp:extent cx="6032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-4285615</wp:posOffset>
            </wp:positionV>
            <wp:extent cx="6032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-3728085</wp:posOffset>
            </wp:positionV>
            <wp:extent cx="6032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-3728085</wp:posOffset>
            </wp:positionV>
            <wp:extent cx="6032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-2348230</wp:posOffset>
            </wp:positionV>
            <wp:extent cx="6032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-2348230</wp:posOffset>
            </wp:positionV>
            <wp:extent cx="6032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-1782445</wp:posOffset>
            </wp:positionV>
            <wp:extent cx="6032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-1765300</wp:posOffset>
            </wp:positionV>
            <wp:extent cx="6032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-1782445</wp:posOffset>
            </wp:positionV>
            <wp:extent cx="6032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-1765300</wp:posOffset>
            </wp:positionV>
            <wp:extent cx="6032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-1439545</wp:posOffset>
            </wp:positionV>
            <wp:extent cx="6032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-1422400</wp:posOffset>
            </wp:positionV>
            <wp:extent cx="6032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-1439545</wp:posOffset>
            </wp:positionV>
            <wp:extent cx="6032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-1422400</wp:posOffset>
            </wp:positionV>
            <wp:extent cx="6032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GREAT LAKES DREDGE &amp; DOCK CORPORATION AND SUBSIDIARIES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 amounts in thousands, except per share amounts or as otherwise noted)</w:t>
      </w:r>
    </w:p>
    <w:p>
      <w:pPr>
        <w:spacing w:after="0" w:line="230" w:lineRule="exact"/>
        <w:rPr>
          <w:sz w:val="20"/>
          <w:szCs w:val="20"/>
          <w:color w:val="auto"/>
        </w:rPr>
      </w:pPr>
    </w:p>
    <w:p>
      <w:pPr>
        <w:ind w:left="520" w:hanging="512"/>
        <w:spacing w:after="0"/>
        <w:tabs>
          <w:tab w:leader="none" w:pos="52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w:t>
      </w:r>
    </w:p>
    <w:p>
      <w:pPr>
        <w:spacing w:after="0" w:line="12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unaudited condensed consolidated financial statements and notes herein should be read in conjunction with the audited consolidated financial statements of Great Lakes Dredge &amp; Dock Corporation and Subsidiaries (the “Company” or “Great Lakes”) and the notes thereto, included in the Company’s Annual Report on Form 10-K for the year ended December 31, 2024. The condensed consolidated financial statements included herein have been prepared by the Company without audit, pursuant to the rules and regulations of the Securities and Exchange Commission (“SEC”). Certain information and footnote disclosures normally included in financial statements prepared in accordance with accounting principles generally accepted in the United States of America (“GAAP”) have been condensed or omitted pursuant to the SEC’s rules and regulations. Management believes that the disclosures included herein are adequate and make the information presented not misleading. In the opinion of management, all adjustments, which are of a normal and recurring nature (except as otherwise noted), that are necessary to present fairly the Company’s financial position as of June 30, 2025 and December 31, 2024, and its results of operations for the three and six months ended June 30, 2025 and 2024 and cash flows for the six months ended June 30, 2025 and 2024 have been included.</w:t>
      </w:r>
    </w:p>
    <w:p>
      <w:pPr>
        <w:spacing w:after="0" w:line="127" w:lineRule="exact"/>
        <w:rPr>
          <w:sz w:val="20"/>
          <w:szCs w:val="20"/>
          <w:color w:val="auto"/>
        </w:rPr>
      </w:pPr>
    </w:p>
    <w:p>
      <w:pPr>
        <w:ind w:right="620"/>
        <w:spacing w:after="0" w:line="266" w:lineRule="auto"/>
        <w:rPr>
          <w:sz w:val="20"/>
          <w:szCs w:val="20"/>
          <w:color w:val="auto"/>
        </w:rPr>
      </w:pPr>
      <w:r>
        <w:rPr>
          <w:rFonts w:ascii="Times New Roman" w:cs="Times New Roman" w:eastAsia="Times New Roman" w:hAnsi="Times New Roman"/>
          <w:sz w:val="18"/>
          <w:szCs w:val="18"/>
          <w:color w:val="auto"/>
        </w:rPr>
        <w:t>The components of costs of contract revenues include labor, equipment (including depreciation, maintenance, insurance and long-term rentals), subcontracts, fuel, supplies, short-term rentals and project overhead. Hourly labor is generally hired on a project-by-project basis. Costs of contract revenues vary significantly depending on the type and location of work performed and assets utilized.</w:t>
      </w:r>
    </w:p>
    <w:p>
      <w:pPr>
        <w:spacing w:after="0" w:line="9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The Company has one operating segment which is also the Company’s reportable segment and reporting unit of which the Company tests goodwill for impairment. </w:t>
      </w:r>
      <w:r>
        <w:rPr>
          <w:rFonts w:ascii="Times New Roman" w:cs="Times New Roman" w:eastAsia="Times New Roman" w:hAnsi="Times New Roman"/>
          <w:sz w:val="18"/>
          <w:szCs w:val="18"/>
          <w:color w:val="212529"/>
        </w:rPr>
        <w:t>When conducting the annual impairment test for goodwill, the Company can choose to assess qualitative factors to determine whether it 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 xml:space="preserve">more likely than not that the fair value of the reporting unit is below its carrying value. If a qualitative assessment determines an impairment is more likely than not, the Company is required to perform a quantitative impairment test. Otherwise, no further analysis is required. The Company also may elect to forego the qualitative and move directly to the quantitative impairment test. </w:t>
      </w:r>
      <w:r>
        <w:rPr>
          <w:rFonts w:ascii="Times New Roman" w:cs="Times New Roman" w:eastAsia="Times New Roman" w:hAnsi="Times New Roman"/>
          <w:sz w:val="18"/>
          <w:szCs w:val="18"/>
          <w:color w:val="000000"/>
        </w:rPr>
        <w:t>The Company performed its annual test of impairment as of July 1, 2024. The</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Company assessed qualitative factors for any indications of potential impairment of the reporting unit. Upon completing this assessment, it was determined that the fair value of the reporting unit is more likely than not greater than its carrying value as of the assessment date and, as a result, a quantitative test was not performed. The Company will continue to monitor for changes in facts or circumstances that may impact its estimates. The Company will perform its next scheduled annual impairment test of goodwill in the third quarter of 2025.</w:t>
      </w:r>
    </w:p>
    <w:p>
      <w:pPr>
        <w:spacing w:after="0" w:line="12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8"/>
          <w:szCs w:val="18"/>
          <w:color w:val="212529"/>
        </w:rPr>
        <w:t>n March 14, 2025, the Company announced that its board of directors approved a share repurchase program, authorizing, but not obligating,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 xml:space="preserve">repurchase of up to an aggregate amount of $50.0 million of its common stock from time to time through March 14, 2026. </w:t>
      </w:r>
      <w:r>
        <w:rPr>
          <w:rFonts w:ascii="Times New Roman" w:cs="Times New Roman" w:eastAsia="Times New Roman" w:hAnsi="Times New Roman"/>
          <w:sz w:val="18"/>
          <w:szCs w:val="18"/>
          <w:color w:val="000000"/>
        </w:rPr>
        <w:t>Of the approved amount under</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the share repurchase program, the Company repurchased 1,312,493 shares of common stock for approximately $11.6 million of common stock during the six months ended June 30, 2025</w:t>
      </w:r>
      <w:r>
        <w:rPr>
          <w:rFonts w:ascii="Times New Roman" w:cs="Times New Roman" w:eastAsia="Times New Roman" w:hAnsi="Times New Roman"/>
          <w:sz w:val="18"/>
          <w:szCs w:val="18"/>
          <w:color w:val="212529"/>
        </w:rPr>
        <w:t>.</w:t>
      </w:r>
    </w:p>
    <w:p>
      <w:pPr>
        <w:spacing w:after="0" w:line="180"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condensed consolidated statements of operations and comprehensive income for the interim periods presented herein are not necessarily indicative of the results to be expected for the full year.</w:t>
      </w:r>
    </w:p>
    <w:p>
      <w:pPr>
        <w:spacing w:after="0" w:line="158"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b w:val="1"/>
          <w:bCs w:val="1"/>
          <w:color w:val="auto"/>
        </w:rPr>
        <w:t>Recently Issued Accounting Pronouncements</w:t>
      </w:r>
      <w:r>
        <w:rPr>
          <w:rFonts w:ascii="Times New Roman" w:cs="Times New Roman" w:eastAsia="Times New Roman" w:hAnsi="Times New Roman"/>
          <w:sz w:val="18"/>
          <w:szCs w:val="18"/>
          <w:color w:val="auto"/>
        </w:rPr>
        <w:t>—In November 2024, the Financial Accounting Standards Board (“FASB”) issued Accounting Standards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Update (“ASU”) 2024-03, Disaggregation of Income Statement Expenses (“DISE”). The ASU primarily requires companies to disclose additional information about specific expense categories in the notes to financial statements at interim and annual reporting periods. The guidance will be applied on a prospective basis with the option to apply the standard retrospectively. The new guidance will be effective for the Company’s year ending December 31, 2027 and interim periods during the year ended December 31, 2028. Management is currently evaluating the impact of this guidance.</w:t>
      </w:r>
    </w:p>
    <w:p>
      <w:pPr>
        <w:spacing w:after="0" w:line="116"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(“ASU 2023-09”). The amendments in ASU 2023-09 address investor requests for more transparency about income tax information through improvements to income tax disclosures primarily related to the rate reconciliation and income taxes paid information. One of the amendments in ASU 2023-09 includes disclosure of, on an annual basis, a tabular rate reconciliation of (i) the reported income tax expense (or benefit) from continuing operations, to (ii) the product of the income (or loss) from continuing operations before income taxes and the applicable statutory federal income tax rate of the jurisdiction of domicile using specific categories, including separate disclosure for any reconciling items within certain categories that are equal to or greater than a specified quantitative threshold of 5%. ASU 2023-09 also requires disclosure of, on an annual basis, the year to date amount of income taxes paid (net of refunds received) disaggregated by federal,</w:t>
      </w: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9" w:name="page10"/>
    <w:bookmarkEnd w:id="9"/>
    <w:p>
      <w:pPr>
        <w:ind w:right="40"/>
        <w:spacing w:after="0" w:line="261" w:lineRule="auto"/>
        <w:rPr>
          <w:sz w:val="20"/>
          <w:szCs w:val="20"/>
          <w:color w:val="auto"/>
        </w:rPr>
      </w:pPr>
      <w:r>
        <w:rPr>
          <w:rFonts w:ascii="Times New Roman" w:cs="Times New Roman" w:eastAsia="Times New Roman" w:hAnsi="Times New Roman"/>
          <w:sz w:val="18"/>
          <w:szCs w:val="18"/>
          <w:color w:val="auto"/>
        </w:rPr>
        <w:t>state, and foreign jurisdictions, including additional disaggregated information on income taxes paid (net of refunds received) to an individual jurisdiction equal to or greater than 5% of total income taxes paid (net of refunds received). The amendments in ASU 2023-09 are effective for annual periods beginning after December 15, 2024, and should be applied prospectively. The adoption of ASU 2023-09 is not expected to have a material impact on the Company’s consolidated financial statements and related disclosures.</w:t>
      </w:r>
    </w:p>
    <w:p>
      <w:pPr>
        <w:spacing w:after="0" w:line="108" w:lineRule="exact"/>
        <w:rPr>
          <w:sz w:val="20"/>
          <w:szCs w:val="20"/>
          <w:color w:val="auto"/>
        </w:rPr>
      </w:pPr>
    </w:p>
    <w:p>
      <w:pPr>
        <w:ind w:left="520" w:hanging="512"/>
        <w:spacing w:after="0"/>
        <w:tabs>
          <w:tab w:leader="none" w:pos="52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Earnings per share</w:t>
      </w:r>
    </w:p>
    <w:p>
      <w:pPr>
        <w:spacing w:after="0" w:line="121"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Basic earnings per share is computed by dividing net income attributable to common stockholders by the weighted-average number of common shares outstanding during the reporting period. Diluted earnings per share is computed similar to basic earnings per share except that it reflects the potential dilution that could occur if dilutive securities or other obligations to issue common stock were exercised or converted into common stock.</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computations for basic and diluted earnings per share are as follows:</w:t>
      </w:r>
    </w:p>
    <w:p>
      <w:pPr>
        <w:spacing w:after="0" w:line="139"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0" w:type="dxa"/>
            <w:vAlign w:val="bottom"/>
            <w:gridSpan w:val="4"/>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4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73"/>
        </w:trPr>
        <w:tc>
          <w:tcPr>
            <w:tcW w:w="54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54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3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9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9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142"/>
        </w:trPr>
        <w:tc>
          <w:tcPr>
            <w:tcW w:w="5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9,695</w:t>
            </w:r>
          </w:p>
        </w:tc>
        <w:tc>
          <w:tcPr>
            <w:tcW w:w="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7,673</w:t>
            </w:r>
          </w:p>
        </w:tc>
        <w:tc>
          <w:tcPr>
            <w:tcW w:w="4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43,111</w:t>
            </w:r>
          </w:p>
        </w:tc>
        <w:tc>
          <w:tcPr>
            <w:tcW w:w="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28,697</w:t>
            </w:r>
          </w:p>
        </w:tc>
        <w:tc>
          <w:tcPr>
            <w:tcW w:w="100" w:type="dxa"/>
            <w:vAlign w:val="bottom"/>
            <w:shd w:val="clear" w:color="auto" w:fill="CFF0FC"/>
          </w:tcPr>
          <w:p>
            <w:pPr>
              <w:spacing w:after="0"/>
              <w:rPr>
                <w:sz w:val="18"/>
                <w:szCs w:val="18"/>
                <w:color w:val="auto"/>
              </w:rPr>
            </w:pPr>
          </w:p>
        </w:tc>
      </w:tr>
      <w:tr>
        <w:trPr>
          <w:trHeight w:val="432"/>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common shares outstanding — basic</w:t>
            </w: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66,698</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67,118</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67,037</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66,924</w:t>
            </w:r>
          </w:p>
        </w:tc>
        <w:tc>
          <w:tcPr>
            <w:tcW w:w="100" w:type="dxa"/>
            <w:vAlign w:val="bottom"/>
          </w:tcPr>
          <w:p>
            <w:pPr>
              <w:spacing w:after="0"/>
              <w:rPr>
                <w:sz w:val="24"/>
                <w:szCs w:val="24"/>
                <w:color w:val="auto"/>
              </w:rPr>
            </w:pPr>
          </w:p>
        </w:tc>
      </w:tr>
      <w:tr>
        <w:trPr>
          <w:trHeight w:val="216"/>
        </w:trPr>
        <w:tc>
          <w:tcPr>
            <w:tcW w:w="54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Effect of stock options and restricted stock units</w:t>
            </w:r>
          </w:p>
        </w:tc>
        <w:tc>
          <w:tcPr>
            <w:tcW w:w="24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2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2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2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425"/>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common shares outstanding — diluted</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67,185</w:t>
            </w:r>
          </w:p>
        </w:tc>
        <w:tc>
          <w:tcPr>
            <w:tcW w:w="2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67,697</w:t>
            </w:r>
          </w:p>
        </w:tc>
        <w:tc>
          <w:tcPr>
            <w:tcW w:w="2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67,806</w:t>
            </w:r>
          </w:p>
        </w:tc>
        <w:tc>
          <w:tcPr>
            <w:tcW w:w="2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67,615</w:t>
            </w:r>
          </w:p>
        </w:tc>
        <w:tc>
          <w:tcPr>
            <w:tcW w:w="100" w:type="dxa"/>
            <w:vAlign w:val="bottom"/>
          </w:tcPr>
          <w:p>
            <w:pPr>
              <w:spacing w:after="0"/>
              <w:rPr>
                <w:sz w:val="24"/>
                <w:szCs w:val="24"/>
                <w:color w:val="auto"/>
              </w:rPr>
            </w:pPr>
          </w:p>
        </w:tc>
      </w:tr>
      <w:tr>
        <w:trPr>
          <w:trHeight w:val="20"/>
        </w:trPr>
        <w:tc>
          <w:tcPr>
            <w:tcW w:w="5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5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Basic earnings</w:t>
            </w: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4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0.64</w:t>
            </w:r>
          </w:p>
        </w:tc>
        <w:tc>
          <w:tcPr>
            <w:tcW w:w="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0.43</w:t>
            </w:r>
          </w:p>
        </w:tc>
        <w:tc>
          <w:tcPr>
            <w:tcW w:w="100" w:type="dxa"/>
            <w:vAlign w:val="bottom"/>
            <w:shd w:val="clear" w:color="auto" w:fill="CFF0FC"/>
          </w:tcPr>
          <w:p>
            <w:pPr>
              <w:spacing w:after="0"/>
              <w:rPr>
                <w:sz w:val="18"/>
                <w:szCs w:val="18"/>
                <w:color w:val="auto"/>
              </w:rPr>
            </w:pPr>
          </w:p>
        </w:tc>
      </w:tr>
      <w:tr>
        <w:trPr>
          <w:trHeight w:val="234"/>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Diluted earnings</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0.64</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-730885</wp:posOffset>
            </wp:positionV>
            <wp:extent cx="6032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-730885</wp:posOffset>
            </wp:positionV>
            <wp:extent cx="6032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-730885</wp:posOffset>
            </wp:positionV>
            <wp:extent cx="5969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-730885</wp:posOffset>
            </wp:positionV>
            <wp:extent cx="6032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5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For the three and six months ended June 30, 2025, respectively, there were 4 and 159 restricted stock units ("RSUs") excluded from the calculation of diluted earnings per share, based on the application of the treasury stock method, as such RSUs were determined to be anti-dilutive. For the three and six months ended June 30, 2024, respectively, there were 60 and 59 stock options ("NQSOs") and RSUs excluded from the calculation of diluted earnings per share, based on the application of the treasury stock method, as such NQSOs and RSUs were determined to be anti-dilutive.</w:t>
      </w:r>
    </w:p>
    <w:p>
      <w:pPr>
        <w:spacing w:after="0" w:line="72"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For the three and six months ended June 30, 2025, respectively, there were 487 and 769 RSUs included in the diluted weighted average common shares outstanding. For the three and six months ended June 30, 2024, respectively, there were 579 and 691 NQSOs and RSUs included in the calculation of diluted earnings per share based on the application of the treasury stock method.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3.</w:t>
            </w:r>
          </w:p>
        </w:tc>
        <w:tc>
          <w:tcPr>
            <w:tcW w:w="64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Property and equipment</w:t>
            </w: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6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Property and equipment at June 30, 2025 and December 31, 2024 were as follows:</w:t>
            </w: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40"/>
        </w:trPr>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80" w:type="dxa"/>
            <w:vAlign w:val="bottom"/>
          </w:tcPr>
          <w:p>
            <w:pPr>
              <w:spacing w:after="0"/>
              <w:rPr>
                <w:sz w:val="24"/>
                <w:szCs w:val="24"/>
                <w:color w:val="auto"/>
              </w:rPr>
            </w:pP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3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5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5"/>
                <w:szCs w:val="15"/>
                <w:color w:val="auto"/>
              </w:rPr>
            </w:pPr>
          </w:p>
        </w:tc>
      </w:tr>
      <w:tr>
        <w:trPr>
          <w:trHeight w:val="115"/>
        </w:trPr>
        <w:tc>
          <w:tcPr>
            <w:tcW w:w="3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5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216"/>
        </w:trPr>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Land</w:t>
            </w: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9,348</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9,348</w:t>
            </w:r>
          </w:p>
        </w:tc>
      </w:tr>
      <w:tr>
        <w:trPr>
          <w:trHeight w:val="216"/>
        </w:trPr>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1,315</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1,315</w:t>
            </w:r>
          </w:p>
        </w:tc>
      </w:tr>
      <w:tr>
        <w:trPr>
          <w:trHeight w:val="216"/>
        </w:trPr>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26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22,304</w:t>
            </w:r>
          </w:p>
        </w:tc>
        <w:tc>
          <w:tcPr>
            <w:tcW w:w="18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21,197</w:t>
            </w:r>
          </w:p>
        </w:tc>
      </w:tr>
      <w:tr>
        <w:trPr>
          <w:trHeight w:val="216"/>
        </w:trPr>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Operating equipment</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925,416</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922,402</w:t>
            </w:r>
          </w:p>
        </w:tc>
      </w:tr>
      <w:tr>
        <w:trPr>
          <w:trHeight w:val="216"/>
        </w:trPr>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26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319,042</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264,525</w:t>
            </w:r>
          </w:p>
        </w:tc>
      </w:tr>
      <w:tr>
        <w:trPr>
          <w:trHeight w:val="20"/>
        </w:trPr>
        <w:tc>
          <w:tcPr>
            <w:tcW w:w="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5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5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1,277,425</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1,218,787</w:t>
            </w:r>
          </w:p>
        </w:tc>
      </w:tr>
      <w:tr>
        <w:trPr>
          <w:trHeight w:val="20"/>
        </w:trPr>
        <w:tc>
          <w:tcPr>
            <w:tcW w:w="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Accumulated depreciation</w:t>
            </w:r>
          </w:p>
        </w:tc>
        <w:tc>
          <w:tcPr>
            <w:tcW w:w="26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(519,501)</w:t>
            </w:r>
          </w:p>
        </w:tc>
        <w:tc>
          <w:tcPr>
            <w:tcW w:w="18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(515,535)</w:t>
            </w:r>
          </w:p>
        </w:tc>
      </w:tr>
      <w:tr>
        <w:trPr>
          <w:trHeight w:val="20"/>
        </w:trPr>
        <w:tc>
          <w:tcPr>
            <w:tcW w:w="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5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equipment—net</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757,924</w:t>
            </w:r>
          </w:p>
        </w:tc>
        <w:tc>
          <w:tcPr>
            <w:tcW w:w="200" w:type="dxa"/>
            <w:vAlign w:val="bottom"/>
          </w:tcPr>
          <w:p>
            <w:pPr>
              <w:spacing w:after="0"/>
              <w:rPr>
                <w:sz w:val="18"/>
                <w:szCs w:val="18"/>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703,252</w:t>
            </w:r>
          </w:p>
        </w:tc>
      </w:tr>
      <w:tr>
        <w:trPr>
          <w:trHeight w:val="20"/>
        </w:trPr>
        <w:tc>
          <w:tcPr>
            <w:tcW w:w="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5234305</wp:posOffset>
            </wp:positionH>
            <wp:positionV relativeFrom="paragraph">
              <wp:posOffset>-462280</wp:posOffset>
            </wp:positionV>
            <wp:extent cx="5143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-462280</wp:posOffset>
            </wp:positionV>
            <wp:extent cx="5143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-170815</wp:posOffset>
            </wp:positionV>
            <wp:extent cx="5143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-170815</wp:posOffset>
            </wp:positionV>
            <wp:extent cx="5143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01" w:right="45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38"/>
        </w:trPr>
        <w:tc>
          <w:tcPr>
            <w:tcW w:w="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4.</w:t>
            </w:r>
          </w:p>
        </w:tc>
        <w:tc>
          <w:tcPr>
            <w:tcW w:w="65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Accrued expenses</w:t>
            </w: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6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Accrued expenses at June 30, 2025 and December 31, 2024 were as follows:</w:t>
            </w: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2"/>
        </w:trPr>
        <w:tc>
          <w:tcPr>
            <w:tcW w:w="3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5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3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51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340" w:type="dxa"/>
            <w:vAlign w:val="bottom"/>
          </w:tcPr>
          <w:p>
            <w:pPr>
              <w:spacing w:after="0"/>
              <w:rPr>
                <w:sz w:val="10"/>
                <w:szCs w:val="10"/>
                <w:color w:val="auto"/>
              </w:rPr>
            </w:pPr>
          </w:p>
        </w:tc>
        <w:tc>
          <w:tcPr>
            <w:tcW w:w="1360" w:type="dxa"/>
            <w:vAlign w:val="bottom"/>
            <w:vMerge w:val="restart"/>
          </w:tcPr>
          <w:p>
            <w:pPr>
              <w:spacing w:after="0"/>
              <w:rPr>
                <w:sz w:val="10"/>
                <w:szCs w:val="10"/>
                <w:color w:val="auto"/>
              </w:rPr>
            </w:pPr>
          </w:p>
        </w:tc>
        <w:tc>
          <w:tcPr>
            <w:tcW w:w="5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Payroll and employee benefits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14,777</w:t>
            </w: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20,140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Insurance</w:t>
            </w:r>
          </w:p>
        </w:tc>
        <w:tc>
          <w:tcPr>
            <w:tcW w:w="22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10,421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13,832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w:t>
            </w:r>
          </w:p>
        </w:tc>
        <w:tc>
          <w:tcPr>
            <w:tcW w:w="2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1,632</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1,783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Fuel hedge contracts</w:t>
            </w:r>
          </w:p>
        </w:tc>
        <w:tc>
          <w:tcPr>
            <w:tcW w:w="22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454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1,065</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and other taxes</w:t>
            </w:r>
          </w:p>
        </w:tc>
        <w:tc>
          <w:tcPr>
            <w:tcW w:w="2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1,158</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2,130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liabilities</w:t>
            </w:r>
          </w:p>
        </w:tc>
        <w:tc>
          <w:tcPr>
            <w:tcW w:w="22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1,902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1,829</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Contract reserves</w:t>
            </w:r>
          </w:p>
        </w:tc>
        <w:tc>
          <w:tcPr>
            <w:tcW w:w="2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1,779</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773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713</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360" w:type="dxa"/>
            <w:vAlign w:val="bottom"/>
            <w:vMerge w:val="restart"/>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40" w:type="dxa"/>
            <w:vAlign w:val="bottom"/>
          </w:tcPr>
          <w:p>
            <w:pPr>
              <w:spacing w:after="0"/>
              <w:rPr>
                <w:sz w:val="19"/>
                <w:szCs w:val="19"/>
                <w:color w:val="auto"/>
              </w:rPr>
            </w:pPr>
          </w:p>
        </w:tc>
        <w:tc>
          <w:tcPr>
            <w:tcW w:w="1360" w:type="dxa"/>
            <w:vAlign w:val="bottom"/>
            <w:vMerge w:val="continue"/>
          </w:tcPr>
          <w:p>
            <w:pPr>
              <w:spacing w:after="0"/>
              <w:rPr>
                <w:sz w:val="19"/>
                <w:szCs w:val="19"/>
                <w:color w:val="auto"/>
              </w:rPr>
            </w:pPr>
          </w:p>
        </w:tc>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accrued expenses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32,896</w:t>
            </w: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41,640</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1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5122545</wp:posOffset>
            </wp:positionH>
            <wp:positionV relativeFrom="paragraph">
              <wp:posOffset>-24765</wp:posOffset>
            </wp:positionV>
            <wp:extent cx="431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-7620</wp:posOffset>
            </wp:positionV>
            <wp:extent cx="431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-24765</wp:posOffset>
            </wp:positionV>
            <wp:extent cx="431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431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520" w:hanging="512"/>
        <w:spacing w:after="0"/>
        <w:tabs>
          <w:tab w:leader="none" w:pos="52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Long-term debt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Second lien credit agreement</w:t>
      </w:r>
    </w:p>
    <w:p>
      <w:pPr>
        <w:spacing w:after="0" w:line="16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April 24, 2024, the Company, Great Lakes Dredge &amp; Dock Company, LLC, NASDI Holdings, LLC, Great Lakes Environmental &amp; Infrastructure Solutions, LLC, Great Lakes U.S. Fleet Management, LLC, and Drews Services LLC (collectively, the “Credit Parties”) entered into a $150.0 million second lien credit agreement (as amended, supplemented or otherwise modified from time to time, the “Second Lien Credit Agreement”) with Guggenheim Corporate Funding, LLC, on behalf of one or more clients, as the lender, and Guggenheim Credit Services, LLC as Administrative Agent, Collateral Agent and Lead Arranger (“GCS”). The material terms of the Second Lien Credit Agreement are summarized below.</w:t>
      </w:r>
    </w:p>
    <w:p>
      <w:pPr>
        <w:spacing w:after="0" w:line="18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The Second Lien Credit Agreement provides for (i) a senior secured second-lien term loan facility in an aggregate principal amount of $100.0 million, which was funded in full on the initial closing date (the “Closing Date”) and (ii) a senior secured second-lien delayed draw term loan facility in the aggregate principal amount up to $50.0 million, which was available to the Company for a period of 12 months following the Closing Date, subject to the terms and conditions as set forth therein. Net proceeds to the Company, after payment of original discount on the initial loans, a closing fee on the delayed draw facility and other debt issuance costs, including those associated with the ABL Credit Agreement described below, were approximately $88.7 million. </w:t>
      </w:r>
      <w:r>
        <w:rPr>
          <w:rFonts w:ascii="Times New Roman" w:cs="Times New Roman" w:eastAsia="Times New Roman" w:hAnsi="Times New Roman"/>
          <w:sz w:val="18"/>
          <w:szCs w:val="18"/>
          <w:color w:val="212529"/>
        </w:rPr>
        <w:t>On April 24, 2025, the senior secured second-lien delayed draw term loan facility of $50.0 million provided for in the Company’s Second Lien Credit Agreement expired undrawn. In connection with the expiration, the Company recognized approximately $0.6 million of interest expense related to previously recognized debt issuance costs in its consolidated balance sheets.</w:t>
      </w:r>
    </w:p>
    <w:p>
      <w:pPr>
        <w:spacing w:after="0" w:line="19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Second Lien Credit Agreement contains customary representations, mandatory prepayments and affirmative and negative covenants, including a minimum liquidity covenant that requires the Credit Parties to maintain consolidated liquidity of (a) $12.5 million at any time the fixed charge coverage ratio for the most recently ended four fiscal quarter period is less than 1.10 to 1.00 and (b) $50.0 million at any time the fixed charge coverage ratio for the most recently ended four fiscal quarters is greater than or equal to 1.10 to 1.00. For the first 18 months following the Closing Date, the Company may prepay all or a part of the loans under the Second Lien Credit Agreement by paying the principal amount of the loans to be prepaid plus a customary “make-whole” premium, subject to a make-whole carveout of up to $25.0 million (less the amount of any undrawn delayed draw term loan commitments at such time) at 103% with proceeds from a qualifying Maritime Administration (“MARAD”) financing. Thereafter, the Company may prepay all or a part of the loans under the Second Lien Credit Agreement by paying, (i) in months 19-30 following the Closing Date, 103% of the principal amount of the loans to be prepaid, plus accrued and unpaid interest and (ii) in months 31 to 42 after the Closing Date, 101% of the principal amount of loans to be prepaid, plus accrued and unpaid interest.</w:t>
      </w:r>
    </w:p>
    <w:p>
      <w:pPr>
        <w:spacing w:after="0" w:line="19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Second Lien Credit Agreement also contains customary events of default (including non-payment of principal or interest on any material debt and breaches of covenants) as well as events of default relating to certain actions by the Company’s surety bonding providers. The obligations of the Credit Parties under the Second Lien Credit Agreement are unconditionally guaranteed, on a joint and several basis, by each borrower (other than the Company) and subsidiary guarantor under the ABL Credit Agreement (as defined below), each existing or future issuer or guarantor under the indenture governing the Company’s 5.25% Senior Notes due 2029, and each other existing and subsequently acquired or formed material direct or indirect wholly-owned domestic subsidiary of the Company.</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11" w:name="page12"/>
    <w:bookmarkEnd w:id="11"/>
    <w:p>
      <w:pPr>
        <w:ind w:right="20"/>
        <w:spacing w:after="0" w:line="258" w:lineRule="auto"/>
        <w:rPr>
          <w:sz w:val="20"/>
          <w:szCs w:val="20"/>
          <w:color w:val="auto"/>
        </w:rPr>
      </w:pPr>
      <w:r>
        <w:rPr>
          <w:rFonts w:ascii="Times New Roman" w:cs="Times New Roman" w:eastAsia="Times New Roman" w:hAnsi="Times New Roman"/>
          <w:sz w:val="18"/>
          <w:szCs w:val="18"/>
          <w:color w:val="auto"/>
        </w:rPr>
        <w:t>The loans under the Second Lien Credit Agreement funded on the Closing Date were used to repay amounts outstanding under the ABL Credit Agreement, to pay fees and expenses associated with the transactions and for general corporate purposes, including to fund upcoming new build payments. The delayed draw portion of the term loans, if funded, will be used to fund future new build payments, ongoing working capital and for other general corporate purposes. The Second Lien Credit Agreement matures on the earlier of April 24, 2029 and the date that is ninety-one (91) days prior to the scheduled maturity date of the Company’s 5.25% Senior Notes due 2029.</w:t>
      </w:r>
    </w:p>
    <w:p>
      <w:pPr>
        <w:spacing w:after="0" w:line="183"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The obligations under the Second Lien Credit Agreement are secured on a second-priority basis by substantially all of the assets of the Credit Parties. The outstanding obligations thereunder shall be secured by a valid second priority perfected lien on substantially all of the U.S. flagged and located vessels of the Credit Parties and a valid perfected lien on all domestic accounts receivable and substantially all other assets of the Credit Parties, subject to the permitted liens and interests of other parties (including the Company’s surety bonding providers). Pursuant to the terms of that certain Intercreditor Agreement dated as of April 24, 2024, (as amended, restated, supplemented, or otherwise modified from time to time, the “Intercreditor Agreement”), by and between PNC Bank, National Association, as first lien agent, and GCS, as second lien agent, the obligations under the Second Lien Credit Agreement are subordinated to the first-priority liens securing the obligations under the ABL Credit Agreement.</w:t>
      </w:r>
    </w:p>
    <w:p>
      <w:pPr>
        <w:spacing w:after="0" w:line="18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Interest on the term loan facility under the Second Lien Credit Agreement is equal to either a base rate option (“Base Rate Loan”) or a Secured Overnight Financing Rate (“SOFR”) option (“Term SOFR Loan”) at the Company’s election. In the case of a Base Rate Loan, interest on the unpaid principal amount shall equal (i) the greatest of (a) the “Prime Rate” in the United States as quoted from time to time by The Wall Street Journal or the highest per annum rate of interest published by the Federal Reserve Board, (b) the federal funds effective rate (but not less than zero) plus 0.50% and (c) Term SOFR for a one-month interest period on such day, plus 1.00%, plus (ii) 6.75%. In the case of a Term SOFR Loan, interest on the unpaid principal amount shall equal the Term SOFR Reference Rate on the day that is two business days prior to the first day of such applicable interest period, plus 7.75%. In addition, the Company is required to pay a quarterly fee of 1.00% per annum on the undrawn commitments in respect of the delayed draw term loan facility.</w:t>
      </w:r>
    </w:p>
    <w:p>
      <w:pPr>
        <w:spacing w:after="0" w:line="18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Company had $100.0 million in borrowings on the Second Lien Credit Agreement as of June 30, 2025 and December 31, 2024. The weighted average interest rate, excluding the effects of interest rate swaps, on the Second Lien Credit Agreement borrowings during the quarter ended June 30, 2025 is 12.07%.</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agreement</w:t>
      </w:r>
    </w:p>
    <w:p>
      <w:pPr>
        <w:spacing w:after="0" w:line="162" w:lineRule="exact"/>
        <w:rPr>
          <w:sz w:val="20"/>
          <w:szCs w:val="20"/>
          <w:color w:val="auto"/>
        </w:rPr>
      </w:pPr>
    </w:p>
    <w:p>
      <w:pPr>
        <w:ind w:right="60"/>
        <w:spacing w:after="0" w:line="272" w:lineRule="auto"/>
        <w:rPr>
          <w:sz w:val="20"/>
          <w:szCs w:val="20"/>
          <w:color w:val="auto"/>
        </w:rPr>
      </w:pPr>
      <w:r>
        <w:rPr>
          <w:rFonts w:ascii="Times New Roman" w:cs="Times New Roman" w:eastAsia="Times New Roman" w:hAnsi="Times New Roman"/>
          <w:sz w:val="17"/>
          <w:szCs w:val="17"/>
          <w:color w:val="auto"/>
        </w:rPr>
        <w:t>On April 24, 2024, the Credit Parties, PNC Bank, National Association (“PNC”), as agent for the lenders, and certain financial institutions party thereto entered into an amendment to the ABL Credit Agreement described below (the “ABL Amendment”). The ABL Amendment (w) eliminates the Company’s ability to increase the commitments under the senior secured revolving credit facility (x) modifies the pricing of loans and undrawn commitments as summarized below, (y) adds a minimum liquidity covenant, for so long as the Second Lien Credit Agreement has not been prepaid and terminated, that requires the Credit Parties to maintain consolidated liquidity of (a) $12.5 million at any time the fixed charge coverage ratio for the most recently ended four fiscal quarter period is less than 1.10 to 1.00 and (b) $50.0 million at any time the fixed charge coverage ratio for the most recently ended four fiscal quarters is greater than or equal to 1.10 to 1.00 and (z) makes certain other customary changes in connection with the Credit Parties’ entry into the Second Lien Credit Agreement. The Company has availability of up to $200.0 million for the issuance of letters of credit under the ABL Amendment.</w:t>
      </w:r>
    </w:p>
    <w:p>
      <w:pPr>
        <w:spacing w:after="0" w:line="17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ABL Amendment modifies the Applicable Margin for Advances as follows: (i) following the ABL Amendment closing date through and including the date immediately prior to the date on which the Borrowing Base Certificate is required to be delivered for most recently completed fiscal quarter (commencing with the fiscal quarter ending on September 30, 2024) (the “Adjustment Date”), (a) the Applicable Margin for Domestic Rate Loans Advances is 1.50% and (b) the Applicable Margins for Term SOFR Rate Loans Advances is 2.50%, (ii) beginning as of the Adjustment Date, to the extent the quarterly average undrawn availability for the prior fiscal quarter is (x) greater than 66.7% of the Maximum Revolving Advance Amount, (a) the Applicable Margin for Domestic Rate Loans Advances is 1.25% and (b) the Applicable Margins for Term SOFR Rate Loans Advances is 2.25%; (y) to the extent the quarterly average undrawn availability for the prior fiscal quarter is less than or equal to 66.7% of the Maximum Revolving Advance Amount but greater than 33.3%, (a) the Applicable Margin for Domestic Rate Loans Advances is 1.50% and (b) the Applicable Margins for Term SOFR Rate Loans Advances is 2.50%; and (z) to the extent the quarterly average undrawn availability for the prior fiscal quarter is less than or equal to 33.3% of the Maximum Revolving Advance Amount, (a) Applicable Margin for Domestic Rate Loans Advances is 1.75% and (b) the Applicable Margin for Term SOFR Rate Loans Advances is 2.75%. Additionally, the Company has an option to borrow at Green Loan Advance Rates, each of which will be 0.05% lower than the corresponding applicable rate if the Company certifies that it will use such proceeds to invest in renewable energy and clean transportation projects and it complies with green loan principles.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2" w:name="page13"/>
    <w:bookmarkEnd w:id="12"/>
    <w:p>
      <w:pPr>
        <w:ind w:right="300"/>
        <w:spacing w:after="0" w:line="258" w:lineRule="auto"/>
        <w:rPr>
          <w:sz w:val="20"/>
          <w:szCs w:val="20"/>
          <w:color w:val="auto"/>
        </w:rPr>
      </w:pPr>
      <w:r>
        <w:rPr>
          <w:rFonts w:ascii="Times New Roman" w:cs="Times New Roman" w:eastAsia="Times New Roman" w:hAnsi="Times New Roman"/>
          <w:sz w:val="18"/>
          <w:szCs w:val="18"/>
          <w:color w:val="212529"/>
        </w:rPr>
        <w:t xml:space="preserve">On May 2, 2025, </w:t>
      </w:r>
      <w:r>
        <w:rPr>
          <w:rFonts w:ascii="Times New Roman" w:cs="Times New Roman" w:eastAsia="Times New Roman" w:hAnsi="Times New Roman"/>
          <w:sz w:val="18"/>
          <w:szCs w:val="18"/>
          <w:color w:val="000000"/>
        </w:rPr>
        <w:t>the Credit Parties, PNC, as agent for the lenders, and certain financial institutions party thereto entered into an amendment to the ABL</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Credit Agreement (the “ABL Second Amendment”). The ABL Second Amendment increased the aggregate principal amount of the Company’s senior secured revolving credit facility from $300.0 million to $330.0 million, with all other material terms remaining unchanged. The Company incurred approximately $0.6 million in debt issuance costs associated with entering into the ABL Second Amendment. These costs will be amortized over the remaining life of the facility.</w:t>
      </w:r>
    </w:p>
    <w:p>
      <w:pPr>
        <w:spacing w:after="0" w:line="11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On July 29, 2022, the Credit Parties entered into a second amended and restated revolving credit and security agreement (as amended by the ABL Amendment and as may be further amended, supplemented or otherwise modified from time to time, the “ABL Credit Agreement”) with certain financial institutions from time to time party thereto as lenders, PNC Bank, National Association, as Agent (the “Agent”), PNC Capital Markets, CIBC Bank USA, Bank of America, N.A. and Truist Securities, Inc., as Joint Lead Arrangers and Joint Bookrunners, CIBC Bank USA and Truist Bank as Co-Syndication Agents, Bank of America, N.A., as Documentation Agent and PNC Bank National Association, as Green Loan Coordinator. The ABL Credit Agreement amends and restates the prior ABL Credit Agreement dated as of May 3, 2019 by and among the financial institutions from time to time party thereto as lenders, the Agent and the Credit Parties party thereto such that the terms and conditions of the prior credit agreement have been subsumed and replaced in their entirety by the terms and conditions of the ABL Credit Agreement, including the amount available under the revolving credit facility. The terms of the ABL Credit Agreement are summarized below.</w:t>
      </w:r>
    </w:p>
    <w:p>
      <w:pPr>
        <w:spacing w:after="0" w:line="107"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ABL Credit Agreement provides for a senior secured revolving credit facility in an aggregate principal amount of up to $300.0 million. The maximum borrowing capacity under the ABL Credit Agreement is determined by a formula and may fluctuate depending on the value of the collateral included in such formula at the time of determination.</w:t>
      </w:r>
    </w:p>
    <w:p>
      <w:pPr>
        <w:spacing w:after="0" w:line="108"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The ABL Credit Agreement contains a green loan option where the Company can borrow at the lower interest rates described below so long as such funds are used to fund capital investments related to renewable energy and clean transportation projects and are consistent with green loan principles. The green loan option is subject to a $35.0 million sublimit.</w:t>
      </w:r>
    </w:p>
    <w:p>
      <w:pPr>
        <w:spacing w:after="0" w:line="108"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ABL Credit Agreement contains customary representations and affirmative and negative covenants, including a springing financial covenant that requires the Credit Parties to maintain a fixed charge coverage ratio (ratio of earnings before income taxes, depreciation and amortization, net interest expenses, non-cash charges and losses and certain other non-recurring charges, minus capital expenditures, income and franchise taxes, to net cash interest expense plus scheduled cash principal payments with respect to debt plus restricted payments paid in cash) of not less than 1.10 to 1.00. The springing financial covenant is triggered when the undrawn availability of the ABL Credit Agreement is less than 12.5% of the maximum loan amount for five consecutive days. The ABL Credit Agreement also contains customary events of default (including non-payment of principal or interest on any material debt and breaches of covenants) as well as events of default relating to certain actions by the Company’s surety bonding providers. The obligations of the Credit Parties under the ABL Credit Agreement are unconditionally guaranteed, on a joint and several basis, by each existing and subsequently acquired or formed material direct and indirect domestic subsidiary of the Company. Borrowings under the ABL Credit Agreement will be used to pay fees and expenses related to the ABL Credit Agreement, finance acquisitions permitted under the ABL Credit Agreement, finance ongoing working capital, for other general corporate purposes, and with respect to any green loan, fund capital investments related to renewable energy and clean transportation projects. The ABL Credit Agreement matures on the earlier of July 29, 2027 or the date that is ninety-one (91) days prior to the scheduled maturity date of the Company’s unsecured senior notes, which is currently June 1, 2029, if the Company fails to refinance its unsecured senior notes prior to their scheduled maturity date but only if such scheduled maturity date is prior to the maturity date of the ABL Credit Agreement.</w:t>
      </w:r>
    </w:p>
    <w:p>
      <w:pPr>
        <w:spacing w:after="0" w:line="11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obligations under the ABL Credit Agreement are secured by substantially all of the assets of the Credit Parties. The outstanding obligations thereunder shall be secured by a valid first priority perfected lien on substantially all of the U.S. flagged and located vessels of the Credit Parties and a valid perfected lien on all domestic accounts receivable and substantially all other assets of the Credit Parties, subject to the permitted liens and interests of other parties (including the Company’s surety bonding providers).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had $5.0 million and $35.0 million borrowings on the revolver as of June 30, 2025 and December 31, 2024, respectively. There were $56.3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million and $43.5 million letters of credit outstanding as of June 30, 2025 and December 31, 2024, respectively. The Company had $268.3 million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$221.2 million of availability under the ABL Credit Agreement as of June 30, 2025 and December 31, 2024, respectively. Availability was suppressed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$0.4 million and $0.3 million as of June 30, 2025 and December 31, 2024, as a result of certain limitations of borrowing related to reserves and compliance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the Company’s obligations set forth in the ABL Credit Agreement.</w:t>
      </w:r>
    </w:p>
    <w:p>
      <w:pPr>
        <w:spacing w:after="0" w:line="207"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Capitalized terms used but not defined herein in Note 5, Long-term debt, shall have the meanings ascribed to such terms in the Second Lien Credit Agreement and the ABL Amendment, as applicable.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i w:val="1"/>
          <w:iCs w:val="1"/>
          <w:color w:val="auto"/>
        </w:rPr>
        <w:t>Senior notes and subsidiary guarantors</w:t>
      </w:r>
    </w:p>
    <w:p>
      <w:pPr>
        <w:spacing w:after="0" w:line="3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In May 2021, the Company sold $325.0 million of unsecured 5.25% Senior Notes (the “2029 Notes”) pursuant to a private offering. The 2029 Notes were priced to investors at par and will mature on June 1, 2029. The Company used the net proceeds from the offering, together with cash on hand, to redeem all $325.0 million aggregate principal amount of its outstanding 8.00% Senior Notes due 2022.</w:t>
      </w:r>
    </w:p>
    <w:p>
      <w:pPr>
        <w:spacing w:after="0" w:line="118"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Company’s obligations under these 2029 Notes are guaranteed by each of the Company’s existing and future 100% owned domestic subsidiaries that are co-borrowers or guarantors under the ABL Credit Agreement. Such guarantees are full, unconditional and joint and several. The parent company issuer has no independent assets or operations and all non-guarantor subsidiaries have been determined to be minor.</w:t>
      </w:r>
    </w:p>
    <w:p>
      <w:pPr>
        <w:spacing w:after="0" w:line="9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 xml:space="preserve">The weighted average interest rates on the Company’s outstanding borrowings, </w:t>
      </w:r>
      <w:r>
        <w:rPr>
          <w:rFonts w:ascii="Times New Roman" w:cs="Times New Roman" w:eastAsia="Times New Roman" w:hAnsi="Times New Roman"/>
          <w:sz w:val="18"/>
          <w:szCs w:val="18"/>
          <w:color w:val="212121"/>
        </w:rPr>
        <w:t>after adjusting for the effects of interest rate swaps,</w:t>
      </w:r>
      <w:r>
        <w:rPr>
          <w:rFonts w:ascii="Times New Roman" w:cs="Times New Roman" w:eastAsia="Times New Roman" w:hAnsi="Times New Roman"/>
          <w:sz w:val="18"/>
          <w:szCs w:val="18"/>
          <w:color w:val="auto"/>
        </w:rPr>
        <w:t xml:space="preserve"> were 6.80%, and 6.77% as of June 30, 2025 and December 31, 2024, respectively.</w:t>
      </w:r>
    </w:p>
    <w:p>
      <w:pPr>
        <w:spacing w:after="0" w:line="374" w:lineRule="exact"/>
        <w:rPr>
          <w:sz w:val="20"/>
          <w:szCs w:val="20"/>
          <w:color w:val="auto"/>
        </w:rPr>
      </w:pPr>
    </w:p>
    <w:p>
      <w:pPr>
        <w:ind w:left="520" w:hanging="512"/>
        <w:spacing w:after="0"/>
        <w:tabs>
          <w:tab w:leader="none" w:pos="52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121"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 A fair value hierarchy has been established by GAAP that requires an entity to maximize the use of observable inputs and minimize the use of unobservable inputs when measuring fair value. The accounting guidance describes three levels of inputs that may be used to measure fair value:</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1—Quoted prices in active markets for identical assets or liabilities.</w:t>
      </w:r>
    </w:p>
    <w:p>
      <w:pPr>
        <w:spacing w:after="0" w:line="158"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Level 2—Observable inputs other than Level 1 prices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3—Unobservable inputs that are supported by little or no market activity and that are significant to the fair value of the assets or liabilities.</w:t>
      </w:r>
    </w:p>
    <w:p>
      <w:pPr>
        <w:spacing w:after="0" w:line="158"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The Company is exposed to counterparty credit risk associated with non-performance of its various derivative instruments. The Company’s risk would be limited to any unrealized gains on current positions. To help mitigate this risk, the Company transacts only with counterparties that are rated as investment grade or higher. In addition, all counterparties are monitored on a continuous basis.</w:t>
      </w:r>
    </w:p>
    <w:p>
      <w:pPr>
        <w:spacing w:after="0" w:line="108"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Company utilizes the market approach to measure fair value for its financial assets and liabilities. The market approach uses prices and other relevant information generated by market transactions involving identical or comparable assets or liabilities. At times, the Company holds certain derivative contracts that it uses to manage commodity price risk, foreign currency risk or interest rate risk. The Company does not hold or issue derivatives for speculative or trading purposes. The fair values of these financial instruments are summarized as follows: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40" w:type="dxa"/>
            <w:vAlign w:val="bottom"/>
          </w:tcPr>
          <w:p>
            <w:pPr>
              <w:spacing w:after="0"/>
              <w:rPr>
                <w:sz w:val="20"/>
                <w:szCs w:val="20"/>
                <w:color w:val="auto"/>
              </w:rPr>
            </w:pPr>
          </w:p>
        </w:tc>
        <w:tc>
          <w:tcPr>
            <w:tcW w:w="11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1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4"/>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Fair Value at</w:t>
            </w: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544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440" w:type="dxa"/>
            <w:vAlign w:val="bottom"/>
          </w:tcPr>
          <w:p>
            <w:pPr>
              <w:spacing w:after="0"/>
              <w:rPr>
                <w:sz w:val="18"/>
                <w:szCs w:val="18"/>
                <w:color w:val="auto"/>
              </w:rPr>
            </w:pP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Hierarchy</w:t>
            </w:r>
          </w:p>
        </w:tc>
        <w:tc>
          <w:tcPr>
            <w:tcW w:w="120" w:type="dxa"/>
            <w:vAlign w:val="bottom"/>
          </w:tcPr>
          <w:p>
            <w:pPr>
              <w:spacing w:after="0"/>
              <w:rPr>
                <w:sz w:val="18"/>
                <w:szCs w:val="18"/>
                <w:color w:val="auto"/>
              </w:rPr>
            </w:pPr>
          </w:p>
        </w:tc>
        <w:tc>
          <w:tcPr>
            <w:tcW w:w="2060" w:type="dxa"/>
            <w:vAlign w:val="bottom"/>
            <w:gridSpan w:val="4"/>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60" w:type="dxa"/>
            <w:vAlign w:val="bottom"/>
            <w:gridSpan w:val="5"/>
          </w:tcPr>
          <w:p>
            <w:pPr>
              <w:ind w:left="16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0" w:type="dxa"/>
            <w:vAlign w:val="bottom"/>
          </w:tcPr>
          <w:p>
            <w:pPr>
              <w:spacing w:after="0"/>
              <w:rPr>
                <w:sz w:val="1"/>
                <w:szCs w:val="1"/>
                <w:color w:val="auto"/>
              </w:rPr>
            </w:pPr>
          </w:p>
        </w:tc>
      </w:tr>
      <w:tr>
        <w:trPr>
          <w:trHeight w:val="238"/>
        </w:trPr>
        <w:tc>
          <w:tcPr>
            <w:tcW w:w="5440" w:type="dxa"/>
            <w:vAlign w:val="bottom"/>
          </w:tcPr>
          <w:p>
            <w:pPr>
              <w:spacing w:after="0"/>
              <w:rPr>
                <w:sz w:val="20"/>
                <w:szCs w:val="20"/>
                <w:color w:val="auto"/>
              </w:rPr>
            </w:pP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Levels</w:t>
            </w:r>
          </w:p>
        </w:tc>
        <w:tc>
          <w:tcPr>
            <w:tcW w:w="120" w:type="dxa"/>
            <w:vAlign w:val="bottom"/>
          </w:tcPr>
          <w:p>
            <w:pPr>
              <w:spacing w:after="0"/>
              <w:rPr>
                <w:sz w:val="20"/>
                <w:szCs w:val="20"/>
                <w:color w:val="auto"/>
              </w:rPr>
            </w:pP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0" w:type="dxa"/>
            <w:vAlign w:val="bottom"/>
          </w:tcPr>
          <w:p>
            <w:pPr>
              <w:spacing w:after="0"/>
              <w:rPr>
                <w:sz w:val="1"/>
                <w:szCs w:val="1"/>
                <w:color w:val="auto"/>
              </w:rPr>
            </w:pPr>
          </w:p>
        </w:tc>
      </w:tr>
      <w:tr>
        <w:trPr>
          <w:trHeight w:val="210"/>
        </w:trPr>
        <w:tc>
          <w:tcPr>
            <w:tcW w:w="54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b w:val="1"/>
                <w:bCs w:val="1"/>
                <w:color w:val="auto"/>
              </w:rPr>
              <w:t>Derivatives designated as cash flow hedging instruments:</w:t>
            </w:r>
          </w:p>
        </w:tc>
        <w:tc>
          <w:tcPr>
            <w:tcW w:w="10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Fuel hedge contracts</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2</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ind w:left="480"/>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Interest rate swaps</w:t>
            </w:r>
          </w:p>
        </w:tc>
        <w:tc>
          <w:tcPr>
            <w:tcW w:w="100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b w:val="1"/>
                <w:bCs w:val="1"/>
                <w:color w:val="auto"/>
              </w:rPr>
              <w:t>2</w:t>
            </w: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3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2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Total derivatives</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ind w:left="480"/>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4659630</wp:posOffset>
            </wp:positionH>
            <wp:positionV relativeFrom="paragraph">
              <wp:posOffset>-170815</wp:posOffset>
            </wp:positionV>
            <wp:extent cx="6858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-170815</wp:posOffset>
            </wp:positionV>
            <wp:extent cx="6858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-170815</wp:posOffset>
            </wp:positionV>
            <wp:extent cx="6858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Fuel hedge contracts</w:t>
      </w:r>
    </w:p>
    <w:p>
      <w:pPr>
        <w:spacing w:after="0" w:line="162"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Company is exposed to certain market risks, primarily commodity price risk as it relates to diesel fuel purchase requirements, which occur in the normal course of business. The Company enters into heating oil commodity swap contracts to hedge the risk that fluctuations in diesel fuel prices could have an adverse impact on cash flows associated with its domestic dredging contracts. The Company’s goal is to hedge approximately 90% of the eligible fuel requirements for work in dredging backlog.</w:t>
      </w:r>
    </w:p>
    <w:p>
      <w:pPr>
        <w:spacing w:after="0" w:line="11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As of June 30, 2025, the Company was party to various swap arrangements to hedge the price of a portion of its diesel fuel purchase requirements for work in its backlog to be performed through December 2026. As of June 30, 2025, there were 15.8 million gallons remaining on these contracts representing forecasted domestic fuel purchases through December 2026. Under these swap agreements, the Company will pay fixed prices ranging from $2.03 to $2.66 per gallon.</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4" w:name="page15"/>
    <w:bookmarkEnd w:id="14"/>
    <w:p>
      <w:pPr>
        <w:spacing w:after="0" w:line="254" w:lineRule="auto"/>
        <w:rPr>
          <w:sz w:val="20"/>
          <w:szCs w:val="20"/>
          <w:color w:val="auto"/>
        </w:rPr>
      </w:pPr>
      <w:r>
        <w:rPr>
          <w:rFonts w:ascii="Times New Roman" w:cs="Times New Roman" w:eastAsia="Times New Roman" w:hAnsi="Times New Roman"/>
          <w:sz w:val="18"/>
          <w:szCs w:val="18"/>
          <w:color w:val="auto"/>
        </w:rPr>
        <w:t>At June 30, 2025 and December 31, 2024, the fair value liabilities of the fuel hedge contracts were estimated to be $0.5 million and $1.1 million, respectively, and are recorded in accrued expenses in the condensed consolidated balance sheets. For fuel hedge contracts considered to be highly effective, the losses reclassified to earnings from changes in fair value of derivatives, net of cash settlements and taxes, for the six months ended June 30, 2025 were $0.6 million. The remaining gains and losses included in accumulated other comprehensive loss at June 30, 2025 will be reclassified into earnings over the next eighteen months, corresponding to the period during which the hedged fuel is expected to be utilized. Changes in the fair value of fuel hedge contracts not considered highly effective are recorded as cost of contract revenues in the condensed consolidated statements of operations. The fair values of fuel hedges are corroborated using inputs that are readily observable in public markets; therefore, the Company determines fair value of these fuel hedges using Level 2 inputs.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hedge contracts</w:t>
      </w:r>
    </w:p>
    <w:p>
      <w:pPr>
        <w:spacing w:after="0" w:line="148"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Company is exposed to certain market risks, including foreign currency exchange rate risks related to the purchase of new vessel build materials in Europe. The Company sometimes enters into foreign currency exchange forward contracts to hedge the risk that fluctuations in the Euro in relation to the U.S. Dollar could have an adverse impact on cash flows associated with its equipment builds.</w:t>
      </w:r>
    </w:p>
    <w:p>
      <w:pPr>
        <w:spacing w:after="0" w:line="108"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Company did not have any foreign currency exchange hedge contracts as of June 30, 2025 or December 31, 2024. The Company was party to various foreign exchange forward contract arrangements to hedge the purchase of materials through November 2024. Under these hedge contracts, the Company paid fixed prices ranging from $1.01 to $1.13 per Euro.</w:t>
      </w:r>
    </w:p>
    <w:p>
      <w:pPr>
        <w:spacing w:after="0" w:line="108"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For foreign currency exchange hedge contracts considered to be highly effective, the losses reclassified to earnings from changes in fair value of derivatives, net of cash settlements and taxes, for the six months ended June 30, 2024 were $42. Changes in the fair value of foreign currency exchange hedge contracts not considered highly effective are recorded as other expenses in the condensed consolidated statements of operations. The fair values of foreign currency exchange hedges are corroborated using inputs that are readily observable in public markets; therefore, the Company determines the fair value of these foreign currency exchange hedges using Level 2 inputs.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swaps</w:t>
      </w:r>
    </w:p>
    <w:p>
      <w:pPr>
        <w:spacing w:after="0" w:line="16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Company is exposed to certain market risks, including interest rate risks related to the floating interest rates on its variable rate debt. The Company has entered into interest rate swaps to convert a portion of its variable rate debt into fixed-rate debt and hedge the risk that fluctuations in interest rates could have an adverse impact on net interest expense.</w:t>
      </w:r>
    </w:p>
    <w:p>
      <w:pPr>
        <w:spacing w:after="0" w:line="10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As of June 30, 2025, the Company was party to two interest rate swaps with a total notional value of $75 million effective August 5, 2024 and a maturity date of August 24, 2026. Under these interest rate swaps, the Company will pay a weighted average fixed rate of 3.87% on the notional amount and receive payments from the counterparty based on the 30-day SOFR rate, effectively modifying the Company’s exposure to interest rate risk by converting a portion of its floating-rate debt to a weighted average fixed interest rate of 11.62%.</w:t>
      </w:r>
    </w:p>
    <w:p>
      <w:pPr>
        <w:spacing w:after="0" w:line="9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As of June 30, 2025 the fair value liability of the Company’s interest rate swaps was $109 and is recorded in accrued expenses in the condensed consolidated balance sheets. For interest rate swaps considered to be highly effective, the gains reclassified to earnings from changes in fair value of derivatives, net of cash settlements and taxes, for the six months ended June 30, 2025 were $132. The remaining gains and losses included in accumulated other comprehensive loss at June 30, 2025 will be reclassified into earnings over the next fourteen months, corresponding to the period during which the interest rate swap is expected to be utilized. Changes in the fair value of interest rate swaps not considered highly effective are recorded as interest expense in the condensed consolidated statements of operations. The fair values of interest rate swaps are corroborated using inputs that are readily observable in public markets; therefore, the Company determines the fair value of these interest rate swaps using Level 2 inputs.</w:t>
      </w: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i w:val="1"/>
          <w:iCs w:val="1"/>
          <w:color w:val="auto"/>
        </w:rPr>
        <w:t>Accumulated other comprehensive income (loss)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the components of the accumulated balances of other comprehensive income (loss) are as follows: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40" w:type="dxa"/>
            <w:vAlign w:val="bottom"/>
          </w:tcPr>
          <w:p>
            <w:pPr>
              <w:spacing w:after="0"/>
              <w:rPr>
                <w:sz w:val="13"/>
                <w:szCs w:val="13"/>
                <w:color w:val="auto"/>
              </w:rPr>
            </w:pPr>
          </w:p>
        </w:tc>
        <w:tc>
          <w:tcPr>
            <w:tcW w:w="2200" w:type="dxa"/>
            <w:vAlign w:val="bottom"/>
            <w:gridSpan w:val="4"/>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0" w:type="dxa"/>
            <w:vAlign w:val="bottom"/>
            <w:gridSpan w:val="7"/>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73"/>
        </w:trPr>
        <w:tc>
          <w:tcPr>
            <w:tcW w:w="624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3"/>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38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6240" w:type="dxa"/>
            <w:vAlign w:val="bottom"/>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1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209"/>
        </w:trPr>
        <w:tc>
          <w:tcPr>
            <w:tcW w:w="6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Derivatives:</w:t>
            </w:r>
          </w:p>
        </w:tc>
        <w:tc>
          <w:tcPr>
            <w:tcW w:w="7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Fuel Hedge Contracts</w:t>
            </w: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2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Reclassification of derivative losses (gains) to earnings—net of tax</w:t>
            </w:r>
          </w:p>
        </w:tc>
        <w:tc>
          <w:tcPr>
            <w:tcW w:w="780" w:type="dxa"/>
            <w:vAlign w:val="bottom"/>
            <w:shd w:val="clear" w:color="auto" w:fill="CFF0FC"/>
          </w:tcPr>
          <w:p>
            <w:pPr>
              <w:jc w:val="right"/>
              <w:ind w:right="594"/>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280" w:type="dxa"/>
            <w:vAlign w:val="bottom"/>
            <w:shd w:val="clear" w:color="auto" w:fill="CFF0FC"/>
          </w:tcPr>
          <w:p>
            <w:pPr>
              <w:spacing w:after="0"/>
              <w:rPr>
                <w:sz w:val="18"/>
                <w:szCs w:val="18"/>
                <w:color w:val="auto"/>
              </w:rPr>
            </w:pPr>
          </w:p>
        </w:tc>
        <w:tc>
          <w:tcPr>
            <w:tcW w:w="740" w:type="dxa"/>
            <w:vAlign w:val="bottom"/>
            <w:shd w:val="clear" w:color="auto" w:fill="CFF0FC"/>
          </w:tcPr>
          <w:p>
            <w:pPr>
              <w:jc w:val="right"/>
              <w:ind w:right="552"/>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14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488"/>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14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00" w:type="dxa"/>
            <w:vAlign w:val="bottom"/>
            <w:shd w:val="clear" w:color="auto" w:fill="CFF0FC"/>
          </w:tcPr>
          <w:p>
            <w:pPr>
              <w:spacing w:after="0"/>
              <w:rPr>
                <w:sz w:val="18"/>
                <w:szCs w:val="18"/>
                <w:color w:val="auto"/>
              </w:rPr>
            </w:pPr>
          </w:p>
        </w:tc>
      </w:tr>
      <w:tr>
        <w:trPr>
          <w:trHeight w:val="216"/>
        </w:trPr>
        <w:tc>
          <w:tcPr>
            <w:tcW w:w="6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Change in fair value of derivatives—net of tax</w:t>
            </w:r>
          </w:p>
        </w:tc>
        <w:tc>
          <w:tcPr>
            <w:tcW w:w="78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(637)</w:t>
            </w:r>
          </w:p>
        </w:tc>
        <w:tc>
          <w:tcPr>
            <w:tcW w:w="740" w:type="dxa"/>
            <w:vAlign w:val="bottom"/>
          </w:tcPr>
          <w:p>
            <w:pPr>
              <w:spacing w:after="0"/>
              <w:rPr>
                <w:sz w:val="18"/>
                <w:szCs w:val="18"/>
                <w:color w:val="auto"/>
              </w:rPr>
            </w:pP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(310)</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100" w:type="dxa"/>
            <w:vAlign w:val="bottom"/>
          </w:tcPr>
          <w:p>
            <w:pPr>
              <w:spacing w:after="0"/>
              <w:rPr>
                <w:sz w:val="18"/>
                <w:szCs w:val="18"/>
                <w:color w:val="auto"/>
              </w:rPr>
            </w:pPr>
          </w:p>
        </w:tc>
      </w:tr>
      <w:tr>
        <w:trPr>
          <w:trHeight w:val="20"/>
        </w:trPr>
        <w:tc>
          <w:tcPr>
            <w:tcW w:w="62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6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change in cash flow derivative fuel hedges—net of tax</w:t>
            </w:r>
          </w:p>
        </w:tc>
        <w:tc>
          <w:tcPr>
            <w:tcW w:w="780" w:type="dxa"/>
            <w:vAlign w:val="bottom"/>
            <w:shd w:val="clear" w:color="auto" w:fill="CFF0FC"/>
          </w:tcPr>
          <w:p>
            <w:pPr>
              <w:jc w:val="right"/>
              <w:ind w:right="594"/>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(115)</w:t>
            </w:r>
          </w:p>
        </w:tc>
        <w:tc>
          <w:tcPr>
            <w:tcW w:w="740" w:type="dxa"/>
            <w:vAlign w:val="bottom"/>
            <w:shd w:val="clear" w:color="auto" w:fill="CFF0FC"/>
          </w:tcPr>
          <w:p>
            <w:pPr>
              <w:jc w:val="right"/>
              <w:ind w:right="552"/>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40" w:type="dxa"/>
            <w:vAlign w:val="bottom"/>
            <w:shd w:val="clear" w:color="auto" w:fill="CFF0FC"/>
          </w:tcPr>
          <w:p>
            <w:pPr>
              <w:spacing w:after="0"/>
              <w:rPr>
                <w:sz w:val="21"/>
                <w:szCs w:val="21"/>
                <w:color w:val="auto"/>
              </w:rPr>
            </w:pPr>
          </w:p>
        </w:tc>
        <w:tc>
          <w:tcPr>
            <w:tcW w:w="720" w:type="dxa"/>
            <w:vAlign w:val="bottom"/>
            <w:gridSpan w:val="2"/>
            <w:shd w:val="clear" w:color="auto" w:fill="CFF0FC"/>
          </w:tcPr>
          <w:p>
            <w:pPr>
              <w:jc w:val="right"/>
              <w:ind w:right="488"/>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140" w:type="dxa"/>
            <w:vAlign w:val="bottom"/>
            <w:shd w:val="clear" w:color="auto" w:fill="CFF0FC"/>
          </w:tcPr>
          <w:p>
            <w:pPr>
              <w:spacing w:after="0"/>
              <w:rPr>
                <w:sz w:val="21"/>
                <w:szCs w:val="21"/>
                <w:color w:val="auto"/>
              </w:rPr>
            </w:pPr>
          </w:p>
        </w:tc>
        <w:tc>
          <w:tcPr>
            <w:tcW w:w="2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1,938</w:t>
            </w:r>
          </w:p>
        </w:tc>
        <w:tc>
          <w:tcPr>
            <w:tcW w:w="100" w:type="dxa"/>
            <w:vAlign w:val="bottom"/>
            <w:shd w:val="clear" w:color="auto" w:fill="CFF0FC"/>
          </w:tcPr>
          <w:p>
            <w:pPr>
              <w:spacing w:after="0"/>
              <w:rPr>
                <w:sz w:val="21"/>
                <w:szCs w:val="21"/>
                <w:color w:val="auto"/>
              </w:rPr>
            </w:pPr>
          </w:p>
        </w:tc>
      </w:tr>
      <w:tr>
        <w:trPr>
          <w:trHeight w:val="413"/>
        </w:trPr>
        <w:tc>
          <w:tcPr>
            <w:tcW w:w="62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Foreign Currency Exchange Hedge Contracts</w:t>
            </w:r>
          </w:p>
        </w:tc>
        <w:tc>
          <w:tcPr>
            <w:tcW w:w="78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216"/>
        </w:trPr>
        <w:tc>
          <w:tcPr>
            <w:tcW w:w="62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Reclassification of derivative losses to earnings—net of tax</w:t>
            </w:r>
          </w:p>
        </w:tc>
        <w:tc>
          <w:tcPr>
            <w:tcW w:w="780" w:type="dxa"/>
            <w:vAlign w:val="bottom"/>
            <w:shd w:val="clear" w:color="auto" w:fill="CFF0FC"/>
          </w:tcPr>
          <w:p>
            <w:pPr>
              <w:jc w:val="right"/>
              <w:ind w:right="594"/>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ind w:right="552"/>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488"/>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shd w:val="clear" w:color="auto" w:fill="CFF0FC"/>
          </w:tcPr>
          <w:p>
            <w:pPr>
              <w:spacing w:after="0"/>
              <w:rPr>
                <w:sz w:val="18"/>
                <w:szCs w:val="18"/>
                <w:color w:val="auto"/>
              </w:rPr>
            </w:pPr>
          </w:p>
        </w:tc>
      </w:tr>
      <w:tr>
        <w:trPr>
          <w:trHeight w:val="216"/>
        </w:trPr>
        <w:tc>
          <w:tcPr>
            <w:tcW w:w="6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Change in fair value of derivatives—net of tax</w:t>
            </w:r>
          </w:p>
        </w:tc>
        <w:tc>
          <w:tcPr>
            <w:tcW w:w="7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(642)</w:t>
            </w:r>
          </w:p>
        </w:tc>
      </w:tr>
      <w:tr>
        <w:trPr>
          <w:trHeight w:val="20"/>
        </w:trPr>
        <w:tc>
          <w:tcPr>
            <w:tcW w:w="62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6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change in cash flow derivative foreign currency hedges—net of tax</w:t>
            </w:r>
          </w:p>
        </w:tc>
        <w:tc>
          <w:tcPr>
            <w:tcW w:w="780" w:type="dxa"/>
            <w:vAlign w:val="bottom"/>
            <w:shd w:val="clear" w:color="auto" w:fill="CFF0FC"/>
          </w:tcPr>
          <w:p>
            <w:pPr>
              <w:jc w:val="right"/>
              <w:ind w:right="594"/>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740" w:type="dxa"/>
            <w:vAlign w:val="bottom"/>
            <w:shd w:val="clear" w:color="auto" w:fill="CFF0FC"/>
          </w:tcPr>
          <w:p>
            <w:pPr>
              <w:jc w:val="right"/>
              <w:ind w:right="552"/>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FF0FC"/>
          </w:tcPr>
          <w:p>
            <w:pPr>
              <w:spacing w:after="0"/>
              <w:rPr>
                <w:sz w:val="21"/>
                <w:szCs w:val="21"/>
                <w:color w:val="auto"/>
              </w:rPr>
            </w:pPr>
          </w:p>
        </w:tc>
        <w:tc>
          <w:tcPr>
            <w:tcW w:w="720" w:type="dxa"/>
            <w:vAlign w:val="bottom"/>
            <w:gridSpan w:val="2"/>
            <w:shd w:val="clear" w:color="auto" w:fill="CFF0FC"/>
          </w:tcPr>
          <w:p>
            <w:pPr>
              <w:jc w:val="right"/>
              <w:ind w:right="488"/>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(600)</w:t>
            </w:r>
          </w:p>
        </w:tc>
      </w:tr>
      <w:tr>
        <w:trPr>
          <w:trHeight w:val="412"/>
        </w:trPr>
        <w:tc>
          <w:tcPr>
            <w:tcW w:w="62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Interest Rate Swaps</w:t>
            </w:r>
          </w:p>
        </w:tc>
        <w:tc>
          <w:tcPr>
            <w:tcW w:w="78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216"/>
        </w:trPr>
        <w:tc>
          <w:tcPr>
            <w:tcW w:w="62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Reclassification of derivative gains to earnings—net of tax</w:t>
            </w:r>
          </w:p>
        </w:tc>
        <w:tc>
          <w:tcPr>
            <w:tcW w:w="780" w:type="dxa"/>
            <w:vAlign w:val="bottom"/>
            <w:shd w:val="clear" w:color="auto" w:fill="CFF0FC"/>
          </w:tcPr>
          <w:p>
            <w:pPr>
              <w:jc w:val="right"/>
              <w:ind w:right="594"/>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(64)</w:t>
            </w:r>
          </w:p>
        </w:tc>
        <w:tc>
          <w:tcPr>
            <w:tcW w:w="740" w:type="dxa"/>
            <w:vAlign w:val="bottom"/>
            <w:shd w:val="clear" w:color="auto" w:fill="CFF0FC"/>
          </w:tcPr>
          <w:p>
            <w:pPr>
              <w:jc w:val="right"/>
              <w:ind w:right="552"/>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FF0FC"/>
          </w:tcPr>
          <w:p>
            <w:pPr>
              <w:jc w:val="right"/>
              <w:ind w:right="488"/>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(132)</w:t>
            </w:r>
          </w:p>
        </w:tc>
        <w:tc>
          <w:tcPr>
            <w:tcW w:w="2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Change in fair value of derivatives—net of tax</w:t>
            </w:r>
          </w:p>
        </w:tc>
        <w:tc>
          <w:tcPr>
            <w:tcW w:w="7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62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6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change in cash flow derivative foreign currency hedges—net of tax</w:t>
            </w:r>
          </w:p>
        </w:tc>
        <w:tc>
          <w:tcPr>
            <w:tcW w:w="780" w:type="dxa"/>
            <w:vAlign w:val="bottom"/>
            <w:shd w:val="clear" w:color="auto" w:fill="CFF0FC"/>
          </w:tcPr>
          <w:p>
            <w:pPr>
              <w:jc w:val="right"/>
              <w:ind w:right="594"/>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(35)</w:t>
            </w:r>
          </w:p>
        </w:tc>
        <w:tc>
          <w:tcPr>
            <w:tcW w:w="740" w:type="dxa"/>
            <w:vAlign w:val="bottom"/>
            <w:shd w:val="clear" w:color="auto" w:fill="CFF0FC"/>
          </w:tcPr>
          <w:p>
            <w:pPr>
              <w:jc w:val="right"/>
              <w:ind w:right="552"/>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FF0FC"/>
          </w:tcPr>
          <w:p>
            <w:pPr>
              <w:jc w:val="right"/>
              <w:ind w:right="488"/>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(244)</w:t>
            </w:r>
          </w:p>
        </w:tc>
        <w:tc>
          <w:tcPr>
            <w:tcW w:w="2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624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197"/>
        </w:trPr>
        <w:tc>
          <w:tcPr>
            <w:tcW w:w="6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Total net change in cash flow derivative hedges - net of tax</w:t>
            </w:r>
          </w:p>
        </w:tc>
        <w:tc>
          <w:tcPr>
            <w:tcW w:w="780" w:type="dxa"/>
            <w:vAlign w:val="bottom"/>
          </w:tcPr>
          <w:p>
            <w:pPr>
              <w:jc w:val="right"/>
              <w:ind w:right="594"/>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(150)</w:t>
            </w:r>
          </w:p>
        </w:tc>
        <w:tc>
          <w:tcPr>
            <w:tcW w:w="740" w:type="dxa"/>
            <w:vAlign w:val="bottom"/>
          </w:tcPr>
          <w:p>
            <w:pPr>
              <w:jc w:val="right"/>
              <w:ind w:right="552"/>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50</w:t>
            </w:r>
          </w:p>
        </w:tc>
        <w:tc>
          <w:tcPr>
            <w:tcW w:w="140" w:type="dxa"/>
            <w:vAlign w:val="bottom"/>
          </w:tcPr>
          <w:p>
            <w:pPr>
              <w:spacing w:after="0"/>
              <w:rPr>
                <w:sz w:val="17"/>
                <w:szCs w:val="17"/>
                <w:color w:val="auto"/>
              </w:rPr>
            </w:pPr>
          </w:p>
        </w:tc>
        <w:tc>
          <w:tcPr>
            <w:tcW w:w="720" w:type="dxa"/>
            <w:vAlign w:val="bottom"/>
            <w:gridSpan w:val="2"/>
          </w:tcPr>
          <w:p>
            <w:pPr>
              <w:jc w:val="right"/>
              <w:ind w:right="488"/>
              <w:spacing w:after="0" w:line="196" w:lineRule="exact"/>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212</w:t>
            </w:r>
          </w:p>
        </w:tc>
        <w:tc>
          <w:tcPr>
            <w:tcW w:w="140" w:type="dxa"/>
            <w:vAlign w:val="bottom"/>
          </w:tcPr>
          <w:p>
            <w:pPr>
              <w:spacing w:after="0"/>
              <w:rPr>
                <w:sz w:val="17"/>
                <w:szCs w:val="17"/>
                <w:color w:val="auto"/>
              </w:rPr>
            </w:pPr>
          </w:p>
        </w:tc>
        <w:tc>
          <w:tcPr>
            <w:tcW w:w="26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1,338</w:t>
            </w:r>
          </w:p>
        </w:tc>
        <w:tc>
          <w:tcPr>
            <w:tcW w:w="100" w:type="dxa"/>
            <w:vAlign w:val="bottom"/>
          </w:tcPr>
          <w:p>
            <w:pPr>
              <w:spacing w:after="0"/>
              <w:rPr>
                <w:sz w:val="17"/>
                <w:szCs w:val="17"/>
                <w:color w:val="auto"/>
              </w:rPr>
            </w:pPr>
          </w:p>
        </w:tc>
      </w:tr>
      <w:tr>
        <w:trPr>
          <w:trHeight w:val="20"/>
        </w:trPr>
        <w:tc>
          <w:tcPr>
            <w:tcW w:w="62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4711065</wp:posOffset>
            </wp:positionH>
            <wp:positionV relativeFrom="paragraph">
              <wp:posOffset>-1628140</wp:posOffset>
            </wp:positionV>
            <wp:extent cx="7747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-1610995</wp:posOffset>
            </wp:positionV>
            <wp:extent cx="7747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-1628140</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-1610995</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-1628140</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-1610995</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-1628140</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-1610995</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-908050</wp:posOffset>
            </wp:positionV>
            <wp:extent cx="7747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-890905</wp:posOffset>
            </wp:positionV>
            <wp:extent cx="7747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-908050</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-890905</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-908050</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-890905</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-908050</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-890905</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-187960</wp:posOffset>
            </wp:positionV>
            <wp:extent cx="7747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-170815</wp:posOffset>
            </wp:positionV>
            <wp:extent cx="7747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-187960</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-170815</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-187960</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-170815</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Adjustments reclassified from accumulated balances of other comprehensive income (loss) to earnings are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12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920" w:type="dxa"/>
            <w:vAlign w:val="bottom"/>
            <w:gridSpan w:val="4"/>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80" w:type="dxa"/>
            <w:vAlign w:val="bottom"/>
            <w:gridSpan w:val="5"/>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5"/>
        </w:trPr>
        <w:tc>
          <w:tcPr>
            <w:tcW w:w="312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4"/>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36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4"/>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3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96"/>
        </w:trPr>
        <w:tc>
          <w:tcPr>
            <w:tcW w:w="3120" w:type="dxa"/>
            <w:vAlign w:val="bottom"/>
          </w:tcPr>
          <w:p>
            <w:pPr>
              <w:spacing w:after="0"/>
              <w:rPr>
                <w:sz w:val="17"/>
                <w:szCs w:val="17"/>
                <w:color w:val="auto"/>
              </w:rPr>
            </w:pPr>
          </w:p>
        </w:tc>
        <w:tc>
          <w:tcPr>
            <w:tcW w:w="32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Statement of Operations Location</w:t>
            </w:r>
          </w:p>
        </w:tc>
        <w:tc>
          <w:tcPr>
            <w:tcW w:w="260" w:type="dxa"/>
            <w:vAlign w:val="bottom"/>
          </w:tcPr>
          <w:p>
            <w:pPr>
              <w:spacing w:after="0"/>
              <w:rPr>
                <w:sz w:val="17"/>
                <w:szCs w:val="17"/>
                <w:color w:val="auto"/>
              </w:rPr>
            </w:pPr>
          </w:p>
        </w:tc>
        <w:tc>
          <w:tcPr>
            <w:tcW w:w="900" w:type="dxa"/>
            <w:vAlign w:val="bottom"/>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7"/>
                <w:szCs w:val="17"/>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0"/>
        </w:trPr>
        <w:tc>
          <w:tcPr>
            <w:tcW w:w="3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Derivatives:</w:t>
            </w:r>
          </w:p>
        </w:tc>
        <w:tc>
          <w:tcPr>
            <w:tcW w:w="308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31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Fuel hedge contracts</w:t>
            </w:r>
          </w:p>
        </w:tc>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Costs of contract revenues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140" w:type="dxa"/>
            <w:vAlign w:val="bottom"/>
          </w:tcPr>
          <w:p>
            <w:pPr>
              <w:spacing w:after="0"/>
              <w:rPr>
                <w:sz w:val="18"/>
                <w:szCs w:val="18"/>
                <w:color w:val="auto"/>
              </w:rPr>
            </w:pPr>
          </w:p>
        </w:tc>
        <w:tc>
          <w:tcPr>
            <w:tcW w:w="88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840" w:type="dxa"/>
            <w:vAlign w:val="bottom"/>
            <w:gridSpan w:val="2"/>
          </w:tcPr>
          <w:p>
            <w:pPr>
              <w:jc w:val="right"/>
              <w:ind w:right="468"/>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w:t>
            </w:r>
          </w:p>
        </w:tc>
        <w:tc>
          <w:tcPr>
            <w:tcW w:w="140" w:type="dxa"/>
            <w:vAlign w:val="bottom"/>
          </w:tcPr>
          <w:p>
            <w:pPr>
              <w:spacing w:after="0"/>
              <w:rPr>
                <w:sz w:val="18"/>
                <w:szCs w:val="18"/>
                <w:color w:val="auto"/>
              </w:rPr>
            </w:pPr>
          </w:p>
        </w:tc>
        <w:tc>
          <w:tcPr>
            <w:tcW w:w="6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319</w:t>
            </w:r>
          </w:p>
        </w:tc>
        <w:tc>
          <w:tcPr>
            <w:tcW w:w="100" w:type="dxa"/>
            <w:vAlign w:val="bottom"/>
          </w:tcPr>
          <w:p>
            <w:pPr>
              <w:spacing w:after="0"/>
              <w:rPr>
                <w:sz w:val="18"/>
                <w:szCs w:val="18"/>
                <w:color w:val="auto"/>
              </w:rPr>
            </w:pPr>
          </w:p>
        </w:tc>
      </w:tr>
      <w:tr>
        <w:trPr>
          <w:trHeight w:val="198"/>
        </w:trPr>
        <w:tc>
          <w:tcPr>
            <w:tcW w:w="3120" w:type="dxa"/>
            <w:vAlign w:val="bottom"/>
            <w:shd w:val="clear" w:color="auto" w:fill="CFF0FC"/>
          </w:tcPr>
          <w:p>
            <w:pPr>
              <w:ind w:left="60"/>
              <w:spacing w:after="0" w:line="198" w:lineRule="exact"/>
              <w:rPr>
                <w:sz w:val="20"/>
                <w:szCs w:val="20"/>
                <w:color w:val="auto"/>
              </w:rPr>
            </w:pPr>
            <w:r>
              <w:rPr>
                <w:rFonts w:ascii="Times New Roman" w:cs="Times New Roman" w:eastAsia="Times New Roman" w:hAnsi="Times New Roman"/>
                <w:sz w:val="18"/>
                <w:szCs w:val="18"/>
                <w:color w:val="auto"/>
              </w:rPr>
              <w:t>Foreign currency exchange hedge</w:t>
            </w:r>
          </w:p>
        </w:tc>
        <w:tc>
          <w:tcPr>
            <w:tcW w:w="30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4"/>
        </w:trPr>
        <w:tc>
          <w:tcPr>
            <w:tcW w:w="31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contracts</w:t>
            </w:r>
          </w:p>
        </w:tc>
        <w:tc>
          <w:tcPr>
            <w:tcW w:w="32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26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shd w:val="clear" w:color="auto" w:fill="CFF0FC"/>
          </w:tcPr>
          <w:p>
            <w:pPr>
              <w:spacing w:after="0"/>
              <w:rPr>
                <w:sz w:val="20"/>
                <w:szCs w:val="20"/>
                <w:color w:val="auto"/>
              </w:rPr>
            </w:pPr>
          </w:p>
        </w:tc>
      </w:tr>
      <w:tr>
        <w:trPr>
          <w:trHeight w:val="216"/>
        </w:trPr>
        <w:tc>
          <w:tcPr>
            <w:tcW w:w="31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Interest rate swaps</w:t>
            </w:r>
          </w:p>
        </w:tc>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expense—net</w:t>
            </w:r>
          </w:p>
        </w:tc>
        <w:tc>
          <w:tcPr>
            <w:tcW w:w="26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7"/>
              </w:rPr>
              <w:t>(177)</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120" w:type="dxa"/>
            <w:vAlign w:val="bottom"/>
            <w:tcBorders>
              <w:bottom w:val="single" w:sz="8" w:color="CFF0FC"/>
            </w:tcBorders>
            <w:shd w:val="clear" w:color="auto" w:fill="CFF0FC"/>
          </w:tcPr>
          <w:p>
            <w:pPr>
              <w:spacing w:after="0"/>
              <w:rPr>
                <w:sz w:val="18"/>
                <w:szCs w:val="18"/>
                <w:color w:val="auto"/>
              </w:rPr>
            </w:pPr>
          </w:p>
        </w:tc>
        <w:tc>
          <w:tcPr>
            <w:tcW w:w="320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2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200" w:type="dxa"/>
            <w:vAlign w:val="bottom"/>
            <w:tcBorders>
              <w:bottom w:val="single" w:sz="8" w:color="CFF0FC"/>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3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140" w:type="dxa"/>
            <w:vAlign w:val="bottom"/>
          </w:tcPr>
          <w:p>
            <w:pPr>
              <w:spacing w:after="0"/>
              <w:rPr>
                <w:sz w:val="18"/>
                <w:szCs w:val="18"/>
                <w:color w:val="auto"/>
              </w:rPr>
            </w:pPr>
          </w:p>
        </w:tc>
        <w:tc>
          <w:tcPr>
            <w:tcW w:w="88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840" w:type="dxa"/>
            <w:vAlign w:val="bottom"/>
            <w:gridSpan w:val="2"/>
          </w:tcPr>
          <w:p>
            <w:pPr>
              <w:jc w:val="right"/>
              <w:ind w:right="468"/>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140" w:type="dxa"/>
            <w:vAlign w:val="bottom"/>
          </w:tcPr>
          <w:p>
            <w:pPr>
              <w:spacing w:after="0"/>
              <w:rPr>
                <w:sz w:val="18"/>
                <w:szCs w:val="18"/>
                <w:color w:val="auto"/>
              </w:rPr>
            </w:pPr>
          </w:p>
        </w:tc>
        <w:tc>
          <w:tcPr>
            <w:tcW w:w="6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280</w:t>
            </w:r>
          </w:p>
        </w:tc>
        <w:tc>
          <w:tcPr>
            <w:tcW w:w="100" w:type="dxa"/>
            <w:vAlign w:val="bottom"/>
          </w:tcPr>
          <w:p>
            <w:pPr>
              <w:spacing w:after="0"/>
              <w:rPr>
                <w:sz w:val="18"/>
                <w:szCs w:val="18"/>
                <w:color w:val="auto"/>
              </w:rPr>
            </w:pPr>
          </w:p>
        </w:tc>
      </w:tr>
      <w:tr>
        <w:trPr>
          <w:trHeight w:val="20"/>
        </w:trPr>
        <w:tc>
          <w:tcPr>
            <w:tcW w:w="31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4745355</wp:posOffset>
            </wp:positionH>
            <wp:positionV relativeFrom="paragraph">
              <wp:posOffset>-170815</wp:posOffset>
            </wp:positionV>
            <wp:extent cx="7747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-170815</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-170815</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financial instruments</w:t>
      </w:r>
    </w:p>
    <w:p>
      <w:pPr>
        <w:spacing w:after="0" w:line="16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carrying value of financial instruments included in current assets and current liabilities approximates fair value due to the short-term maturities of these instruments. Based on timing of the cash flows and comparison to current market interest rates, the carrying values of the ABL Credit Agreement and Second Lien Credit Agreement approximate fair value at June 30, 2025. In May 2021, the Company sold $325.0 million of the 2029 Notes, which were outstanding at June 30, 2025 (see Note 5, Long-term debt). The fair value of the 2029 Notes was $312.3 million at June 30, 2025, which is a Level 1 fair value measurement as the senior notes’ value was obtained using quoted prices in active markets. It is impracticable to determine the fair value of outstanding letters of credit or performance, bid and payment bonds due to uncertainties as to the amount and timing of future obligations, if any.</w:t>
      </w: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6" w:name="page17"/>
    <w:bookmarkEnd w:id="16"/>
    <w:p>
      <w:pPr>
        <w:ind w:left="520" w:hanging="512"/>
        <w:spacing w:after="0"/>
        <w:tabs>
          <w:tab w:leader="none" w:pos="52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Share-based compensation</w:t>
      </w:r>
    </w:p>
    <w:p>
      <w:pPr>
        <w:spacing w:after="0" w:line="121"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On May 8, 2025, the Company’s stockholders approved the First Amendment to the Great Lakes Dredge &amp; Dock Corporation 2021 Long-Term Incentive Plan (the “Plan Amendment”), which previously had been approved by the Company’s board of directors subject to stockholder approval. The Plan Amendment revised the Incentive Plan (as defined below) to increase the number of shares available for issuance under the Incentive Plan by 3,000,000 shares.</w:t>
      </w:r>
    </w:p>
    <w:p>
      <w:pPr>
        <w:spacing w:after="0" w:line="112" w:lineRule="exact"/>
        <w:rPr>
          <w:sz w:val="20"/>
          <w:szCs w:val="20"/>
          <w:color w:val="auto"/>
        </w:rPr>
      </w:pPr>
    </w:p>
    <w:p>
      <w:pPr>
        <w:ind w:right="260"/>
        <w:spacing w:after="0" w:line="256" w:lineRule="auto"/>
        <w:rPr>
          <w:sz w:val="20"/>
          <w:szCs w:val="20"/>
          <w:color w:val="auto"/>
        </w:rPr>
      </w:pPr>
      <w:r>
        <w:rPr>
          <w:rFonts w:ascii="Times New Roman" w:cs="Times New Roman" w:eastAsia="Times New Roman" w:hAnsi="Times New Roman"/>
          <w:sz w:val="18"/>
          <w:szCs w:val="18"/>
          <w:color w:val="auto"/>
        </w:rPr>
        <w:t>On May 5, 2021, the Company’s stockholders approved the Great Lakes Dredge &amp; Dock Corporation 2021 Long-Term Incentive Plan (the “Incentive Plan”), which previously had been approved by the Company’s board of directors subject to stockholder approval. The Incentive Plan replaced the 2017 Long-Term Incentive Plan (the “Prior Plan”) and is largely based on the Prior Plan, but with updates to the available shares and other administrative changes. The Incentive Plan permits the granting of stock options, stock appreciation rights, restricted stock and restricted stock units to the Company’s employees and directors for up to 1.5 million shares of common stock, plus the number of shares that remained available for future grant under the Prior Plan as of the effectiveness of the Incentive Plan.</w:t>
      </w:r>
    </w:p>
    <w:p>
      <w:pPr>
        <w:spacing w:after="0" w:line="10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Prior Plan permitted the granting of stock options, stock appreciation rights, restricted stock and restricted stock units to the Company’s employees and directors for up to 3.3 million shares of common stock, plus an additional 1.7 million shares underlying equity awards issued under the 2007 Long-Term Incentive Plan. The Company may also issue share-based compensation as inducement awards to new employees upon approval of the Company’s board of directors and/or the applicable committee or committees thereof, as may be required.</w:t>
      </w:r>
    </w:p>
    <w:p>
      <w:pPr>
        <w:spacing w:after="0" w:line="11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During the six months ended June 30, 2025, the Company granted 538 thousand restricted stock units to certain employees. In addition, all non-employee directors on the Company’s board of directors are paid a portion of their board-related compensation in stock grants or restricted stock units. Compensation cost charged to expense related to share-based compensation arrangements was $3.4 million and $1.8 million for the three months ended June 30, 2025 and 2024, respectively. Compensation cost charged to expense related to share-based compensation arrangements was $5.3 million and $2.6 million for the six months ended June 30, 2025 and 2024, respectively.</w:t>
      </w:r>
    </w:p>
    <w:p>
      <w:pPr>
        <w:spacing w:after="0" w:line="112" w:lineRule="exact"/>
        <w:rPr>
          <w:sz w:val="20"/>
          <w:szCs w:val="20"/>
          <w:color w:val="auto"/>
        </w:rPr>
      </w:pPr>
    </w:p>
    <w:p>
      <w:pPr>
        <w:ind w:left="520" w:hanging="512"/>
        <w:spacing w:after="0"/>
        <w:tabs>
          <w:tab w:leader="none" w:pos="52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w:t>
      </w:r>
    </w:p>
    <w:p>
      <w:pPr>
        <w:spacing w:after="0" w:line="12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At June 30, 2025, the Company had $960.4 million of remaining performance obligations on dredging contracts, which the Company refers to as total dredging backlog. Total dredging backlog does not include $215.4 million of domestic low bids pending formal award and additional phases (“options”) pending on projects currently in dredging backlog at June 30, 2025. Additionally, the Company had $52.4 million of remaining performance obligations and $14.5 million of contracts and options pending award related to offshore energy contracts. Approximately 40% of the Company’s dredging backlog at June 30, 2025 is expected to be completed during the remainder of 2025, with the remaining balance expected to be mostly completed in 2026.</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by category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series of tables presents the Company's revenue disaggregated by several categories.</w:t>
      </w:r>
    </w:p>
    <w:p>
      <w:pPr>
        <w:spacing w:after="0" w:line="158"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Domestically, the Company’s work generally is performed in coastal waterways and deep-water ports. The U.S. dredging market consists of three primary types of work: capital, coastal protection and maintenance. Foreign projects typically involve capital work.</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contract revenues by type of work, for the periods indicated, are as follows: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70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40" w:type="dxa"/>
            <w:vAlign w:val="bottom"/>
            <w:gridSpan w:val="4"/>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40" w:type="dxa"/>
            <w:vAlign w:val="bottom"/>
            <w:gridSpan w:val="6"/>
          </w:tcPr>
          <w:p>
            <w:pPr>
              <w:ind w:left="34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19"/>
        </w:trPr>
        <w:tc>
          <w:tcPr>
            <w:tcW w:w="170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3"/>
          </w:tcPr>
          <w:p>
            <w:pPr>
              <w:ind w:left="7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0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203"/>
        </w:trPr>
        <w:tc>
          <w:tcPr>
            <w:tcW w:w="4620" w:type="dxa"/>
            <w:vAlign w:val="bottom"/>
            <w:gridSpan w:val="2"/>
          </w:tcPr>
          <w:p>
            <w:pPr>
              <w:ind w:left="1700"/>
              <w:spacing w:after="0" w:line="202" w:lineRule="exact"/>
              <w:rPr>
                <w:sz w:val="20"/>
                <w:szCs w:val="20"/>
                <w:color w:val="auto"/>
              </w:rPr>
            </w:pPr>
            <w:r>
              <w:rPr>
                <w:rFonts w:ascii="Times New Roman" w:cs="Times New Roman" w:eastAsia="Times New Roman" w:hAnsi="Times New Roman"/>
                <w:sz w:val="18"/>
                <w:szCs w:val="18"/>
                <w:b w:val="1"/>
                <w:bCs w:val="1"/>
                <w:color w:val="auto"/>
              </w:rPr>
              <w:t>Revenues</w:t>
            </w: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3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10"/>
        </w:trPr>
        <w:tc>
          <w:tcPr>
            <w:tcW w:w="1700" w:type="dxa"/>
            <w:vAlign w:val="bottom"/>
          </w:tcPr>
          <w:p>
            <w:pPr>
              <w:spacing w:after="0"/>
              <w:rPr>
                <w:sz w:val="18"/>
                <w:szCs w:val="18"/>
                <w:color w:val="auto"/>
              </w:rPr>
            </w:pPr>
          </w:p>
        </w:tc>
        <w:tc>
          <w:tcPr>
            <w:tcW w:w="29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Capital</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105,674</w:t>
            </w: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70,747</w:t>
            </w:r>
          </w:p>
        </w:tc>
        <w:tc>
          <w:tcPr>
            <w:tcW w:w="42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196,492</w:t>
            </w:r>
          </w:p>
        </w:tc>
        <w:tc>
          <w:tcPr>
            <w:tcW w:w="44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140,647</w:t>
            </w:r>
          </w:p>
        </w:tc>
        <w:tc>
          <w:tcPr>
            <w:tcW w:w="8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2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Coastal protection</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65,227</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70,195</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185,831</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134,121</w:t>
            </w: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29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Maintenance</w:t>
            </w:r>
          </w:p>
        </w:tc>
        <w:tc>
          <w:tcPr>
            <w:tcW w:w="22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22,854</w:t>
            </w:r>
          </w:p>
        </w:tc>
        <w:tc>
          <w:tcPr>
            <w:tcW w:w="30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29,144</w:t>
            </w:r>
          </w:p>
        </w:tc>
        <w:tc>
          <w:tcPr>
            <w:tcW w:w="18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54,297</w:t>
            </w:r>
          </w:p>
        </w:tc>
        <w:tc>
          <w:tcPr>
            <w:tcW w:w="22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93,978</w:t>
            </w:r>
          </w:p>
        </w:tc>
        <w:tc>
          <w:tcPr>
            <w:tcW w:w="8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r>
      <w:tr>
        <w:trPr>
          <w:trHeight w:val="210"/>
        </w:trPr>
        <w:tc>
          <w:tcPr>
            <w:tcW w:w="4620" w:type="dxa"/>
            <w:vAlign w:val="bottom"/>
            <w:gridSpan w:val="2"/>
          </w:tcPr>
          <w:p>
            <w:pPr>
              <w:ind w:left="1700"/>
              <w:spacing w:after="0"/>
              <w:rPr>
                <w:sz w:val="20"/>
                <w:szCs w:val="20"/>
                <w:color w:val="auto"/>
              </w:rPr>
            </w:pPr>
            <w:r>
              <w:rPr>
                <w:rFonts w:ascii="Times New Roman" w:cs="Times New Roman" w:eastAsia="Times New Roman" w:hAnsi="Times New Roman"/>
                <w:sz w:val="18"/>
                <w:szCs w:val="18"/>
                <w:color w:val="auto"/>
              </w:rPr>
              <w:t>Total revenues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193,755</w:t>
            </w:r>
          </w:p>
        </w:tc>
        <w:tc>
          <w:tcPr>
            <w:tcW w:w="30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170,086</w:t>
            </w:r>
          </w:p>
        </w:tc>
        <w:tc>
          <w:tcPr>
            <w:tcW w:w="18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436,620</w:t>
            </w:r>
          </w:p>
        </w:tc>
        <w:tc>
          <w:tcPr>
            <w:tcW w:w="22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368,746</w:t>
            </w: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0"/>
        </w:trPr>
        <w:tc>
          <w:tcPr>
            <w:tcW w:w="170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628"/>
        </w:trPr>
        <w:tc>
          <w:tcPr>
            <w:tcW w:w="170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17</w:t>
            </w: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763"/>
        </w:trPr>
        <w:tc>
          <w:tcPr>
            <w:tcW w:w="1700" w:type="dxa"/>
            <w:vAlign w:val="bottom"/>
            <w:tcBorders>
              <w:bottom w:val="single" w:sz="8" w:color="9A9A9A"/>
            </w:tcBorders>
          </w:tcPr>
          <w:p>
            <w:pPr>
              <w:spacing w:after="0"/>
              <w:rPr>
                <w:sz w:val="24"/>
                <w:szCs w:val="24"/>
                <w:color w:val="auto"/>
              </w:rPr>
            </w:pPr>
          </w:p>
        </w:tc>
        <w:tc>
          <w:tcPr>
            <w:tcW w:w="29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color w:val="auto"/>
        </w:rPr>
        <w:t>The Company’s contract revenues by type of customer, for the periods indicated, are as follows: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170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80" w:type="dxa"/>
            <w:vAlign w:val="bottom"/>
            <w:gridSpan w:val="4"/>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80" w:type="dxa"/>
            <w:vAlign w:val="bottom"/>
            <w:gridSpan w:val="8"/>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86"/>
        </w:trPr>
        <w:tc>
          <w:tcPr>
            <w:tcW w:w="4620" w:type="dxa"/>
            <w:vAlign w:val="bottom"/>
            <w:gridSpan w:val="2"/>
            <w:vMerge w:val="restart"/>
          </w:tcPr>
          <w:p>
            <w:pPr>
              <w:ind w:left="170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4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620" w:type="dxa"/>
            <w:vAlign w:val="bottom"/>
            <w:gridSpan w:val="2"/>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78"/>
              <w:spacing w:after="0"/>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700" w:type="dxa"/>
            <w:vAlign w:val="bottom"/>
          </w:tcPr>
          <w:p>
            <w:pPr>
              <w:spacing w:after="0"/>
              <w:rPr>
                <w:sz w:val="18"/>
                <w:szCs w:val="18"/>
                <w:color w:val="auto"/>
              </w:rPr>
            </w:pPr>
          </w:p>
        </w:tc>
        <w:tc>
          <w:tcPr>
            <w:tcW w:w="29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Federal government</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90,941</w:t>
            </w:r>
          </w:p>
        </w:tc>
        <w:tc>
          <w:tcPr>
            <w:tcW w:w="56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118,687</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225,349</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253,476</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2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State and local government</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21,109</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21,463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57,503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69,163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292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Private</w:t>
            </w:r>
          </w:p>
        </w:tc>
        <w:tc>
          <w:tcPr>
            <w:tcW w:w="22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81,705</w:t>
            </w:r>
          </w:p>
        </w:tc>
        <w:tc>
          <w:tcPr>
            <w:tcW w:w="3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29,936</w:t>
            </w:r>
          </w:p>
        </w:tc>
        <w:tc>
          <w:tcPr>
            <w:tcW w:w="1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153,768</w:t>
            </w:r>
          </w:p>
        </w:tc>
        <w:tc>
          <w:tcPr>
            <w:tcW w:w="1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46,107</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70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193,755</w:t>
            </w:r>
          </w:p>
        </w:tc>
        <w:tc>
          <w:tcPr>
            <w:tcW w:w="30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170,086</w:t>
            </w:r>
          </w:p>
        </w:tc>
        <w:tc>
          <w:tcPr>
            <w:tcW w:w="1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436,620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368,746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20" w:type="dxa"/>
            <w:vAlign w:val="bottom"/>
            <w:gridSpan w:val="2"/>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6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w w:val="99"/>
              </w:rPr>
              <w:t>Accounts receivable at June 30, 2025 and December 31, 2024 are as follows:</w:t>
            </w: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1700" w:type="dxa"/>
            <w:vAlign w:val="bottom"/>
          </w:tcPr>
          <w:p>
            <w:pPr>
              <w:spacing w:after="0"/>
              <w:rPr>
                <w:sz w:val="22"/>
                <w:szCs w:val="22"/>
                <w:color w:val="auto"/>
              </w:rPr>
            </w:pPr>
          </w:p>
        </w:tc>
        <w:tc>
          <w:tcPr>
            <w:tcW w:w="29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gridSpan w:val="4"/>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170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700" w:type="dxa"/>
            <w:vAlign w:val="bottom"/>
          </w:tcPr>
          <w:p>
            <w:pPr>
              <w:spacing w:after="0"/>
              <w:rPr>
                <w:sz w:val="18"/>
                <w:szCs w:val="18"/>
                <w:color w:val="auto"/>
              </w:rPr>
            </w:pPr>
          </w:p>
        </w:tc>
        <w:tc>
          <w:tcPr>
            <w:tcW w:w="2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Completed contracts</w:t>
            </w: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4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12,368</w:t>
            </w:r>
          </w:p>
        </w:tc>
        <w:tc>
          <w:tcPr>
            <w:tcW w:w="12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Contracts in progress</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89,405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105,159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29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Retainage</w:t>
            </w:r>
          </w:p>
        </w:tc>
        <w:tc>
          <w:tcPr>
            <w:tcW w:w="22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CFF0FC"/>
              <w:right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9,678</w:t>
            </w:r>
          </w:p>
        </w:tc>
        <w:tc>
          <w:tcPr>
            <w:tcW w:w="1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20" w:type="dxa"/>
            <w:vAlign w:val="bottom"/>
            <w:tcBorders>
              <w:bottom w:val="single" w:sz="8" w:color="auto"/>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12,575</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0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111,451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118,394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2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4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(364)</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(364)</w:t>
            </w: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292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80" w:type="dxa"/>
            <w:vAlign w:val="bottom"/>
            <w:shd w:val="clear" w:color="auto" w:fill="CFF0FC"/>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840" w:type="dxa"/>
            <w:vAlign w:val="bottom"/>
            <w:tcBorders>
              <w:right w:val="single" w:sz="8" w:color="CFF0FC"/>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4620" w:type="dxa"/>
            <w:vAlign w:val="bottom"/>
            <w:gridSpan w:val="2"/>
          </w:tcPr>
          <w:p>
            <w:pPr>
              <w:ind w:left="1700"/>
              <w:spacing w:after="0"/>
              <w:rPr>
                <w:sz w:val="20"/>
                <w:szCs w:val="20"/>
                <w:color w:val="auto"/>
              </w:rPr>
            </w:pPr>
            <w:r>
              <w:rPr>
                <w:rFonts w:ascii="Times New Roman" w:cs="Times New Roman" w:eastAsia="Times New Roman" w:hAnsi="Times New Roman"/>
                <w:sz w:val="18"/>
                <w:szCs w:val="18"/>
                <w:color w:val="auto"/>
              </w:rPr>
              <w:t>Total accounts receivable—net</w:t>
            </w: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111,087</w:t>
            </w:r>
          </w:p>
        </w:tc>
        <w:tc>
          <w:tcPr>
            <w:tcW w:w="120" w:type="dxa"/>
            <w:vAlign w:val="bottom"/>
          </w:tcPr>
          <w:p>
            <w:pPr>
              <w:spacing w:after="0"/>
              <w:rPr>
                <w:sz w:val="24"/>
                <w:szCs w:val="24"/>
                <w:color w:val="auto"/>
              </w:rPr>
            </w:pP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118,030</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-1671320</wp:posOffset>
            </wp:positionV>
            <wp:extent cx="431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-1671320</wp:posOffset>
            </wp:positionV>
            <wp:extent cx="431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-1671320</wp:posOffset>
            </wp:positionV>
            <wp:extent cx="431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-1671320</wp:posOffset>
            </wp:positionV>
            <wp:extent cx="431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-530860</wp:posOffset>
            </wp:positionV>
            <wp:extent cx="5143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-530860</wp:posOffset>
            </wp:positionV>
            <wp:extent cx="5143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-248285</wp:posOffset>
            </wp:positionV>
            <wp:extent cx="5143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-248285</wp:posOffset>
            </wp:positionV>
            <wp:extent cx="5143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contracts in progress at June 30, 2025 and December 31, 2024 are as follows:</w:t>
      </w:r>
    </w:p>
    <w:p>
      <w:pPr>
        <w:spacing w:after="0" w:line="139"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80" w:type="dxa"/>
            <w:vAlign w:val="bottom"/>
            <w:gridSpan w:val="2"/>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Pr>
          <w:p>
            <w:pPr>
              <w:spacing w:after="0"/>
              <w:rPr>
                <w:sz w:val="13"/>
                <w:szCs w:val="13"/>
                <w:color w:val="auto"/>
              </w:rPr>
            </w:pPr>
          </w:p>
        </w:tc>
        <w:tc>
          <w:tcPr>
            <w:tcW w:w="140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Costs and earnings in excess of billings:</w:t>
            </w:r>
          </w:p>
        </w:tc>
        <w:tc>
          <w:tcPr>
            <w:tcW w:w="7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Costs and earnings for contracts in progress</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231,757</w:t>
            </w:r>
          </w:p>
        </w:tc>
        <w:tc>
          <w:tcPr>
            <w:tcW w:w="24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206,933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Amounts billed</w:t>
            </w:r>
          </w:p>
        </w:tc>
        <w:tc>
          <w:tcPr>
            <w:tcW w:w="7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(184,682)</w:t>
            </w:r>
          </w:p>
        </w:tc>
        <w:tc>
          <w:tcPr>
            <w:tcW w:w="22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(153,208)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Costs and earnings in excess of billings for contracts in progress</w:t>
            </w:r>
          </w:p>
        </w:tc>
        <w:tc>
          <w:tcPr>
            <w:tcW w:w="700" w:type="dxa"/>
            <w:vAlign w:val="bottom"/>
            <w:tcBorders>
              <w:top w:val="single" w:sz="8" w:color="CFF0FC"/>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47,075</w:t>
            </w:r>
          </w:p>
        </w:tc>
        <w:tc>
          <w:tcPr>
            <w:tcW w:w="240" w:type="dxa"/>
            <w:vAlign w:val="bottom"/>
            <w:tcBorders>
              <w:top w:val="single" w:sz="8" w:color="CFF0FC"/>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53,725</w:t>
            </w:r>
          </w:p>
        </w:tc>
        <w:tc>
          <w:tcPr>
            <w:tcW w:w="8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Costs and earnings in excess of billings for completed contracts</w:t>
            </w:r>
          </w:p>
        </w:tc>
        <w:tc>
          <w:tcPr>
            <w:tcW w:w="7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12,107</w:t>
            </w:r>
          </w:p>
        </w:tc>
        <w:tc>
          <w:tcPr>
            <w:tcW w:w="2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20,472</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Total contract revenues in excess of billings</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59,182</w:t>
            </w:r>
          </w:p>
        </w:tc>
        <w:tc>
          <w:tcPr>
            <w:tcW w:w="24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74,197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Borders>
              <w:bottom w:val="single" w:sz="8" w:color="CFF0FC"/>
            </w:tcBorders>
            <w:shd w:val="clear" w:color="auto" w:fill="CFF0FC"/>
          </w:tcPr>
          <w:p>
            <w:pPr>
              <w:spacing w:after="0"/>
              <w:rPr>
                <w:sz w:val="18"/>
                <w:szCs w:val="18"/>
                <w:color w:val="auto"/>
              </w:rPr>
            </w:pPr>
          </w:p>
        </w:tc>
        <w:tc>
          <w:tcPr>
            <w:tcW w:w="7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Current portion of contract revenues in excess of billings</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59,182</w:t>
            </w:r>
          </w:p>
        </w:tc>
        <w:tc>
          <w:tcPr>
            <w:tcW w:w="24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74,197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53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Billings in excess of costs and earnings:</w:t>
            </w: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Amounts billed</w:t>
            </w:r>
          </w:p>
        </w:tc>
        <w:tc>
          <w:tcPr>
            <w:tcW w:w="10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(499,516)</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(303,810)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Costs and earnings for contracts in progress</w:t>
            </w:r>
          </w:p>
        </w:tc>
        <w:tc>
          <w:tcPr>
            <w:tcW w:w="7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470,760</w:t>
            </w:r>
          </w:p>
        </w:tc>
        <w:tc>
          <w:tcPr>
            <w:tcW w:w="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278,014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billings in excess of contract revenues</w:t>
            </w:r>
          </w:p>
        </w:tc>
        <w:tc>
          <w:tcPr>
            <w:tcW w:w="10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(28,756)</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(25,796)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Borders>
              <w:top w:val="single" w:sz="8" w:color="CFF0FC"/>
            </w:tcBorders>
            <w:shd w:val="clear" w:color="auto" w:fill="CFF0FC"/>
          </w:tcPr>
          <w:p>
            <w:pPr>
              <w:spacing w:after="0" w:line="20" w:lineRule="exact"/>
              <w:rPr>
                <w:sz w:val="1"/>
                <w:szCs w:val="1"/>
                <w:color w:val="auto"/>
              </w:rPr>
            </w:pPr>
          </w:p>
        </w:tc>
        <w:tc>
          <w:tcPr>
            <w:tcW w:w="70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5388610</wp:posOffset>
            </wp:positionH>
            <wp:positionV relativeFrom="paragraph">
              <wp:posOffset>-1456690</wp:posOffset>
            </wp:positionV>
            <wp:extent cx="5143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-1456690</wp:posOffset>
            </wp:positionV>
            <wp:extent cx="5143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-1174115</wp:posOffset>
            </wp:positionV>
            <wp:extent cx="5143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-1174115</wp:posOffset>
            </wp:positionV>
            <wp:extent cx="5143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-890905</wp:posOffset>
            </wp:positionV>
            <wp:extent cx="51435"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-890905</wp:posOffset>
            </wp:positionV>
            <wp:extent cx="5143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-25400</wp:posOffset>
            </wp:positionV>
            <wp:extent cx="5143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-8255</wp:posOffset>
            </wp:positionV>
            <wp:extent cx="5143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-25400</wp:posOffset>
            </wp:positionV>
            <wp:extent cx="51435"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-8255</wp:posOffset>
            </wp:positionV>
            <wp:extent cx="51435"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39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At June 30, 2025 and December 31, 2024, costs to fulfill contracts customers recognized as other current assets were $8.3 million and $10.3 million, respectively. At June 30, 2025 and December 31, 2024, costs to fulfill contracts with customers recognized as other noncurrent assets were $1.9 million and $7.6 million, respectively. These costs relate to pre-contract and pre-construction activities. During the three and six months ended June 30, 2025, the Company amortized $5.8 million and $9.2 million of pre-construction costs, respectively. During the three and six months ended June 30, 2024, the Company amortized $4.0 million and $8.4 million of pre-construction costs, respectively.</w:t>
      </w:r>
    </w:p>
    <w:p>
      <w:pPr>
        <w:spacing w:after="0" w:line="33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985" w:right="499" w:bottom="1440" w:gutter="0" w:footer="0" w:header="0"/>
        </w:sectPr>
      </w:pPr>
    </w:p>
    <w:bookmarkStart w:id="18" w:name="page19"/>
    <w:bookmarkEnd w:id="18"/>
    <w:p>
      <w:pPr>
        <w:ind w:left="520" w:hanging="512"/>
        <w:spacing w:after="0"/>
        <w:tabs>
          <w:tab w:leader="none" w:pos="52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Commercial commitments</w:t>
      </w:r>
    </w:p>
    <w:p>
      <w:pPr>
        <w:spacing w:after="0" w:line="16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Performance and bid bonds are customarily required for dredging and marine construction projects. The Company has bonding agreements with Liberty Mutual Insurance Company, Philadelphia Indemnity Insurance Company, Ascot Insurance Companies and AXIS Insurance Company under which the Company can obtain performance, bid and payment bonds. The Company also currently has outstanding bonds with ACE Holdings, Travelers Casualty and Surety Company of America, Berkley Insurance Company and Zurich American Insurance Company. Bid bonds are generally obtained for a percentage of bid value and amounts outstanding typically range from $1.0 million to $10.0 million. At June 30, 2025, the Company had outstanding performance bonds with a notional amount of approximately $1.3 billion. The revenue value remaining in dredging backlog related to the outstanding performance bonds totaled approximately $651.9 million.</w:t>
      </w:r>
    </w:p>
    <w:p>
      <w:pPr>
        <w:spacing w:after="0" w:line="108"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Certain foreign projects performed by the Company have warranty periods, typically spanning between one to three years beyond project completion, whereby the Company retains responsibility to maintain the project site to certain specifications during the warranty period. Generally, any potential liability of the Company is mitigated by insurance, shared responsibilities with consortium partners, and/or recourse to owner-provided specifications.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 and other contingencies</w:t>
      </w:r>
    </w:p>
    <w:p>
      <w:pPr>
        <w:spacing w:after="0" w:line="16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As is customary with negotiated contracts and modifications or claims to competitively bid contracts with the federal government, the government has the right to audit the books and records of the Company to ensure compliance with such contracts, modifications, or claims, and the applicable federal laws. The government has the ability to seek a price adjustment based on the results of such audit. Any such audits have not had, and are not expected to have, a material impact on the financial position, operations, or cash flows of the Company.</w:t>
      </w:r>
    </w:p>
    <w:p>
      <w:pPr>
        <w:spacing w:after="0" w:line="9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Various legal actions, claims, assessments and other contingencies arising in the ordinary course of business are pending against the Company and certain of its subsidiaries. The Company will defend itself vigorously on all matters. These matters are subject to many uncertainties, and it is possible that some of these matters could ultimately be decided, resolved, or settled adversely to the Company. Although the Company is subject to various claims and legal actions that arise in the ordinary course of business, the Company is not currently a party to any material legal proceedings or environmental claims. The Company records an accrual when it is probable a liability has been incurred and the amount of loss can be reasonably estimated. The Company does not believe any of its proceedings, individually or in the aggregate, would be expected to have a material effect on results of operations, cash flows or financial condition.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 obligations</w:t>
      </w:r>
    </w:p>
    <w:p>
      <w:pPr>
        <w:spacing w:after="0" w:line="162"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 Company leases certain operating equipment and office facilities under long-term operating and financing leases expiring at various dates through 2030. The equipment leases contain renewal or purchase options that specify prices at the then fair value upon the expiration of the lease terms. The leases also contain default provisions that are triggered by an acceleration of debt maturity under the terms of the ABL Credit Agreement, or, in certain instances, cross default to other equipment leases and certain lease arrangements require that the Company maintain certain financial ratios comparable to those required by the ABL Credit Agreement. Additionally, the leases typically contain provisions whereby the Company indemnifies the lessors for the tax treatment attributable to such leases based on the tax rules in place at lease inception. The tax indemnifications do not have a contractual dollar limit. To date, no lessors have asserted any claims against the Company under these tax indemnification provisions.</w:t>
      </w:r>
    </w:p>
    <w:p>
      <w:pPr>
        <w:spacing w:after="0" w:line="104" w:lineRule="exact"/>
        <w:rPr>
          <w:sz w:val="20"/>
          <w:szCs w:val="20"/>
          <w:color w:val="auto"/>
        </w:rPr>
      </w:pPr>
    </w:p>
    <w:p>
      <w:pPr>
        <w:ind w:left="520" w:hanging="512"/>
        <w:spacing w:after="0"/>
        <w:tabs>
          <w:tab w:leader="none" w:pos="52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information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reports segment information based on the management approach which designates the internal reporting used by the Chief Operating Decision Maker (“CODM”), which is the Company’s Chief Executive Officer, for making decisions and assessing performance as the source of the Company’s reportable segments. The Company has determined it has one reportable segment: dredging.</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the Company operates in one reportable segment, the CODM is provided financial reports which include (i) a consolidated statement of operations, (ii) plant expenses (as described below), (iii) a summary of contract revenues by work type and backlog by customer type, (iv) a consolidated balance sheet and</w:t>
      </w:r>
    </w:p>
    <w:p>
      <w:pPr>
        <w:ind w:firstLine="8"/>
        <w:spacing w:after="0" w:line="260" w:lineRule="auto"/>
        <w:tabs>
          <w:tab w:leader="none" w:pos="25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contract analysis of revenues and margins by project. These financial reports assist the CODM in assessing the Company’s financial performance and in allocating resources appropriately.</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9" w:name="page20"/>
    <w:bookmarkEnd w:id="19"/>
    <w:p>
      <w:pPr>
        <w:jc w:val="both"/>
        <w:spacing w:after="0" w:line="255" w:lineRule="auto"/>
        <w:rPr>
          <w:sz w:val="20"/>
          <w:szCs w:val="20"/>
          <w:color w:val="auto"/>
        </w:rPr>
      </w:pPr>
      <w:r>
        <w:rPr>
          <w:rFonts w:ascii="Times New Roman" w:cs="Times New Roman" w:eastAsia="Times New Roman" w:hAnsi="Times New Roman"/>
          <w:sz w:val="18"/>
          <w:szCs w:val="18"/>
          <w:color w:val="auto"/>
        </w:rPr>
        <w:t>The dredging segment provides dredging services, which generally involves the enhancement or preservation of the navigability of waterways or the protection of shorelines through the removal or replenishment of soil, sand or rock. The Company derives its revenue primarily in the United States and manages its business activities on a consolidated basis. The accounting policies of the dredging segment are the same as those described in the summary of significant accounting policies. The measure of segment assets is reported on the consolidated balance sheet as total consolidated assets. The CODM uses net income and Adjusted EBITDA to evaluate income generated from segment assets in deciding whether to reinvest profits into the operating segment or into other parts of the entity. Net income and Adjusted EBITDA are used to monitor budgeted versus actual results and to assess performance of the segment.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income from the Company’s reportable segment is as follows:</w:t>
      </w:r>
    </w:p>
    <w:tbl>
      <w:tblPr>
        <w:tblLayout w:type="fixed"/>
        <w:tblInd w:w="0" w:type="dxa"/>
        <w:tblCellMar>
          <w:top w:w="0" w:type="dxa"/>
          <w:left w:w="0" w:type="dxa"/>
          <w:bottom w:w="0" w:type="dxa"/>
          <w:right w:w="0" w:type="dxa"/>
        </w:tblCellMar>
      </w:tblPr>
      <w:tr>
        <w:trPr>
          <w:trHeight w:val="151"/>
        </w:trPr>
        <w:tc>
          <w:tcPr>
            <w:tcW w:w="5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540" w:type="dxa"/>
            <w:vAlign w:val="bottom"/>
            <w:gridSpan w:val="6"/>
          </w:tcPr>
          <w:p>
            <w:pPr>
              <w:jc w:val="right"/>
              <w:ind w:right="900"/>
              <w:spacing w:after="0" w:line="151"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3"/>
                <w:szCs w:val="13"/>
                <w:color w:val="auto"/>
              </w:rPr>
            </w:pPr>
          </w:p>
        </w:tc>
        <w:tc>
          <w:tcPr>
            <w:tcW w:w="2280" w:type="dxa"/>
            <w:vAlign w:val="bottom"/>
            <w:gridSpan w:val="5"/>
          </w:tcPr>
          <w:p>
            <w:pPr>
              <w:jc w:val="right"/>
              <w:ind w:right="740"/>
              <w:spacing w:after="0" w:line="151" w:lineRule="exact"/>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73"/>
        </w:trPr>
        <w:tc>
          <w:tcPr>
            <w:tcW w:w="59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4"/>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4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3"/>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59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1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1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9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1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209"/>
        </w:trPr>
        <w:tc>
          <w:tcPr>
            <w:tcW w:w="5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Contract revenues</w:t>
            </w: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193,755</w:t>
            </w:r>
          </w:p>
        </w:tc>
        <w:tc>
          <w:tcPr>
            <w:tcW w:w="180" w:type="dxa"/>
            <w:vAlign w:val="bottom"/>
            <w:shd w:val="clear" w:color="auto" w:fill="CFF0FC"/>
          </w:tcPr>
          <w:p>
            <w:pPr>
              <w:spacing w:after="0"/>
              <w:rPr>
                <w:sz w:val="18"/>
                <w:szCs w:val="18"/>
                <w:color w:val="auto"/>
              </w:rPr>
            </w:pPr>
          </w:p>
        </w:tc>
        <w:tc>
          <w:tcPr>
            <w:tcW w:w="3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170,086</w:t>
            </w: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436,620</w:t>
            </w: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368,746</w:t>
            </w:r>
          </w:p>
        </w:tc>
        <w:tc>
          <w:tcPr>
            <w:tcW w:w="100" w:type="dxa"/>
            <w:vAlign w:val="bottom"/>
            <w:shd w:val="clear" w:color="auto" w:fill="CFF0FC"/>
          </w:tcPr>
          <w:p>
            <w:pPr>
              <w:spacing w:after="0"/>
              <w:rPr>
                <w:sz w:val="18"/>
                <w:szCs w:val="18"/>
                <w:color w:val="auto"/>
              </w:rPr>
            </w:pP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Less:</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Direct contract cost</w:t>
            </w: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111,838</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101,025</w:t>
            </w: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246,007</w:t>
            </w: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218,592</w:t>
            </w:r>
          </w:p>
        </w:tc>
        <w:tc>
          <w:tcPr>
            <w:tcW w:w="100" w:type="dxa"/>
            <w:vAlign w:val="bottom"/>
            <w:shd w:val="clear" w:color="auto" w:fill="CFF0FC"/>
          </w:tcPr>
          <w:p>
            <w:pPr>
              <w:spacing w:after="0"/>
              <w:rPr>
                <w:sz w:val="18"/>
                <w:szCs w:val="18"/>
                <w:color w:val="auto"/>
              </w:rPr>
            </w:pPr>
          </w:p>
        </w:tc>
      </w:tr>
      <w:tr>
        <w:trPr>
          <w:trHeight w:val="216"/>
        </w:trPr>
        <w:tc>
          <w:tcPr>
            <w:tcW w:w="5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Plant expenses excluding depreciation expense *</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34,707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28,113</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63,349</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52,612</w:t>
            </w:r>
          </w:p>
        </w:tc>
        <w:tc>
          <w:tcPr>
            <w:tcW w:w="100" w:type="dxa"/>
            <w:vAlign w:val="bottom"/>
          </w:tcPr>
          <w:p>
            <w:pPr>
              <w:spacing w:after="0"/>
              <w:rPr>
                <w:sz w:val="18"/>
                <w:szCs w:val="18"/>
                <w:color w:val="auto"/>
              </w:rPr>
            </w:pPr>
          </w:p>
        </w:tc>
      </w:tr>
      <w:tr>
        <w:trPr>
          <w:trHeight w:val="216"/>
        </w:trPr>
        <w:tc>
          <w:tcPr>
            <w:tcW w:w="59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Depreciation expense</w:t>
            </w: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10,644</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11,108</w:t>
            </w: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21,175</w:t>
            </w: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22,128</w:t>
            </w:r>
          </w:p>
        </w:tc>
        <w:tc>
          <w:tcPr>
            <w:tcW w:w="100" w:type="dxa"/>
            <w:vAlign w:val="bottom"/>
            <w:shd w:val="clear" w:color="auto" w:fill="CFF0FC"/>
          </w:tcPr>
          <w:p>
            <w:pPr>
              <w:spacing w:after="0"/>
              <w:rPr>
                <w:sz w:val="18"/>
                <w:szCs w:val="18"/>
                <w:color w:val="auto"/>
              </w:rPr>
            </w:pPr>
          </w:p>
        </w:tc>
      </w:tr>
      <w:tr>
        <w:trPr>
          <w:trHeight w:val="216"/>
        </w:trPr>
        <w:tc>
          <w:tcPr>
            <w:tcW w:w="5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19,478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16,161</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39,516</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32,272</w:t>
            </w:r>
          </w:p>
        </w:tc>
        <w:tc>
          <w:tcPr>
            <w:tcW w:w="100" w:type="dxa"/>
            <w:vAlign w:val="bottom"/>
          </w:tcPr>
          <w:p>
            <w:pPr>
              <w:spacing w:after="0"/>
              <w:rPr>
                <w:sz w:val="18"/>
                <w:szCs w:val="18"/>
                <w:color w:val="auto"/>
              </w:rPr>
            </w:pPr>
          </w:p>
        </w:tc>
      </w:tr>
      <w:tr>
        <w:trPr>
          <w:trHeight w:val="216"/>
        </w:trPr>
        <w:tc>
          <w:tcPr>
            <w:tcW w:w="59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Other (gains) losses</w:t>
            </w: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(906)</w:t>
            </w:r>
          </w:p>
        </w:tc>
        <w:tc>
          <w:tcPr>
            <w:tcW w:w="24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(459)</w:t>
            </w:r>
          </w:p>
        </w:tc>
        <w:tc>
          <w:tcPr>
            <w:tcW w:w="24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(2,922)</w:t>
            </w:r>
          </w:p>
        </w:tc>
      </w:tr>
      <w:tr>
        <w:trPr>
          <w:trHeight w:val="216"/>
        </w:trPr>
        <w:tc>
          <w:tcPr>
            <w:tcW w:w="5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4,398</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8,859</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8,457</w:t>
            </w:r>
          </w:p>
        </w:tc>
        <w:tc>
          <w:tcPr>
            <w:tcW w:w="100" w:type="dxa"/>
            <w:vAlign w:val="bottom"/>
          </w:tcPr>
          <w:p>
            <w:pPr>
              <w:spacing w:after="0"/>
              <w:rPr>
                <w:sz w:val="18"/>
                <w:szCs w:val="18"/>
                <w:color w:val="auto"/>
              </w:rPr>
            </w:pPr>
          </w:p>
        </w:tc>
      </w:tr>
      <w:tr>
        <w:trPr>
          <w:trHeight w:val="216"/>
        </w:trPr>
        <w:tc>
          <w:tcPr>
            <w:tcW w:w="59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Interest income</w:t>
            </w:r>
          </w:p>
        </w:tc>
        <w:tc>
          <w:tcPr>
            <w:tcW w:w="24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(148)</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(200)</w:t>
            </w:r>
          </w:p>
        </w:tc>
        <w:tc>
          <w:tcPr>
            <w:tcW w:w="24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(193)</w:t>
            </w:r>
          </w:p>
        </w:tc>
        <w:tc>
          <w:tcPr>
            <w:tcW w:w="24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(368)</w:t>
            </w:r>
          </w:p>
        </w:tc>
      </w:tr>
      <w:tr>
        <w:trPr>
          <w:trHeight w:val="216"/>
        </w:trPr>
        <w:tc>
          <w:tcPr>
            <w:tcW w:w="5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expense (income)</w:t>
            </w:r>
          </w:p>
        </w:tc>
        <w:tc>
          <w:tcPr>
            <w:tcW w:w="2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(246)</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(128)</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(553)</w:t>
            </w:r>
          </w:p>
        </w:tc>
      </w:tr>
      <w:tr>
        <w:trPr>
          <w:trHeight w:val="216"/>
        </w:trPr>
        <w:tc>
          <w:tcPr>
            <w:tcW w:w="594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Income tax provision</w:t>
            </w:r>
          </w:p>
        </w:tc>
        <w:tc>
          <w:tcPr>
            <w:tcW w:w="24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3,423</w:t>
            </w:r>
          </w:p>
        </w:tc>
        <w:tc>
          <w:tcPr>
            <w:tcW w:w="1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2,842</w:t>
            </w:r>
          </w:p>
        </w:tc>
        <w:tc>
          <w:tcPr>
            <w:tcW w:w="3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15,133</w:t>
            </w:r>
          </w:p>
        </w:tc>
        <w:tc>
          <w:tcPr>
            <w:tcW w:w="3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9,831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9,695</w:t>
            </w:r>
          </w:p>
        </w:tc>
        <w:tc>
          <w:tcPr>
            <w:tcW w:w="180" w:type="dxa"/>
            <w:vAlign w:val="bottom"/>
          </w:tcPr>
          <w:p>
            <w:pPr>
              <w:spacing w:after="0"/>
              <w:rPr>
                <w:sz w:val="18"/>
                <w:szCs w:val="18"/>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7,673</w:t>
            </w:r>
          </w:p>
        </w:tc>
        <w:tc>
          <w:tcPr>
            <w:tcW w:w="30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43,111</w:t>
            </w:r>
          </w:p>
        </w:tc>
        <w:tc>
          <w:tcPr>
            <w:tcW w:w="300" w:type="dxa"/>
            <w:vAlign w:val="bottom"/>
          </w:tcPr>
          <w:p>
            <w:pPr>
              <w:spacing w:after="0"/>
              <w:rPr>
                <w:sz w:val="18"/>
                <w:szCs w:val="18"/>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28,697</w:t>
            </w:r>
          </w:p>
        </w:tc>
        <w:tc>
          <w:tcPr>
            <w:tcW w:w="100" w:type="dxa"/>
            <w:vAlign w:val="bottom"/>
          </w:tcPr>
          <w:p>
            <w:pPr>
              <w:spacing w:after="0"/>
              <w:rPr>
                <w:sz w:val="18"/>
                <w:szCs w:val="18"/>
                <w:color w:val="auto"/>
              </w:rPr>
            </w:pPr>
          </w:p>
        </w:tc>
      </w:tr>
      <w:tr>
        <w:trPr>
          <w:trHeight w:val="20"/>
        </w:trPr>
        <w:tc>
          <w:tcPr>
            <w:tcW w:w="59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4453890</wp:posOffset>
            </wp:positionH>
            <wp:positionV relativeFrom="paragraph">
              <wp:posOffset>-170815</wp:posOffset>
            </wp:positionV>
            <wp:extent cx="7747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-170815</wp:posOffset>
            </wp:positionV>
            <wp:extent cx="7683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-170815</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left="5540" w:right="1540" w:hanging="5532"/>
        <w:spacing w:after="0" w:line="532" w:lineRule="auto"/>
        <w:tabs>
          <w:tab w:leader="none" w:pos="149"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indirect expenses that are allocated to contracts, including, but not limited to: maintenance, supplies, wear and insurance.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307975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Cautionary note regarding forward-looking statements</w:t>
      </w:r>
    </w:p>
    <w:p>
      <w:pPr>
        <w:spacing w:after="0" w:line="16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Certain statements in this Quarterly Report on Form 10-Q may constitute “forward-looking” statements as defined in Section 27A of the Securities Act of 1933 (the “Securities Act”), Section 21E of the Securities Exchange Act of 1934 (the “Exchange Act”), the Private Securities Litigation Reform Act of 1995 (the “PSLRA”) or in releases made by the Securities and Exchange Commission (“SEC”), all as may be amended from time to time. Such forward-looking statements involve known and unknown risks, uncertainties and other important factors that could cause the actual results, performance or achievements of Great Lakes Dredge &amp; Dock Corporation and its subsidiaries (“Great Lakes” or the “Company”), or industry results, to differ materially from any future results, performance or achievements expressed or implied by such forward-looking statements. Statements that are not historical fact are forward-looking statements. Forward-looking statements can be identified by, among other things, the use of forward-looking language, such as the words “plan,” “believe,” “expect,” “anticipate,” “intend,” “estimate,” “project,” “may,” “would,” “could,” “should,” “seeks,” “commitment to,” “scheduled to,” or other similar words, or the negative of these terms or other variations of these terms or comparable language, or by discussion of strategy or intentions.</w:t>
      </w:r>
    </w:p>
    <w:p>
      <w:pPr>
        <w:spacing w:after="0" w:line="10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These cautionary statements are being made pursuant to the Securities Act, the Exchange Act and the PSLRA with the intention of obtaining the benefits of the “safe harbor” provisions of such laws. Great Lakes cautions investors that any forward-looking statements made by Great Lakes are not guarantees or indicative of future performance. Important assumptions and other important factors that could cause actual results to differ materially from those forward-looking statements with respect to Great Lakes, include, but are not limited to, risks and uncertainties that are described in Item 1A. “Risk Factors” of Great Lakes’ Annual Report on Form 10-K for the year ended December 31, 2024 and in other securities filings by Great Lakes with the SEC.</w:t>
      </w:r>
    </w:p>
    <w:p>
      <w:pPr>
        <w:spacing w:after="0" w:line="11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Although Great Lakes believes that its plans, intentions, and expectations reflected in or suggested by such forward-looking statements are reasonable, actual results could differ materially from a projection or assumption in any forward-looking statements. Great Lakes’ future financial condition and results of operations, as well as any forward-looking statements, are subject to change and inherent risks and uncertainties. The forward-looking statements contained in this Quarterly Report on Form 10-Q are made only as of the date hereof and Great Lakes does not have or undertake any obligation to update or revise any forward-looking statements whether as a result of new information, subsequent events or otherwise, unless otherwise required by law.</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148"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Great Lakes is the largest provider of dredging services in the United States which is complemented with a long history of performing significant international projects. The Company is also fully engaged in expanding its core business into the offshore energy industry. The Company operates in one operating segment, which is also the Company’s one reportable segment and reporting unit.</w:t>
      </w:r>
    </w:p>
    <w:p>
      <w:pPr>
        <w:spacing w:after="0" w:line="108" w:lineRule="exact"/>
        <w:rPr>
          <w:sz w:val="20"/>
          <w:szCs w:val="20"/>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Dredging generally involves the enhancement or preservation of the navigability of waterways or the protection of shorelines through the removal or replenishment of soil, sand or rock. Domestically, the Company's work generally is performed in coastal waterways and deep water ports. The U.S. dredging market consists of three primary types of work: capital, coastal protection and maintenance.</w:t>
      </w:r>
    </w:p>
    <w:p>
      <w:pPr>
        <w:spacing w:after="0" w:line="108" w:lineRule="exact"/>
        <w:rPr>
          <w:sz w:val="20"/>
          <w:szCs w:val="20"/>
          <w:color w:val="auto"/>
        </w:rPr>
      </w:pPr>
    </w:p>
    <w:p>
      <w:pPr>
        <w:jc w:val="both"/>
        <w:ind w:right="140"/>
        <w:spacing w:after="0" w:line="289" w:lineRule="auto"/>
        <w:rPr>
          <w:sz w:val="20"/>
          <w:szCs w:val="20"/>
          <w:color w:val="auto"/>
        </w:rPr>
      </w:pPr>
      <w:r>
        <w:rPr>
          <w:rFonts w:ascii="Times New Roman" w:cs="Times New Roman" w:eastAsia="Times New Roman" w:hAnsi="Times New Roman"/>
          <w:sz w:val="17"/>
          <w:szCs w:val="17"/>
          <w:color w:val="auto"/>
        </w:rPr>
        <w:t>Due to its lower materiality relative to the Company’s overall operations, projects previously presented as rivers &amp; lakes are now included in maintenance dredging throughout. Prior periods presented herein have been updated to conform to the current presentation. These projects typically consist of lake and river dredging, inland levee and construction dredging, environmental restoration and habitat improvement and other marine construction projects.</w:t>
      </w:r>
    </w:p>
    <w:p>
      <w:pPr>
        <w:spacing w:after="0" w:line="77"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Company’s bid market is defined as the aggregate dollar value of domestic dredging projects on which the Company bid or could have bid if not for capacity constraints or other considerations (“bid market”). The Company experienced an average combined bid market share in the U.S. of 31% over the three-year period ended December 31, 2024, including 28%, 59% and 19% of the capital, coastal protection and maintenance sectors, respectively, exclusive of liquefied natural gas (“LNG”) projects.</w:t>
      </w:r>
    </w:p>
    <w:p>
      <w:pPr>
        <w:spacing w:after="0" w:line="112"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18"/>
          <w:szCs w:val="18"/>
          <w:color w:val="auto"/>
        </w:rPr>
        <w:t>The Company’s largest domestic customer is the U.S. Army Corps of Engineers (the “Corps”), which has responsibility for federally funded projects related to navigation and flood control of U.S. waterways. In the first six months of 2025, the Company’s revenues earned from contracts with federal government agencies, including the Corps as well as other federal entities such as the U.S. Coast Guard and the U.S. Navy, were approximately 52% of revenues, which is below the average of the three-year period ended December 31, 2024 of 65%. The decrease in the federal government revenue percentage is a result of additional revenues from private customers in the first six months of 2025.</w:t>
      </w: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1" w:name="page22"/>
    <w:bookmarkEnd w:id="21"/>
    <w:p>
      <w:pPr>
        <w:ind w:right="80"/>
        <w:spacing w:after="0" w:line="253" w:lineRule="auto"/>
        <w:rPr>
          <w:sz w:val="20"/>
          <w:szCs w:val="20"/>
          <w:color w:val="auto"/>
        </w:rPr>
      </w:pPr>
      <w:r>
        <w:rPr>
          <w:rFonts w:ascii="Times New Roman" w:cs="Times New Roman" w:eastAsia="Times New Roman" w:hAnsi="Times New Roman"/>
          <w:sz w:val="18"/>
          <w:szCs w:val="18"/>
          <w:color w:val="auto"/>
        </w:rPr>
        <w:t>The Company’s vessels are subject to periodic regulatory dry dock inspections to verify that the vessels have been maintained in accordance with the rules of the U.S. Coast Guard and the American Bureau of Shipping (“ABS”) and that recommended repairs have been satisfactorily completed. Regulatory dry dock frequency is a statutory requirement mandated by the U.S. Coast Guard and the ABS. The Company’s vessels undergo regulatory dry-docks every two to three years or every five years, depending on the vessel type and may also go into dry dock on an as-needed basis for upgrades, maintenance and repairs. During the second quarter of 2025, the Company commenced regulatory dry dock inspections on two dredges, and completed the regulatory dry dock inspections that commenced on two dredges during the first quarter of 2025. By comparison, during the second quarter of 2024 the Company commenced and completed regulatory dry dock inspections on two dredges, and completed the regulatory dry dock inspection that commenced during the first quarter of 2024. The Company has regulatory dry dock inspections planned for a total of seven dredges during 2025. As of the end of the second quarter of 2025, the Company began marketing the previously cold stacked dredge for sale and reclassified it to other current assets in the condensed consolidated balance sheets as of June 30, 2025.</w:t>
      </w:r>
    </w:p>
    <w:p>
      <w:pPr>
        <w:spacing w:after="0" w:line="127"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While the Company continues to reinvest in our core dredging business and renew our dredging fleet, we remain steadfast in our commitment to executing a long-term strategy that maximizes growth opportunities for the Company.</w:t>
      </w:r>
    </w:p>
    <w:p>
      <w:pPr>
        <w:spacing w:after="0" w:line="7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We believe that Great Lakes has established a unique business position with our subsea rock installation (“SRI”) vessel, the </w:t>
      </w:r>
      <w:r>
        <w:rPr>
          <w:rFonts w:ascii="Times New Roman" w:cs="Times New Roman" w:eastAsia="Times New Roman" w:hAnsi="Times New Roman"/>
          <w:sz w:val="18"/>
          <w:szCs w:val="18"/>
          <w:i w:val="1"/>
          <w:iCs w:val="1"/>
          <w:color w:val="auto"/>
        </w:rPr>
        <w:t>Acadia</w:t>
      </w:r>
      <w:r>
        <w:rPr>
          <w:rFonts w:ascii="Times New Roman" w:cs="Times New Roman" w:eastAsia="Times New Roman" w:hAnsi="Times New Roman"/>
          <w:sz w:val="18"/>
          <w:szCs w:val="18"/>
          <w:color w:val="auto"/>
        </w:rPr>
        <w:t xml:space="preserve">, the first and only Jones Act SRI vessel being constructed in the United States, targeting the offshore wind, oil and gas and power and telecommunication industries, both domestically and internationally. In July 2025 the </w:t>
      </w:r>
      <w:r>
        <w:rPr>
          <w:rFonts w:ascii="Times New Roman" w:cs="Times New Roman" w:eastAsia="Times New Roman" w:hAnsi="Times New Roman"/>
          <w:sz w:val="18"/>
          <w:szCs w:val="18"/>
          <w:i w:val="1"/>
          <w:iCs w:val="1"/>
          <w:color w:val="auto"/>
        </w:rPr>
        <w:t>Acadia</w:t>
      </w:r>
      <w:r>
        <w:rPr>
          <w:rFonts w:ascii="Times New Roman" w:cs="Times New Roman" w:eastAsia="Times New Roman" w:hAnsi="Times New Roman"/>
          <w:sz w:val="18"/>
          <w:szCs w:val="18"/>
          <w:color w:val="auto"/>
        </w:rPr>
        <w:t xml:space="preserve"> was launched and is expected to be delivered and operational in 2026. The </w:t>
      </w:r>
      <w:r>
        <w:rPr>
          <w:rFonts w:ascii="Times New Roman" w:cs="Times New Roman" w:eastAsia="Times New Roman" w:hAnsi="Times New Roman"/>
          <w:sz w:val="18"/>
          <w:szCs w:val="18"/>
          <w:i w:val="1"/>
          <w:iCs w:val="1"/>
          <w:color w:val="auto"/>
        </w:rPr>
        <w:t>Acadia</w:t>
      </w:r>
      <w:r>
        <w:rPr>
          <w:rFonts w:ascii="Times New Roman" w:cs="Times New Roman" w:eastAsia="Times New Roman" w:hAnsi="Times New Roman"/>
          <w:sz w:val="18"/>
          <w:szCs w:val="18"/>
          <w:color w:val="auto"/>
        </w:rPr>
        <w:t xml:space="preserve"> has secured offshore wind rock placement contracts for Equinor’s Empire Wind 1 and Ørsted’s Sunrise Wind projects to protect foundations and cables. In addition, during the fourth quarter of 2024, we signed a vessel reservation agreement for the </w:t>
      </w:r>
      <w:r>
        <w:rPr>
          <w:rFonts w:ascii="Times New Roman" w:cs="Times New Roman" w:eastAsia="Times New Roman" w:hAnsi="Times New Roman"/>
          <w:sz w:val="18"/>
          <w:szCs w:val="18"/>
          <w:i w:val="1"/>
          <w:iCs w:val="1"/>
          <w:color w:val="auto"/>
        </w:rPr>
        <w:t>Acadia</w:t>
      </w:r>
      <w:r>
        <w:rPr>
          <w:rFonts w:ascii="Times New Roman" w:cs="Times New Roman" w:eastAsia="Times New Roman" w:hAnsi="Times New Roman"/>
          <w:sz w:val="18"/>
          <w:szCs w:val="18"/>
          <w:color w:val="auto"/>
        </w:rPr>
        <w:t xml:space="preserve"> for another wind project in the United States.</w:t>
      </w:r>
    </w:p>
    <w:p>
      <w:pPr>
        <w:spacing w:after="0" w:line="185"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 xml:space="preserve">On April 16, 2025, the Bureau of Ocean Energy Management issued a temporary pause for Equinor’s Empire Wind 1 project. The pause was resolved shortly thereafter and the project has resumed in accordance with its schedule, which is part of our Offshore Energy backlog. We have secured full utilization of the </w:t>
      </w:r>
      <w:r>
        <w:rPr>
          <w:rFonts w:ascii="Times New Roman" w:cs="Times New Roman" w:eastAsia="Times New Roman" w:hAnsi="Times New Roman"/>
          <w:sz w:val="18"/>
          <w:szCs w:val="18"/>
          <w:i w:val="1"/>
          <w:iCs w:val="1"/>
          <w:color w:val="auto"/>
        </w:rPr>
        <w:t>Acadia</w:t>
      </w:r>
      <w:r>
        <w:rPr>
          <w:rFonts w:ascii="Times New Roman" w:cs="Times New Roman" w:eastAsia="Times New Roman" w:hAnsi="Times New Roman"/>
          <w:sz w:val="18"/>
          <w:szCs w:val="18"/>
          <w:color w:val="auto"/>
        </w:rPr>
        <w:t xml:space="preserve"> for 2026 and are currently bidding work for the </w:t>
      </w:r>
      <w:r>
        <w:rPr>
          <w:rFonts w:ascii="Times New Roman" w:cs="Times New Roman" w:eastAsia="Times New Roman" w:hAnsi="Times New Roman"/>
          <w:sz w:val="18"/>
          <w:szCs w:val="18"/>
          <w:i w:val="1"/>
          <w:iCs w:val="1"/>
          <w:color w:val="auto"/>
        </w:rPr>
        <w:t>Acadia</w:t>
      </w:r>
      <w:r>
        <w:rPr>
          <w:rFonts w:ascii="Times New Roman" w:cs="Times New Roman" w:eastAsia="Times New Roman" w:hAnsi="Times New Roman"/>
          <w:sz w:val="18"/>
          <w:szCs w:val="18"/>
          <w:color w:val="auto"/>
        </w:rPr>
        <w:t xml:space="preserve"> for 2027 and beyond.</w:t>
      </w:r>
    </w:p>
    <w:p>
      <w:pPr>
        <w:spacing w:after="0" w:line="17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 xml:space="preserve">We believe offshore wind remains an important part of the array of technologies required for the U.S. to meet the increasing demand for energy of the U.S. electrical grid. However, in anticipation of delays in U.S. offshore wind projects, we proactively expanded the </w:t>
      </w:r>
      <w:r>
        <w:rPr>
          <w:rFonts w:ascii="Times New Roman" w:cs="Times New Roman" w:eastAsia="Times New Roman" w:hAnsi="Times New Roman"/>
          <w:sz w:val="18"/>
          <w:szCs w:val="18"/>
          <w:i w:val="1"/>
          <w:iCs w:val="1"/>
          <w:color w:val="auto"/>
        </w:rPr>
        <w:t>Acadia’s</w:t>
      </w:r>
      <w:r>
        <w:rPr>
          <w:rFonts w:ascii="Times New Roman" w:cs="Times New Roman" w:eastAsia="Times New Roman" w:hAnsi="Times New Roman"/>
          <w:sz w:val="18"/>
          <w:szCs w:val="18"/>
          <w:color w:val="auto"/>
        </w:rPr>
        <w:t xml:space="preserve"> strategic target markets to include oil and gas pipeline protection, power and telecommunications cable protection, and international offshore wind. This diversification has enabled the evolution of our offshore wind division into a broader Offshore Energy platform. Our strategy is supported by a global shortage of rock placement vessels, and we are actively pursuing opportunities across these sectors to ensure strong and sustained utilization of the </w:t>
      </w:r>
      <w:r>
        <w:rPr>
          <w:rFonts w:ascii="Times New Roman" w:cs="Times New Roman" w:eastAsia="Times New Roman" w:hAnsi="Times New Roman"/>
          <w:sz w:val="18"/>
          <w:szCs w:val="18"/>
          <w:i w:val="1"/>
          <w:iCs w:val="1"/>
          <w:color w:val="auto"/>
        </w:rPr>
        <w:t>Acadia</w:t>
      </w:r>
      <w:r>
        <w:rPr>
          <w:rFonts w:ascii="Times New Roman" w:cs="Times New Roman" w:eastAsia="Times New Roman" w:hAnsi="Times New Roman"/>
          <w:sz w:val="18"/>
          <w:szCs w:val="18"/>
          <w:color w:val="auto"/>
        </w:rPr>
        <w:t xml:space="preserve"> well into the future.</w:t>
      </w:r>
    </w:p>
    <w:p>
      <w:pPr>
        <w:spacing w:after="0" w:line="183"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 xml:space="preserve">On July 4, 2025, the One Big Beautiful Bill Act (OBBBA) was signed into law, which, among other things, accelerated the phaseout or termination of certain energy tax credits added by the Inflation Reduction Act of 2022. These changes could lead to delayed or reduced investment by developers in the U.S. offshore wind industry. As previously stated, the Company had anticipated potential headwinds to domestic offshore wind development and proactively looked to diversify both the sectors and geographical regions which the </w:t>
      </w:r>
      <w:r>
        <w:rPr>
          <w:rFonts w:ascii="Times New Roman" w:cs="Times New Roman" w:eastAsia="Times New Roman" w:hAnsi="Times New Roman"/>
          <w:sz w:val="18"/>
          <w:szCs w:val="18"/>
          <w:i w:val="1"/>
          <w:iCs w:val="1"/>
          <w:color w:val="auto"/>
        </w:rPr>
        <w:t>Acadia</w:t>
      </w:r>
      <w:r>
        <w:rPr>
          <w:rFonts w:ascii="Times New Roman" w:cs="Times New Roman" w:eastAsia="Times New Roman" w:hAnsi="Times New Roman"/>
          <w:sz w:val="18"/>
          <w:szCs w:val="18"/>
          <w:color w:val="auto"/>
        </w:rPr>
        <w:t xml:space="preserve"> can serve.</w:t>
      </w:r>
    </w:p>
    <w:p>
      <w:pPr>
        <w:spacing w:after="0" w:line="180"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We expect to continue to build our offshore energy capabilities, bid on SRI projects and position the Company for growth in the offshore energy markets, as many of our European competitors have done in the international offshore energy markets.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w:t>
      </w:r>
    </w:p>
    <w:p>
      <w:pPr>
        <w:spacing w:after="0" w:line="16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components of net income and Adjusted EBITDA, as defined below, as a percentage of contract revenues for the three and six months ended June 30, 2025 and 2024. The selected financial data presented below have been derived from the Company’s condensed consolidated financial statements; items may not sum due to rounding.</w:t>
      </w:r>
    </w:p>
    <w:p>
      <w:pPr>
        <w:spacing w:after="0" w:line="7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400" w:type="dxa"/>
            <w:vAlign w:val="bottom"/>
          </w:tcPr>
          <w:p>
            <w:pPr>
              <w:spacing w:after="0"/>
              <w:rPr>
                <w:sz w:val="13"/>
                <w:szCs w:val="13"/>
                <w:color w:val="auto"/>
              </w:rPr>
            </w:pPr>
          </w:p>
        </w:tc>
        <w:tc>
          <w:tcPr>
            <w:tcW w:w="276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580" w:type="dxa"/>
            <w:vAlign w:val="bottom"/>
            <w:gridSpan w:val="6"/>
          </w:tcPr>
          <w:p>
            <w:pPr>
              <w:jc w:val="center"/>
              <w:ind w:left="93"/>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1620" w:type="dxa"/>
            <w:vAlign w:val="bottom"/>
            <w:tcBorders>
              <w:bottom w:val="single" w:sz="8" w:color="auto"/>
            </w:tcBorders>
            <w:gridSpan w:val="3"/>
          </w:tcPr>
          <w:p>
            <w:pPr>
              <w:jc w:val="center"/>
              <w:ind w:left="73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4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vMerge w:val="restart"/>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00" w:type="dxa"/>
            <w:vAlign w:val="bottom"/>
            <w:vMerge w:val="restart"/>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4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Contract revenues</w:t>
            </w:r>
          </w:p>
        </w:tc>
        <w:tc>
          <w:tcPr>
            <w:tcW w:w="1100" w:type="dxa"/>
            <w:vAlign w:val="bottom"/>
            <w:tcBorders>
              <w:bottom w:val="single" w:sz="8" w:color="auto"/>
            </w:tcBorders>
          </w:tcPr>
          <w:p>
            <w:pPr>
              <w:jc w:val="right"/>
              <w:ind w:right="33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1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12"/>
                <w:szCs w:val="12"/>
                <w:color w:val="auto"/>
              </w:rPr>
            </w:pPr>
          </w:p>
        </w:tc>
        <w:tc>
          <w:tcPr>
            <w:tcW w:w="1120" w:type="dxa"/>
            <w:vAlign w:val="bottom"/>
            <w:tcBorders>
              <w:bottom w:val="single" w:sz="8" w:color="auto"/>
            </w:tcBorders>
            <w:vMerge w:val="continue"/>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3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vMerge w:val="continue"/>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0"/>
        </w:trPr>
        <w:tc>
          <w:tcPr>
            <w:tcW w:w="3420" w:type="dxa"/>
            <w:vAlign w:val="bottom"/>
            <w:gridSpan w:val="2"/>
            <w:vMerge w:val="continue"/>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100.0%</w:t>
            </w:r>
          </w:p>
        </w:tc>
        <w:tc>
          <w:tcPr>
            <w:tcW w:w="2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100.0%</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60" w:type="dxa"/>
            <w:vAlign w:val="bottom"/>
          </w:tcPr>
          <w:p>
            <w:pPr>
              <w:spacing w:after="0"/>
              <w:rPr>
                <w:sz w:val="18"/>
                <w:szCs w:val="18"/>
                <w:color w:val="auto"/>
              </w:rPr>
            </w:pPr>
          </w:p>
        </w:tc>
        <w:tc>
          <w:tcPr>
            <w:tcW w:w="20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6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Costs of contract revenues</w:t>
            </w:r>
          </w:p>
        </w:tc>
        <w:tc>
          <w:tcPr>
            <w:tcW w:w="13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(81.1)</w:t>
            </w:r>
          </w:p>
        </w:tc>
        <w:tc>
          <w:tcPr>
            <w:tcW w:w="24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(82.5)</w:t>
            </w:r>
          </w:p>
        </w:tc>
        <w:tc>
          <w:tcPr>
            <w:tcW w:w="1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2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(79.5)</w:t>
            </w: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400" w:type="dxa"/>
            <w:vAlign w:val="bottom"/>
            <w:tcBorders>
              <w:top w:val="single" w:sz="8" w:color="CFF0FC"/>
            </w:tcBorders>
          </w:tcPr>
          <w:p>
            <w:pPr>
              <w:ind w:left="40"/>
              <w:spacing w:after="0"/>
              <w:rPr>
                <w:sz w:val="20"/>
                <w:szCs w:val="20"/>
                <w:color w:val="auto"/>
              </w:rPr>
            </w:pPr>
            <w:r>
              <w:rPr>
                <w:rFonts w:ascii="Times New Roman" w:cs="Times New Roman" w:eastAsia="Times New Roman" w:hAnsi="Times New Roman"/>
                <w:sz w:val="18"/>
                <w:szCs w:val="18"/>
                <w:color w:val="auto"/>
              </w:rPr>
              <w:t>Gross profit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280" w:type="dxa"/>
            <w:vAlign w:val="bottom"/>
            <w:tcBorders>
              <w:top w:val="single" w:sz="8" w:color="CFF0F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300" w:type="dxa"/>
            <w:vAlign w:val="bottom"/>
            <w:tcBorders>
              <w:top w:val="single" w:sz="8" w:color="CFF0FC"/>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60" w:type="dxa"/>
            <w:vAlign w:val="bottom"/>
            <w:tcBorders>
              <w:top w:val="single" w:sz="8" w:color="CFF0FC"/>
            </w:tcBorders>
          </w:tcPr>
          <w:p>
            <w:pPr>
              <w:spacing w:after="0"/>
              <w:rPr>
                <w:sz w:val="18"/>
                <w:szCs w:val="18"/>
                <w:color w:val="auto"/>
              </w:rPr>
            </w:pPr>
          </w:p>
        </w:tc>
        <w:tc>
          <w:tcPr>
            <w:tcW w:w="200" w:type="dxa"/>
            <w:vAlign w:val="bottom"/>
            <w:tcBorders>
              <w:top w:val="single" w:sz="8" w:color="CFF0FC"/>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60" w:type="dxa"/>
            <w:vAlign w:val="bottom"/>
            <w:tcBorders>
              <w:top w:val="single" w:sz="8" w:color="CFF0FC"/>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Other (gains) losses</w:t>
            </w:r>
          </w:p>
        </w:tc>
        <w:tc>
          <w:tcPr>
            <w:tcW w:w="162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(0.5)</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(0.8)</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Operating income</w:t>
            </w: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28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300" w:type="dxa"/>
            <w:vAlign w:val="bottom"/>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expense—net</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(2.2)</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(2.5)</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3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00" w:type="dxa"/>
            <w:vAlign w:val="bottom"/>
            <w:tcBorders>
              <w:top w:val="single" w:sz="8" w:color="CFF0FC"/>
            </w:tcBorders>
          </w:tcPr>
          <w:p>
            <w:pPr>
              <w:ind w:left="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80" w:type="dxa"/>
            <w:vAlign w:val="bottom"/>
            <w:tcBorders>
              <w:top w:val="single" w:sz="8" w:color="CFF0F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300" w:type="dxa"/>
            <w:vAlign w:val="bottom"/>
            <w:tcBorders>
              <w:top w:val="single" w:sz="8" w:color="CFF0FC"/>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60" w:type="dxa"/>
            <w:vAlign w:val="bottom"/>
            <w:tcBorders>
              <w:top w:val="single" w:sz="8" w:color="CFF0FC"/>
            </w:tcBorders>
          </w:tcPr>
          <w:p>
            <w:pPr>
              <w:spacing w:after="0"/>
              <w:rPr>
                <w:sz w:val="18"/>
                <w:szCs w:val="18"/>
                <w:color w:val="auto"/>
              </w:rPr>
            </w:pPr>
          </w:p>
        </w:tc>
        <w:tc>
          <w:tcPr>
            <w:tcW w:w="200" w:type="dxa"/>
            <w:vAlign w:val="bottom"/>
            <w:tcBorders>
              <w:top w:val="single" w:sz="8" w:color="CFF0FC"/>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60" w:type="dxa"/>
            <w:vAlign w:val="bottom"/>
            <w:tcBorders>
              <w:top w:val="single" w:sz="8" w:color="CFF0FC"/>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13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(1.8)</w:t>
            </w:r>
          </w:p>
        </w:tc>
        <w:tc>
          <w:tcPr>
            <w:tcW w:w="24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(1.7)</w:t>
            </w:r>
          </w:p>
        </w:tc>
        <w:tc>
          <w:tcPr>
            <w:tcW w:w="1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(2.7)</w:t>
            </w: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400" w:type="dxa"/>
            <w:vAlign w:val="bottom"/>
            <w:tcBorders>
              <w:top w:val="single" w:sz="8" w:color="CFF0FC"/>
            </w:tcBorders>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80" w:type="dxa"/>
            <w:vAlign w:val="bottom"/>
            <w:tcBorders>
              <w:top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300" w:type="dxa"/>
            <w:vAlign w:val="bottom"/>
            <w:tcBorders>
              <w:top w:val="single" w:sz="8" w:color="CFF0FC"/>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60" w:type="dxa"/>
            <w:vAlign w:val="bottom"/>
            <w:tcBorders>
              <w:top w:val="single" w:sz="8" w:color="CFF0FC"/>
            </w:tcBorders>
          </w:tcPr>
          <w:p>
            <w:pPr>
              <w:spacing w:after="0"/>
              <w:rPr>
                <w:sz w:val="18"/>
                <w:szCs w:val="18"/>
                <w:color w:val="auto"/>
              </w:rPr>
            </w:pPr>
          </w:p>
        </w:tc>
        <w:tc>
          <w:tcPr>
            <w:tcW w:w="200" w:type="dxa"/>
            <w:vAlign w:val="bottom"/>
            <w:tcBorders>
              <w:top w:val="single" w:sz="8" w:color="CFF0FC"/>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60" w:type="dxa"/>
            <w:vAlign w:val="bottom"/>
            <w:tcBorders>
              <w:top w:val="single" w:sz="8" w:color="CFF0FC"/>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3400" w:type="dxa"/>
            <w:vAlign w:val="bottom"/>
            <w:tcBorders>
              <w:bottom w:val="single" w:sz="8" w:color="CFF0FC"/>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spacing w:after="0"/>
              <w:rPr>
                <w:sz w:val="17"/>
                <w:szCs w:val="17"/>
                <w:color w:val="auto"/>
              </w:rPr>
            </w:pPr>
          </w:p>
        </w:tc>
        <w:tc>
          <w:tcPr>
            <w:tcW w:w="28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spacing w:after="0"/>
              <w:rPr>
                <w:sz w:val="17"/>
                <w:szCs w:val="17"/>
                <w:color w:val="auto"/>
              </w:rPr>
            </w:pPr>
          </w:p>
        </w:tc>
        <w:tc>
          <w:tcPr>
            <w:tcW w:w="300" w:type="dxa"/>
            <w:vAlign w:val="bottom"/>
            <w:tcBorders>
              <w:bottom w:val="single" w:sz="8" w:color="CFF0FC"/>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spacing w:after="0"/>
              <w:rPr>
                <w:sz w:val="17"/>
                <w:szCs w:val="17"/>
                <w:color w:val="auto"/>
              </w:rPr>
            </w:pPr>
          </w:p>
        </w:tc>
        <w:tc>
          <w:tcPr>
            <w:tcW w:w="6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spacing w:after="0"/>
              <w:rPr>
                <w:sz w:val="17"/>
                <w:szCs w:val="17"/>
                <w:color w:val="auto"/>
              </w:rPr>
            </w:pPr>
          </w:p>
        </w:tc>
        <w:tc>
          <w:tcPr>
            <w:tcW w:w="6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14.4%</w:t>
            </w:r>
          </w:p>
        </w:tc>
        <w:tc>
          <w:tcPr>
            <w:tcW w:w="2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15.2%</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6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6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-1602105</wp:posOffset>
            </wp:positionV>
            <wp:extent cx="11112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-1602105</wp:posOffset>
            </wp:positionV>
            <wp:extent cx="11112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-1602105</wp:posOffset>
            </wp:positionV>
            <wp:extent cx="5143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-1602105</wp:posOffset>
            </wp:positionV>
            <wp:extent cx="5143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-762635</wp:posOffset>
            </wp:positionV>
            <wp:extent cx="11112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-762635</wp:posOffset>
            </wp:positionV>
            <wp:extent cx="11112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-762635</wp:posOffset>
            </wp:positionV>
            <wp:extent cx="5143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-762635</wp:posOffset>
            </wp:positionV>
            <wp:extent cx="5143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-479425</wp:posOffset>
            </wp:positionV>
            <wp:extent cx="11112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-479425</wp:posOffset>
            </wp:positionV>
            <wp:extent cx="11112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-479425</wp:posOffset>
            </wp:positionV>
            <wp:extent cx="5143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-479425</wp:posOffset>
            </wp:positionV>
            <wp:extent cx="5143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-170815</wp:posOffset>
            </wp:positionV>
            <wp:extent cx="11112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-170815</wp:posOffset>
            </wp:positionV>
            <wp:extent cx="11112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-170815</wp:posOffset>
            </wp:positionV>
            <wp:extent cx="5143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-170815</wp:posOffset>
            </wp:positionV>
            <wp:extent cx="5143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326"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Adjusted EBITDA, as provided herein, represents net income from continuing operations, adjusted for net interest expense, income taxes, depreciation and amortization expense, debt extinguishment, accelerated maintenance expense for new international deployments, goodwill or asset impairments and gains on bargain purchase acquisitions. Adjusted EBITDA from continuing operations is not a measure derived in accordance with accounting principles generally accepted in the United States of America (“GAAP”). The Company presents Adjusted EBITDA as an additional measure by which to evaluate the Company’s operating trends. The Company believes that Adjusted EBITDA is a measure frequently used to evaluate performance of companies with substantial leverage and that the Company’s primary stakeholders (i.e., its stockholders, bondholders and banks) use Adjusted EBITDA to evaluate the Company’s period to period performance. Additionally, management believes that Adjusted EBITDA provides a transparent measure of the Company’s recurring operating performance and allows management to readily view operating trends, perform analytical comparisons and identify strategies to improve operating performance. For this reason, the Company uses a measure based upon Adjusted EBITDA to assess performance for purposes of determining compensation under the Company’s incentive plan. Adjusted EBITDA should not be considered an alternative to, or more meaningful than, amounts determined in accordance with GAAP including: (a) operating income as an indicator of operating performance; or (b) cash flows from operations as a measure of liquidity. As such, the Company’s use of Adjusted EBITDA, instead of a GAAP measure, has limitations as an analytical tool, including the inability to determine profitability or liquidity due to the exclusion of accelerated maintenance expense for new international deployments, goodwill or asset impairments, gains on bargain purchase acquisitions, net interest expense and income tax expense and the associated significant cash requirements and the exclusion of depreciation and amortization, which represent significant and unavoidable operating costs given the level of indebtedness and capital expenditures needed to maintain the Company’s business. For these reasons, the Company uses net income to measure the Company’s operating performance and uses Adjusted EBITDA only as a supplement. For the three and six months ended June 30, 2025 and 2024, the Company did not have any adjustments to EBITDA as defined herein. As such, the amounts presented as Adjusted EBITDA herein also represent EBITDA for the periods presented. The following is a reconciliation of Adjusted EBITDA to net income from continuing operations of the Company:</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14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60" w:type="dxa"/>
            <w:vAlign w:val="bottom"/>
            <w:gridSpan w:val="4"/>
          </w:tcPr>
          <w:p>
            <w:pPr>
              <w:jc w:val="center"/>
              <w:ind w:right="21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2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114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3"/>
          </w:tcPr>
          <w:p>
            <w:pPr>
              <w:jc w:val="center"/>
              <w:ind w:left="557"/>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4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20" w:type="dxa"/>
            <w:vAlign w:val="bottom"/>
            <w:gridSpan w:val="3"/>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800" w:type="dxa"/>
            <w:vAlign w:val="bottom"/>
            <w:gridSpan w:val="2"/>
            <w:vMerge w:val="restart"/>
          </w:tcPr>
          <w:p>
            <w:pPr>
              <w:ind w:left="1140"/>
              <w:spacing w:after="0"/>
              <w:rPr>
                <w:sz w:val="20"/>
                <w:szCs w:val="20"/>
                <w:color w:val="auto"/>
              </w:rPr>
            </w:pPr>
            <w:r>
              <w:rPr>
                <w:rFonts w:ascii="Times New Roman" w:cs="Times New Roman" w:eastAsia="Times New Roman" w:hAnsi="Times New Roman"/>
                <w:sz w:val="14"/>
                <w:szCs w:val="14"/>
                <w:color w:val="auto"/>
              </w:rPr>
              <w:t>(in thousands)</w:t>
            </w:r>
          </w:p>
        </w:tc>
        <w:tc>
          <w:tcPr>
            <w:tcW w:w="4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800" w:type="dxa"/>
            <w:vAlign w:val="bottom"/>
            <w:gridSpan w:val="2"/>
            <w:vMerge w:val="continue"/>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7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9,695</w:t>
            </w:r>
          </w:p>
        </w:tc>
        <w:tc>
          <w:tcPr>
            <w:tcW w:w="5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7,673</w:t>
            </w:r>
          </w:p>
        </w:tc>
        <w:tc>
          <w:tcPr>
            <w:tcW w:w="5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43,111</w:t>
            </w:r>
          </w:p>
        </w:tc>
        <w:tc>
          <w:tcPr>
            <w:tcW w:w="74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28,697</w:t>
            </w: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Adjusted for:</w:t>
            </w: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6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Interest expense—net</w:t>
            </w:r>
          </w:p>
        </w:tc>
        <w:tc>
          <w:tcPr>
            <w:tcW w:w="4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4,215</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4,198</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8,666</w:t>
            </w:r>
          </w:p>
        </w:tc>
        <w:tc>
          <w:tcPr>
            <w:tcW w:w="3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8,089</w:t>
            </w: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tax provision</w:t>
            </w: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3,423</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2,842</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15,133</w:t>
            </w: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9,831</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66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10,644</w:t>
            </w:r>
          </w:p>
        </w:tc>
        <w:tc>
          <w:tcPr>
            <w:tcW w:w="2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11,108</w:t>
            </w:r>
          </w:p>
        </w:tc>
        <w:tc>
          <w:tcPr>
            <w:tcW w:w="2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21,175</w:t>
            </w:r>
          </w:p>
        </w:tc>
        <w:tc>
          <w:tcPr>
            <w:tcW w:w="30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22,128</w:t>
            </w:r>
          </w:p>
        </w:tc>
        <w:tc>
          <w:tcPr>
            <w:tcW w:w="80" w:type="dxa"/>
            <w:vAlign w:val="bottom"/>
            <w:tcBorders>
              <w:bottom w:val="single" w:sz="8" w:color="CFF0FC"/>
            </w:tcBorders>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0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Adjusted EBITDA</w:t>
            </w: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27,977</w:t>
            </w: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25,821</w:t>
            </w: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88,085</w:t>
            </w:r>
          </w:p>
        </w:tc>
        <w:tc>
          <w:tcPr>
            <w:tcW w:w="7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68,745</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23</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114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140" w:type="dxa"/>
            <w:vAlign w:val="bottom"/>
            <w:tcBorders>
              <w:bottom w:val="single" w:sz="8" w:color="9A9A9A"/>
            </w:tcBorders>
          </w:tcPr>
          <w:p>
            <w:pPr>
              <w:spacing w:after="0"/>
              <w:rPr>
                <w:sz w:val="24"/>
                <w:szCs w:val="24"/>
                <w:color w:val="auto"/>
              </w:rPr>
            </w:pPr>
          </w:p>
        </w:tc>
        <w:tc>
          <w:tcPr>
            <w:tcW w:w="26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-1079500</wp:posOffset>
            </wp:positionV>
            <wp:extent cx="51435"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-1079500</wp:posOffset>
            </wp:positionV>
            <wp:extent cx="51435"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-1079500</wp:posOffset>
            </wp:positionV>
            <wp:extent cx="51435"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-1079500</wp:posOffset>
            </wp:positionV>
            <wp:extent cx="51435"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color w:val="auto"/>
        </w:rPr>
        <w:t>The Company’s contract revenues by type of work, for the periods indicated, were as follows:</w:t>
      </w:r>
    </w:p>
    <w:p>
      <w:pPr>
        <w:spacing w:after="0" w:line="139"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10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6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Revenues (in thousands)</w:t>
            </w:r>
          </w:p>
        </w:tc>
        <w:tc>
          <w:tcPr>
            <w:tcW w:w="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9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9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2"/>
                <w:szCs w:val="12"/>
                <w:color w:val="auto"/>
              </w:rPr>
            </w:pPr>
          </w:p>
        </w:tc>
        <w:tc>
          <w:tcPr>
            <w:tcW w:w="1100" w:type="dxa"/>
            <w:vAlign w:val="bottom"/>
            <w:tcBorders>
              <w:bottom w:val="single" w:sz="8" w:color="auto"/>
            </w:tcBorders>
          </w:tcPr>
          <w:p>
            <w:pPr>
              <w:ind w:left="300"/>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9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7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2"/>
                <w:szCs w:val="12"/>
                <w:color w:val="auto"/>
              </w:rPr>
            </w:pPr>
          </w:p>
        </w:tc>
        <w:tc>
          <w:tcPr>
            <w:tcW w:w="960" w:type="dxa"/>
            <w:vAlign w:val="bottom"/>
            <w:tcBorders>
              <w:bottom w:val="single" w:sz="8" w:color="auto"/>
            </w:tcBorders>
          </w:tcPr>
          <w:p>
            <w:pPr>
              <w:ind w:left="240"/>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Capital</w:t>
            </w:r>
          </w:p>
        </w:tc>
        <w:tc>
          <w:tcPr>
            <w:tcW w:w="220" w:type="dxa"/>
            <w:vAlign w:val="bottom"/>
            <w:gridSpan w:val="2"/>
            <w:shd w:val="clear" w:color="auto" w:fill="CFF0FC"/>
          </w:tcPr>
          <w:p>
            <w:pPr>
              <w:jc w:val="right"/>
              <w:ind w:right="84"/>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105,674</w:t>
            </w:r>
          </w:p>
        </w:tc>
        <w:tc>
          <w:tcPr>
            <w:tcW w:w="380" w:type="dxa"/>
            <w:vAlign w:val="bottom"/>
            <w:gridSpan w:val="2"/>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70,747</w:t>
            </w:r>
          </w:p>
        </w:tc>
        <w:tc>
          <w:tcPr>
            <w:tcW w:w="20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49.4%</w:t>
            </w:r>
          </w:p>
        </w:tc>
        <w:tc>
          <w:tcPr>
            <w:tcW w:w="300" w:type="dxa"/>
            <w:vAlign w:val="bottom"/>
            <w:gridSpan w:val="2"/>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196,492</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140,647</w:t>
            </w:r>
          </w:p>
        </w:tc>
        <w:tc>
          <w:tcPr>
            <w:tcW w:w="2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39.7%</w:t>
            </w:r>
          </w:p>
        </w:tc>
        <w:tc>
          <w:tcPr>
            <w:tcW w:w="0" w:type="dxa"/>
            <w:vAlign w:val="bottom"/>
          </w:tcPr>
          <w:p>
            <w:pPr>
              <w:spacing w:after="0"/>
              <w:rPr>
                <w:sz w:val="1"/>
                <w:szCs w:val="1"/>
                <w:color w:val="auto"/>
              </w:rPr>
            </w:pPr>
          </w:p>
        </w:tc>
      </w:tr>
      <w:tr>
        <w:trPr>
          <w:trHeight w:val="216"/>
        </w:trPr>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Coastal protection</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65,227</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70,195</w:t>
            </w:r>
          </w:p>
        </w:tc>
        <w:tc>
          <w:tcPr>
            <w:tcW w:w="20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185,831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134,121</w:t>
            </w:r>
          </w:p>
        </w:tc>
        <w:tc>
          <w:tcPr>
            <w:tcW w:w="2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38.6%</w:t>
            </w:r>
          </w:p>
        </w:tc>
        <w:tc>
          <w:tcPr>
            <w:tcW w:w="0" w:type="dxa"/>
            <w:vAlign w:val="bottom"/>
          </w:tcPr>
          <w:p>
            <w:pPr>
              <w:spacing w:after="0"/>
              <w:rPr>
                <w:sz w:val="1"/>
                <w:szCs w:val="1"/>
                <w:color w:val="auto"/>
              </w:rPr>
            </w:pPr>
          </w:p>
        </w:tc>
      </w:tr>
      <w:tr>
        <w:trPr>
          <w:trHeight w:val="216"/>
        </w:trPr>
        <w:tc>
          <w:tcPr>
            <w:tcW w:w="2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Maintenance</w:t>
            </w: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22,854</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29,144</w:t>
            </w:r>
          </w:p>
        </w:tc>
        <w:tc>
          <w:tcPr>
            <w:tcW w:w="20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(21.6)%</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54,297</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93,978</w:t>
            </w:r>
          </w:p>
        </w:tc>
        <w:tc>
          <w:tcPr>
            <w:tcW w:w="2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(42.2)%</w:t>
            </w:r>
          </w:p>
        </w:tc>
        <w:tc>
          <w:tcPr>
            <w:tcW w:w="0" w:type="dxa"/>
            <w:vAlign w:val="bottom"/>
          </w:tcPr>
          <w:p>
            <w:pPr>
              <w:spacing w:after="0"/>
              <w:rPr>
                <w:sz w:val="1"/>
                <w:szCs w:val="1"/>
                <w:color w:val="auto"/>
              </w:rPr>
            </w:pPr>
          </w:p>
        </w:tc>
      </w:tr>
      <w:tr>
        <w:trPr>
          <w:trHeight w:val="20"/>
        </w:trPr>
        <w:tc>
          <w:tcPr>
            <w:tcW w:w="20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2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6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200" w:type="dxa"/>
            <w:vAlign w:val="bottom"/>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193,755</w:t>
            </w:r>
          </w:p>
        </w:tc>
        <w:tc>
          <w:tcPr>
            <w:tcW w:w="200" w:type="dxa"/>
            <w:vAlign w:val="bottom"/>
            <w:vMerge w:val="continue"/>
          </w:tcPr>
          <w:p>
            <w:pPr>
              <w:spacing w:after="0"/>
              <w:rPr>
                <w:sz w:val="18"/>
                <w:szCs w:val="18"/>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170,086</w:t>
            </w:r>
          </w:p>
        </w:tc>
        <w:tc>
          <w:tcPr>
            <w:tcW w:w="20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13.9%</w:t>
            </w:r>
          </w:p>
        </w:tc>
        <w:tc>
          <w:tcPr>
            <w:tcW w:w="80" w:type="dxa"/>
            <w:vAlign w:val="bottom"/>
            <w:vMerge w:val="continue"/>
          </w:tcPr>
          <w:p>
            <w:pPr>
              <w:spacing w:after="0"/>
              <w:rPr>
                <w:sz w:val="18"/>
                <w:szCs w:val="18"/>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436,620</w:t>
            </w:r>
          </w:p>
        </w:tc>
        <w:tc>
          <w:tcPr>
            <w:tcW w:w="200" w:type="dxa"/>
            <w:vAlign w:val="bottom"/>
            <w:vMerge w:val="continue"/>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368,746</w:t>
            </w:r>
          </w:p>
        </w:tc>
        <w:tc>
          <w:tcPr>
            <w:tcW w:w="2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18.4%</w:t>
            </w: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Total revenue was $193.8 million for the three months ended June 30, 2025, up $23.7 million, or 14%, from $170.1 million for the same period in the prior year. For the six months ended June 30, 2025, total revenue was $436.6 million, up $67.9 million, or 18%, from $368.7 million for the same period in the prior year. For the three and six months ended June 30, 2025, the Company experienced a significant increase in capital revenues as compared to the same period in the prior year, driven by strong project performance combined with high utilization, despite having five dredges undergoing regulatory drydockings at various times during the current year period. For the six months ended June 30, 2025, the Company experienced an increase in coastal protection revenues when compared to the prior year period. These increases were partially offset by a decrease in maintenance revenues during the three and six months ended June 30, 2025 and a decrease in coastal protection revenues during the three months ended June 30, 2025.</w:t>
      </w:r>
    </w:p>
    <w:p>
      <w:pPr>
        <w:spacing w:after="0" w:line="10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Capital dredging consists primarily of port expansion projects, which involve the deepening of channels and berthing basins to allow access by larger, deeper draft ships and the provision of land fill used to expand port facilities. This work also includes projects to prepare ports and channels for access by larger vessels into LNG terminals. In addition to port and LNG work, capital projects also include coastal restoration and land reclamations, trench digging for pipelines, tunnels and cables, and other dredging related to the construction of breakwaters, jetties, canals and other marine structures. For the three months ended June 30, 2025, capital dredging revenue was $105.7 million, up $35.0 million, or 49%, compared to $70.7 million for the same period in 2024. For the six months ended June 30, 2025, capital dredging revenue was $196.5 million, up $55.9 million, or 40%, compared to $140.6 million for the same period in 2024. The increase in capital dredging revenues for the three and six months ended June 30, 2025 was mostly due to a higher amount of revenue earned on projects in Texas and Alabama in the current year periods when compared to the same periods in the prior year. This increase is partially offset by a decrease in revenue earned on projects in Virginia in the current year.</w:t>
      </w:r>
    </w:p>
    <w:p>
      <w:pPr>
        <w:spacing w:after="0" w:line="121"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Coastal protection projects involve moving sand from the ocean floor to shoreline locations where erosion threatens shoreline assets. Coastal protection revenue for the quarter ended June 30, 2025 was $65.2 million, a decrease of $5.0 million, or 7%, compared to $70.2 million in the prior year period. The decrease in coastal protection revenue for the three months ended June 30, 2025 was attributable to a decrease in the amount of revenue earned on projects in Alabama and Florida in the current year when compared to the prior year period. This decrease was partially offset by higher revenue earned on projects in New York, New Jersey, Louisiana and Massachusetts in the current quarter. For the six months ended June 30, 2025, coastal protection revenue was $185.8 million, and increase of $51.7 million, or 39%, compared to $134.1 million for the same period in 2024. The increase is attributable to an increase in the amount of revenue earned on projects in New York, New Jersey, Louisiana and Massachusetts in the current year when compared to the prior year period. This increase was partially offset by lower revenue earned on projects in Alabama and Florida in the current year.</w:t>
      </w:r>
    </w:p>
    <w:p>
      <w:pPr>
        <w:spacing w:after="0" w:line="124"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Maintenance dredging consists of the re-dredging of previously deepened waterways and harbors to remove silt, sand and other accumulated sediments. Due to natural sedimentation, most channels generally require maintenance dredging every one to three years, thus creating a recurring source of dredging work that is typically non-deferrable if optimal navigability is to be maintained. In addition, severe weather such as hurricanes, flooding and droughts can also cause the accumulation of sediments and drive the need for maintenance dredging. Maintenance revenue for the second quarter of 2025 was $22.9 million, down $6.2 million, or 22%, from $29.1 million in the same period of 2024. The decrease in maintenance revenues for the three months ended June 30, 2025 was mostly attributable to a decrease in revenue earned on projects in Florida, Texas, Puerto Rico and Mississippi when compared with prior year periods. This decrease was partially offset by an increase in revenue earned on projects in Virginia, South Carolina and Louisiana in the current year period. For the six months ended June 30, 2025, maintenance revenue was $54.3 million, down $39.7 million, or 42%, from $94.0 million in the same period of 2024. The decrease in maintenance revenues for the six months ended June 30, 2025 was mostly attributable to decrease in revenue earned on projects in Florida, Louisiana, Texas, Puerto Rico and Mississippi when compared with prior year period. This decrease was partially offset by an increase in revenue earned on projects in Virginia and South Carolina in the current year period.</w:t>
      </w:r>
    </w:p>
    <w:p>
      <w:pPr>
        <w:spacing w:after="0" w:line="3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24" w:name="page25"/>
    <w:bookmarkEnd w:id="24"/>
    <w:p>
      <w:pPr>
        <w:jc w:val="both"/>
        <w:ind w:right="140"/>
        <w:spacing w:after="0" w:line="272" w:lineRule="auto"/>
        <w:rPr>
          <w:sz w:val="20"/>
          <w:szCs w:val="20"/>
          <w:color w:val="auto"/>
        </w:rPr>
      </w:pPr>
      <w:r>
        <w:rPr>
          <w:rFonts w:ascii="Times New Roman" w:cs="Times New Roman" w:eastAsia="Times New Roman" w:hAnsi="Times New Roman"/>
          <w:sz w:val="17"/>
          <w:szCs w:val="17"/>
          <w:color w:val="auto"/>
        </w:rPr>
        <w:t>Consolidated gross profit for the three months ended June 30, 2025 was $36.6 million, up $6.8 million, or 23%, compared to $29.8 million in same period of 2024. Gross profit margin for the three months ended June 30, 2025 increased to 18.9% from 17.5% in the same period in the prior year. Consolidated gross profit for the six months ended June 30, 2025 was $106.1 million, up $30.7 million, or 41%, compared to $75.4 million in same period of 2024.</w:t>
      </w:r>
    </w:p>
    <w:p>
      <w:pPr>
        <w:spacing w:after="0" w:line="2" w:lineRule="exact"/>
        <w:rPr>
          <w:sz w:val="20"/>
          <w:szCs w:val="20"/>
          <w:color w:val="auto"/>
        </w:rPr>
      </w:pPr>
    </w:p>
    <w:p>
      <w:pPr>
        <w:ind w:right="300"/>
        <w:spacing w:after="0" w:line="253" w:lineRule="auto"/>
        <w:rPr>
          <w:sz w:val="20"/>
          <w:szCs w:val="20"/>
          <w:color w:val="auto"/>
        </w:rPr>
      </w:pPr>
      <w:r>
        <w:rPr>
          <w:rFonts w:ascii="Times New Roman" w:cs="Times New Roman" w:eastAsia="Times New Roman" w:hAnsi="Times New Roman"/>
          <w:sz w:val="18"/>
          <w:szCs w:val="18"/>
          <w:color w:val="auto"/>
        </w:rPr>
        <w:t>Gross profit margin for the six months ended June 30, 2025 increased to 24.3% from 20.5% in the same period in the prior year. The higher gross profit and profit margins experienced for the three and six months ended June 30, 2025 were driven by increased revenues as well as improved utilization and project performance. Additionally, the project mix during the current year period includes a larger proportion of higher margin capital and coastal protection projects than the same period in the prior year.</w:t>
      </w:r>
    </w:p>
    <w:p>
      <w:pPr>
        <w:spacing w:after="0" w:line="12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During the three and six months ended June 30, 2025, general and administrative expenses were $19.5 million and $39.5 million, respectively, compared to $16.2 million and $32.3 million, respectively, for the same period in the prior year. General and administrative expenses for the three and six months ended June 30, 2025 include higher incentive compensation and employee benefit expenses as compared to the same periods in the prior year.</w:t>
      </w:r>
    </w:p>
    <w:p>
      <w:pPr>
        <w:spacing w:after="0" w:line="9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Operating income for the second quarter of 2025 was $17.1 million, up $2.5 million from $14.6 million in the same period of the prior year. Operating income for the six months ended June 30, 2025 was $67.0 million, up $20.9 million from $46.1 million in the same period of the prior year. The increase in operating income for the three and six months ended June 30, 2025 was a result of higher gross profit in the current year periods when compared to the same periods in the prior year, partially offset by higher general and administrative expenses in the current year periods when compared to the same periods in the prior year. The increase in operating income during the six months ended June 30, 2025 was partially offset by a decrease in gains on the sale of assets in the current year period as compared to the prior year period.</w:t>
      </w:r>
    </w:p>
    <w:p>
      <w:pPr>
        <w:spacing w:after="0" w:line="12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For the three months ended June 30, 2025, net interest expense was $4.2 million, unchanged compared to $4.2 million for the same period in the prior year. Net interest expense for the six months ended June 30, 2025 was $8.7 million, $0.6 million higher than $8.1 million in the prior year period. The increase in net interest expense for the three and six months ended June 30, 2025 was primarily due to interest on borrowings under the Second Lien Credit Agreement, executed during the second quarter of 2024, partially offset by a decrease in borrowings under the ABL Credit Agreement during the current year period.</w:t>
      </w:r>
    </w:p>
    <w:p>
      <w:pPr>
        <w:spacing w:after="0" w:line="11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Income tax provision for the three months ended June 30, 2025 was $3.4 million compared to $2.8 million for the same period in the prior year. For the six months ended June 30, 2025, income tax provision was $15.1 million compared to $9.8 million in the prior year period. The effective tax rate for the six months ended June 30, 2025 was 26.0%, while the effective tax rate for the same period of 2024 was 25.5%.</w:t>
      </w:r>
    </w:p>
    <w:p>
      <w:pPr>
        <w:spacing w:after="0" w:line="95" w:lineRule="exact"/>
        <w:rPr>
          <w:sz w:val="20"/>
          <w:szCs w:val="20"/>
          <w:color w:val="auto"/>
        </w:rPr>
      </w:pPr>
    </w:p>
    <w:p>
      <w:pPr>
        <w:ind w:right="380"/>
        <w:spacing w:after="0" w:line="256" w:lineRule="auto"/>
        <w:rPr>
          <w:sz w:val="20"/>
          <w:szCs w:val="20"/>
          <w:color w:val="auto"/>
        </w:rPr>
      </w:pPr>
      <w:r>
        <w:rPr>
          <w:rFonts w:ascii="Times New Roman" w:cs="Times New Roman" w:eastAsia="Times New Roman" w:hAnsi="Times New Roman"/>
          <w:sz w:val="18"/>
          <w:szCs w:val="18"/>
          <w:color w:val="auto"/>
        </w:rPr>
        <w:t>On July 4, 2025, the OBBBA was signed into law, which, among other things, includes a broad range of tax reform provisions that may affect the Company's financial results. The OBBBA allows an elective deduction for domestic research and development, permanent reinstatement of bonus depreciation on qualified property and modifications to the calculation for excess business interest expense limitation under §163(j) to the current tax estimate, among other provisions. The Company is currently evaluating the impact of these provisions. A quantitative estimate of the specific financial effects cannot be reasonably determined at this time due to the complexity of the changes in the tax reform. The impact of those tax provisions in the OBBBA will depend on our facts in each year and anticipated guidance from the U.S. Department of the Treasury.</w:t>
      </w:r>
    </w:p>
    <w:p>
      <w:pPr>
        <w:spacing w:after="0" w:line="187"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Net income for the three months ended June 30, 2025 was $9.7 million, up $2.0 million from $7.7 million in the same period in the prior year. Diluted earnings per share was $0.14 per share for the three months ended June 30, 2025, compared to $0.11 per share for the three months ended June 30, 2024. Net income for the six months ended June 30, 2025 was $43.1 million, up $14.4 million from $28.7 million in the same period in the prior year. Diluted earnings per share was $0.64 per share for the six months ended June 30, 2025, compared to $0.42 per share for the six months ended June 30, 2024. The increase in net income for the three and six months ended June 30, 2025 was primarily driven by the substantial improvement to operating income in the current year period when compared to the same period in the prior year, partially offset by increases in net interest expense and the income tax provision in the current year period when compared to the same period in the prior year.</w:t>
      </w:r>
    </w:p>
    <w:p>
      <w:pPr>
        <w:spacing w:after="0" w:line="12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Adjusted EBITDA (as defined on page 23) for the three months ended June 30, 2025 was $28.0 million, up $2.2 million, from $25.8 million in the same quarter in the prior year. For the six months ended June 30, 2025 Adjusted EBITDA was $88.1 million, up $19.4 million, from $68.7 million in the same period in the prior year. The increase in Adjusted EBITDA during the three and six months ended June 30, 2025 was driven by the increase in gross profit, excluding depreciation partially offset by an increase in general and administrative expense.</w:t>
      </w: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i w:val="1"/>
          <w:iCs w:val="1"/>
          <w:color w:val="auto"/>
        </w:rPr>
        <w:t>Bidding activity and backlog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by type of work, the Company’s backlog as of the dates indicated:</w:t>
      </w:r>
    </w:p>
    <w:p>
      <w:pPr>
        <w:spacing w:after="0" w:line="205" w:lineRule="exact"/>
        <w:rPr>
          <w:sz w:val="20"/>
          <w:szCs w:val="20"/>
          <w:color w:val="auto"/>
        </w:rPr>
      </w:pPr>
    </w:p>
    <w:tbl>
      <w:tblPr>
        <w:tblLayout w:type="fixed"/>
        <w:tblInd w:w="1140" w:type="dxa"/>
        <w:tblCellMar>
          <w:top w:w="0" w:type="dxa"/>
          <w:left w:w="0" w:type="dxa"/>
          <w:bottom w:w="0" w:type="dxa"/>
          <w:right w:w="0" w:type="dxa"/>
        </w:tblCellMar>
      </w:tblPr>
      <w:tr>
        <w:trPr>
          <w:trHeight w:val="190"/>
        </w:trPr>
        <w:tc>
          <w:tcPr>
            <w:tcW w:w="41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Backlog (in thousands)</w:t>
            </w:r>
          </w:p>
        </w:tc>
        <w:tc>
          <w:tcPr>
            <w:tcW w:w="300" w:type="dxa"/>
            <w:vAlign w:val="bottom"/>
          </w:tcPr>
          <w:p>
            <w:pPr>
              <w:spacing w:after="0"/>
              <w:rPr>
                <w:sz w:val="16"/>
                <w:szCs w:val="16"/>
                <w:color w:val="auto"/>
              </w:rPr>
            </w:pPr>
          </w:p>
        </w:tc>
        <w:tc>
          <w:tcPr>
            <w:tcW w:w="130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185"/>
        </w:trPr>
        <w:tc>
          <w:tcPr>
            <w:tcW w:w="4120" w:type="dxa"/>
            <w:vAlign w:val="bottom"/>
            <w:gridSpan w:val="2"/>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Dredging:</w:t>
            </w:r>
          </w:p>
        </w:tc>
        <w:tc>
          <w:tcPr>
            <w:tcW w:w="3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Capital</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751,350</w:t>
            </w:r>
          </w:p>
        </w:tc>
        <w:tc>
          <w:tcPr>
            <w:tcW w:w="3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799,565</w:t>
            </w:r>
          </w:p>
        </w:tc>
        <w:tc>
          <w:tcPr>
            <w:tcW w:w="4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683,131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Coastal protection</w:t>
            </w:r>
          </w:p>
        </w:tc>
        <w:tc>
          <w:tcPr>
            <w:tcW w:w="30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140,012</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328,073</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38,205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Maintenance</w:t>
            </w:r>
          </w:p>
        </w:tc>
        <w:tc>
          <w:tcPr>
            <w:tcW w:w="3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69,051</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66,561</w:t>
            </w: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86,538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dredging backlog</w:t>
            </w:r>
          </w:p>
        </w:tc>
        <w:tc>
          <w:tcPr>
            <w:tcW w:w="3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960,413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1,194,199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807,874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Offshore energy</w:t>
            </w:r>
          </w:p>
        </w:tc>
        <w:tc>
          <w:tcPr>
            <w:tcW w:w="30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52,431</w:t>
            </w:r>
          </w:p>
        </w:tc>
        <w:tc>
          <w:tcPr>
            <w:tcW w:w="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44,945</w:t>
            </w:r>
          </w:p>
        </w:tc>
        <w:tc>
          <w:tcPr>
            <w:tcW w:w="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44,604</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Total backlog</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1,012,844</w:t>
            </w:r>
          </w:p>
        </w:tc>
        <w:tc>
          <w:tcPr>
            <w:tcW w:w="3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1,239,144</w:t>
            </w:r>
          </w:p>
        </w:tc>
        <w:tc>
          <w:tcPr>
            <w:tcW w:w="4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852,478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-170815</wp:posOffset>
            </wp:positionV>
            <wp:extent cx="5143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-170815</wp:posOffset>
            </wp:positionV>
            <wp:extent cx="5143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-170815</wp:posOffset>
            </wp:positionV>
            <wp:extent cx="5969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32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 xml:space="preserve">Total backlog does not include $215.4 million of domestic low bids pending formal award and additional phases (“options”) pending on projects currently in dredging backlog at June 30, 2025 or $14.5 million of contracts and options pending award related to offshore energy contracts. The Company expects to perform on its offshore wind contracts using the </w:t>
      </w:r>
      <w:r>
        <w:rPr>
          <w:rFonts w:ascii="Times New Roman" w:cs="Times New Roman" w:eastAsia="Times New Roman" w:hAnsi="Times New Roman"/>
          <w:sz w:val="18"/>
          <w:szCs w:val="18"/>
          <w:i w:val="1"/>
          <w:iCs w:val="1"/>
          <w:color w:val="auto"/>
        </w:rPr>
        <w:t>Acadia</w:t>
      </w:r>
      <w:r>
        <w:rPr>
          <w:rFonts w:ascii="Times New Roman" w:cs="Times New Roman" w:eastAsia="Times New Roman" w:hAnsi="Times New Roman"/>
          <w:sz w:val="18"/>
          <w:szCs w:val="18"/>
          <w:color w:val="auto"/>
        </w:rPr>
        <w:t>, which was launched in July 2025 and is expected to be delivered and operational in 2026.</w:t>
      </w:r>
    </w:p>
    <w:p>
      <w:pPr>
        <w:spacing w:after="0" w:line="108"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Company’s contract backlog represents our estimate of the revenues that will be realized under the portion of the contracts remaining to be performed. These estimates are based primarily upon the time and costs required to mobilize the necessary assets to and from the project site, the amount and type of material to be dredged and the expected production capabilities of the equipment performing the work. However, these estimates are necessarily subject to variances based upon actual circumstances. Because of these factors, as well as factors affecting the time required to complete each job, backlog is not always indicative of future revenues or profitability. Additionally, 50% of our June 30, 2025 dredging backlog relates to federal government contracts, which can be canceled at any time without penalty to the government, subject to our contractual right to recover our actual committed costs and profit on work performed up to the date of cancellation. Our backlog may fluctuate significantly from quarter to quarter based upon the type and size of the projects we are awarded from the bid market. A quarterly increase or decrease of our backlog does not necessarily result in an improvement or a deterioration of our business. Our backlog includes only those projects for which we have obtained a signed contract with the customer.</w:t>
      </w:r>
    </w:p>
    <w:p>
      <w:pPr>
        <w:spacing w:after="0" w:line="107"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Corps is operating in 2025 under a continuing resolution, enacted on March 15, 2025, which sustains the funding levels established in the prior fiscal year. Additionally, in 2023, the Disaster Relief Supplemental Appropriations Act included $1.5 billion for the Corps to make necessary repairs to infrastructure impacted by hurricanes and other natural disasters, and to initiate beach renourishment projects that will increase coastal resiliency.</w:t>
      </w:r>
    </w:p>
    <w:p>
      <w:pPr>
        <w:spacing w:after="0" w:line="10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Water Resources Development Act (“WRDA”) is on a two-year renewal cycle and includes legislation that authorizes the financing of Corps’ projects for studies, flood and hurricane protection, dredging, ecosystem restoration and other construction projects aimed at improving rivers and harbors in the United States. Previously WRDA of 2022 authorized deepening shipping channels in New York and New Jersey to 55 feet and advanced the Coastal Texas Protection and Restoration Program. In addition to the planned New York and New Jersey deepening, additional large-scale projects are expected to commence in the next two to three years in Tampa Bay, New Haven and Baltimore.</w:t>
      </w:r>
    </w:p>
    <w:p>
      <w:pPr>
        <w:spacing w:after="0" w:line="116"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The domestic dredging bid market for the quarter ended June 30, 2025 was $197.5 million, a $583.5 million decrease compared to the same period in the prior year. The total domestic dredging bid market for the current year period included awards for four coastal protection projects and eight maintenance projects. The Company won 14% of the domestic dredging bids during the second quarter of 2025, which is below the Company’s average of 31% for the three-year period ended December 31, 2024. The second quarter domestic dredging bid market total does not include LNG or offshore energy projects. Variability in contract wins from quarter to quarter is not unusual and one quarter’s win rate is generally not indicative of the win rate the Company is likely to achieve for a full year.</w:t>
      </w:r>
    </w:p>
    <w:p>
      <w:pPr>
        <w:spacing w:after="0" w:line="106"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Company’s contracted dredging backlog was $1.0 billion at June 30, 2025 compared to $1.2 billion of dredging backlog at December 31, 2024. Total dredging backlog does not include $215.4 million of domestic low bids pending formal award and options pending on projects currently in dredging backlog at June 30, 2025. Additionally, it does not include $14.5 million of options pending award related to offshore energy contracts. At December 31, 2024, the total dredging backlog does not include $282.1 million of domestic low bids pending formal award and options pending on projects in dredging backlog or $12.7 million of options pending award related to offshore energy contracts as of that date. Included in the Company’s backlog at June 30, 2025 are three LNG projects, including the Brownsville Ship Channel project for Next Decade Corporation’s Rio Grande LNG project, which is the largest project</w:t>
      </w: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color w:val="auto"/>
        </w:rPr>
        <w:t>undertaken in the Company's history, the Port Arthur LNG Phase 1 project for Marine Dredging and Disposal and the Woodside Louisiana LNG project.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Dredging operations are expected to commence on the Woodside Louisiana LNG project in early 2026.</w:t>
      </w:r>
    </w:p>
    <w:p>
      <w:pPr>
        <w:spacing w:after="0" w:line="13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Capital dredging backlog at June 30, 2025 was $751.4 million, a decrease of $48.2 million from December 31, 2024. During the six months ended June 30, 2025, the Company continued to earn revenue on deepening projects in Texas and Alabama. These deepenings continue the trend of ensuring all East Coast and Gulf of America ports will be able to accommodate the deeper draft vessels currently used on several trade routes. The nation’s governors continue to show commitment to their respective ports through engagement and funding. Finally, Congress has also shown a commitment to ports and waterways, providing record annual budgets for the Corps for port deepening and channel maintenance. In addition to this port work, a greater amount of coastal restoration and rehabilitation projects are being funded in the Gulf Coast region as the states utilize available monies for ecosystem priorities, a portion of which is allocated to dredging.</w:t>
      </w:r>
    </w:p>
    <w:p>
      <w:pPr>
        <w:spacing w:after="0" w:line="10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Coastal protection dredging backlog at June 30, 2025 was $140.0 million, a decrease of $188.1 million from December 31, 2024. During the six months ended June 30, 2025, the Company was awarded one coastal protection project for $9.1 million in Florida. During the six months ended June 30, 2025, the Company continued to earn revenue on coastal protection projects in New York, New Jersey and Florida, which were in dredging backlog at December 31, 2024. Coastal protection and storm impacts continue to provide the major impetus for coastal project investment at federal and state levels. Strong hurricane and storm seasons have resulted in an increase in beach erosion and other damage which adds to the recurring nature of our business and the need for more frequent coastal protection and port maintenance projects.</w:t>
      </w:r>
    </w:p>
    <w:p>
      <w:pPr>
        <w:spacing w:after="0" w:line="120"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Maintenance dredging backlog at June 30, 2025 was $69.1 million, a decrease of $2.5 million from December 31, 2024. During the six months ended June 30, 2025, the Company was awarded maintenance projects for $53.8 million in Texas and Louisiana. During the six months ended June 30, 2025, the Company continued to earn revenue on projects in Virginia, South Carolina, Mississippi, Arkansas and Puerto Rico that were in dredging backlog or classified as low bids pending formal award and options pending at December 31, 2024.</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148"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Company continues to actively manage its liquidity. The Company’s principal sources of liquidity are net cash flows provided by operating activities, proceeds from previous issuances of long-term debt, and draws on our revolver. The Company’s principal uses of cash are to meet debt service requirements, finance capital expenditures, provide working capital and other general corporate purposes.</w:t>
      </w:r>
    </w:p>
    <w:p>
      <w:pPr>
        <w:spacing w:after="0" w:line="108"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The Company’s net cash provided by operating activities for the six months ended June 30, 2025 and 2024 was $117.8 million and $56.8 million, respectively. Normal increases or decreases in the level of working capital relative to the level of operational activity impact cash flow from operating activities. The increase in cash provided by operating activities during the six months ended June 30, 2025, relates primarily to higher current period earnings and an increase in billings in excess of contract revenues, partially offset by the increases in contract revenues in excess of billings, decreases in accounts payable and accrued expenses and other changes in working capital compared to the same period in the prior year.</w:t>
      </w:r>
    </w:p>
    <w:p>
      <w:pPr>
        <w:spacing w:after="0" w:line="116"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 xml:space="preserve">The Company’s net cash flows used in investing activities for the six months ended June 30, 2025 and 2024 were $81.3 million and $55.2 million, respectively. Investing activities primarily relate to investments in our new build program, normal course upgrades and capital maintenance of the Company’s dredging fleet. During the six months ended June 30, 2025, the Company invested $21.9 million in the </w:t>
      </w:r>
      <w:r>
        <w:rPr>
          <w:rFonts w:ascii="Times New Roman" w:cs="Times New Roman" w:eastAsia="Times New Roman" w:hAnsi="Times New Roman"/>
          <w:sz w:val="18"/>
          <w:szCs w:val="18"/>
          <w:i w:val="1"/>
          <w:iCs w:val="1"/>
          <w:color w:val="auto"/>
        </w:rPr>
        <w:t>Amelia Island</w:t>
      </w:r>
      <w:r>
        <w:rPr>
          <w:rFonts w:ascii="Times New Roman" w:cs="Times New Roman" w:eastAsia="Times New Roman" w:hAnsi="Times New Roman"/>
          <w:sz w:val="18"/>
          <w:szCs w:val="18"/>
          <w:color w:val="auto"/>
        </w:rPr>
        <w:t xml:space="preserve"> and $32.6 million in the </w:t>
      </w:r>
      <w:r>
        <w:rPr>
          <w:rFonts w:ascii="Times New Roman" w:cs="Times New Roman" w:eastAsia="Times New Roman" w:hAnsi="Times New Roman"/>
          <w:sz w:val="18"/>
          <w:szCs w:val="18"/>
          <w:i w:val="1"/>
          <w:iCs w:val="1"/>
          <w:color w:val="auto"/>
        </w:rPr>
        <w:t>Acadia</w:t>
      </w:r>
      <w:r>
        <w:rPr>
          <w:rFonts w:ascii="Times New Roman" w:cs="Times New Roman" w:eastAsia="Times New Roman" w:hAnsi="Times New Roman"/>
          <w:sz w:val="18"/>
          <w:szCs w:val="18"/>
          <w:color w:val="auto"/>
        </w:rPr>
        <w:t>, as well as maintenance capital expenditures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Additionally, we paid $5.9 million during the current year period for previously accrued capital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expenditures. These investments were partially offset by the disposition of certain equipment for approximately $0.5 million during the current year.</w:t>
      </w:r>
    </w:p>
    <w:p>
      <w:pPr>
        <w:spacing w:after="0" w:line="10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Company’s net cash flows used in financing activities for the six months ended June 30, 2025 and 2024 totaled $43.8 million and $2.2 million, respectively. The increase in net cash flows used in financing activities is primarily due to the net repayments under the Company’s revolving debt facility during the six months ended June 30, 2025 of $30.0 million, compared to net repayments of $90.0 million on the Company’s revolving debt facility, largely offset by $88.7 million borrowing from the Company’s Second Lien Credit Agreement during six months ended June 30, 2024. Additionally, o</w:t>
      </w:r>
      <w:r>
        <w:rPr>
          <w:rFonts w:ascii="Times New Roman" w:cs="Times New Roman" w:eastAsia="Times New Roman" w:hAnsi="Times New Roman"/>
          <w:sz w:val="18"/>
          <w:szCs w:val="18"/>
          <w:color w:val="212529"/>
        </w:rPr>
        <w:t>n March 14,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 xml:space="preserve">2025, the Company announced that its board of directors approved a share repurchase program, authorizing, but not obligating, the repurchase of up to an aggregate amount of $50.0 million of its common stock from time to time through March 14, 2026. </w:t>
      </w:r>
      <w:r>
        <w:rPr>
          <w:rFonts w:ascii="Times New Roman" w:cs="Times New Roman" w:eastAsia="Times New Roman" w:hAnsi="Times New Roman"/>
          <w:sz w:val="18"/>
          <w:szCs w:val="18"/>
          <w:color w:val="000000"/>
        </w:rPr>
        <w:t>Of the approved amount under the share repurchase</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program, the Company repurchased 1,312,493 shares of common stock for approximately $11.6 million in the aggregate during the six months ended June 30, 2025</w:t>
      </w:r>
      <w:r>
        <w:rPr>
          <w:rFonts w:ascii="Times New Roman" w:cs="Times New Roman" w:eastAsia="Times New Roman" w:hAnsi="Times New Roman"/>
          <w:sz w:val="18"/>
          <w:szCs w:val="18"/>
          <w:color w:val="212529"/>
        </w:rPr>
        <w:t>.</w:t>
      </w:r>
    </w:p>
    <w:p>
      <w:pPr>
        <w:spacing w:after="0" w:line="124"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Company expects to spend between approximately $140 million and $160 million, inclusive of capitalized interest, on capital expenditures in 2025 which is comprised of vessels in our new build program and maintenance capital expenditures. The Company anticipates that remaining new build program payments will be made with cash on hand, future cash flows generated from operations, revolver availability and potential new sources of financing.</w:t>
      </w: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i w:val="1"/>
          <w:iCs w:val="1"/>
          <w:color w:val="auto"/>
        </w:rPr>
        <w:t>Commitments, contingencies and liquidity matters</w:t>
      </w:r>
    </w:p>
    <w:p>
      <w:pPr>
        <w:spacing w:after="0" w:line="162"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Refer to Note 5, Long-term debt, in the Notes to Condensed Consolidated Financial Statements for discussion of the Company’s ABL Credit Agreement, Second Lien Credit Agreement and 2029 Notes. Additionally, refer to Note 9, Commitments and contingencies, in the Notes to Condensed Consolidated Financial Statements for discussion of the Company’s surety agreements.</w:t>
      </w:r>
    </w:p>
    <w:p>
      <w:pPr>
        <w:spacing w:after="0" w:line="9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availability of additional financing will depend on a variety of factors such as market conditions, the general availability of credit, the volume of trading activities, our credit ratings and credit capacity, as well as the possibility that customers or lenders could develop a negative perception of our long-or short-term financial prospects if the level of our business activity decreased due to a market downturn. If internal sources of liquidity prove to be insufficient, we may not be able to successfully obtain additional financing on favorable terms, or at all.</w:t>
      </w:r>
    </w:p>
    <w:p>
      <w:pPr>
        <w:spacing w:after="0" w:line="11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 believes its cash and cash equivalents, its anticipated cash flows from operations and availability under its revolving credit facility will be sufficient to fund the Company’s operations, capital expenditures and the scheduled debt service requirements for the next twelve months. Beyond the next twelve months, the Company’s ability to fund its working capital needs, planned capital expenditures, scheduled debt payments, potential share repurchases and dividends, if any, and to comply with all the financial terms and covenants required under the ABL Credit Agreement, Second Lien Credit Agreement and bonding agreements, depends on its future operating performance and cash flows, which in turn, are subject to prevailing economic conditions and to financial, business and other factors, some of which are beyond the Company’s control.</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policies and estimates</w:t>
      </w:r>
    </w:p>
    <w:p>
      <w:pPr>
        <w:spacing w:after="0" w:line="148" w:lineRule="exact"/>
        <w:rPr>
          <w:sz w:val="20"/>
          <w:szCs w:val="20"/>
          <w:color w:val="auto"/>
        </w:rPr>
      </w:pPr>
    </w:p>
    <w:p>
      <w:pPr>
        <w:jc w:val="both"/>
        <w:ind w:right="340"/>
        <w:spacing w:after="0" w:line="255" w:lineRule="auto"/>
        <w:rPr>
          <w:sz w:val="20"/>
          <w:szCs w:val="20"/>
          <w:color w:val="auto"/>
        </w:rPr>
      </w:pPr>
      <w:r>
        <w:rPr>
          <w:rFonts w:ascii="Times New Roman" w:cs="Times New Roman" w:eastAsia="Times New Roman" w:hAnsi="Times New Roman"/>
          <w:sz w:val="18"/>
          <w:szCs w:val="18"/>
          <w:color w:val="auto"/>
        </w:rPr>
        <w:t>In preparing its consolidated financial statements, the Company follows GAAP, which is described in Note 1, Basis of presentation, to the Company’s Consolidated Financial Statements included in the Company’s Annual Report on Form 10-K for the year ended December 31, 2024. The application of these principles requires significant judgments or an estimation process that can affect the results of operations, financial position and cash flows of the Company, as well as the related footnote disclosures. The Company continually reviews its accounting policies and financial information disclosures.</w:t>
      </w:r>
    </w:p>
    <w:p>
      <w:pPr>
        <w:spacing w:after="0" w:line="3" w:lineRule="exact"/>
        <w:rPr>
          <w:sz w:val="20"/>
          <w:szCs w:val="20"/>
          <w:color w:val="auto"/>
        </w:rPr>
      </w:pPr>
    </w:p>
    <w:p>
      <w:pPr>
        <w:jc w:val="both"/>
        <w:ind w:right="340"/>
        <w:spacing w:after="0" w:line="260" w:lineRule="auto"/>
        <w:rPr>
          <w:sz w:val="20"/>
          <w:szCs w:val="20"/>
          <w:color w:val="auto"/>
        </w:rPr>
      </w:pPr>
      <w:r>
        <w:rPr>
          <w:rFonts w:ascii="Times New Roman" w:cs="Times New Roman" w:eastAsia="Times New Roman" w:hAnsi="Times New Roman"/>
          <w:sz w:val="18"/>
          <w:szCs w:val="18"/>
          <w:color w:val="auto"/>
        </w:rPr>
        <w:t>Except as noted in Note 1, Basis of presentation, of the Company’s financial statements, there have been no material changes in the Company’s critical accounting policies or estimates since December 31, 2024.</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62"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The market risk of the Company’s financial instruments as of June 30, 2025 has not materially changed since December 31, 2024. The market risk profile of the Company on December 31, 2024 is disclosed in Item 7A. “Quantitative and Qualitative Disclosures about Market Risk” of the Company’s Annual Report on Form 10-K for the year ended December 31, 2024.</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Evaluation of disclosure controls and procedures.</w:t>
      </w:r>
    </w:p>
    <w:p>
      <w:pPr>
        <w:spacing w:after="0" w:line="162"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evaluated the effectiveness of the Company’s disclosure controls and procedures, as required by Rule 13a-15(b) and 15d-15(b) under the Securities Exchange Act of 1934 (the “Exchange Act”) as of June 30, 2025. Our disclosure controls and procedures are designed to ensure that information required to be disclosed in the reports that we file or submit under the Exchange Act (a) is accumulated and communicated to our management, including our Chief Executive Officer and Chief Financial Officer, as appropriate to allow timely decisions regarding disclosure and (b) is recorded, processed, summarized and reported within the time periods specified in the SEC’s rules and forms.</w:t>
      </w:r>
    </w:p>
    <w:p>
      <w:pPr>
        <w:spacing w:after="0" w:line="106"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Based on that evaluation, our Chief Executive Officer and Chief Financial Officer concluded that our disclosure controls and procedures were effective as of June 30, 2025 in providing such a reasonable assurance.</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 Changes in internal control over financial reporting.</w:t>
      </w:r>
    </w:p>
    <w:p>
      <w:pPr>
        <w:spacing w:after="0" w:line="16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(as defined in Rule 13a-15(f) under the Exchange Act) during the fiscal quarter ended June 30, 2025 that have materially affected, or are reasonably likely to materially affect, our internal control over financial reporting.</w:t>
      </w: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9, Commitments and contingencies, in the Notes to Condensed Consolidated Financial Statements.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6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There have been no material changes during the six months ended June 30, 2025 to the risk factors previously disclosed in Item 1A. “Risk Factors” in the Company’s Annual Report on Form 10-K for the year ended December 31, 2024, as supplemented by the risk factor previously disclosed in Item 1A. “Risk Factors” in the Company’s Quarterly Report on Form 10-Q for the quarter ended March 31, 2025.</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6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212529"/>
        </w:rPr>
        <w:t>The following table provides information regarding repurchases of the Company’s common stock by the Company during the three months ended June 30, 2025:</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Maximum</w:t>
            </w:r>
          </w:p>
        </w:tc>
      </w:tr>
      <w:tr>
        <w:trPr>
          <w:trHeight w:val="216"/>
        </w:trPr>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Total Number of</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Aggregate Dollar</w:t>
            </w:r>
          </w:p>
        </w:tc>
      </w:tr>
      <w:tr>
        <w:trPr>
          <w:trHeight w:val="216"/>
        </w:trPr>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 Purchased as</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Value That May</w:t>
            </w:r>
          </w:p>
        </w:tc>
      </w:tr>
      <w:tr>
        <w:trPr>
          <w:trHeight w:val="216"/>
        </w:trPr>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Part of Publicly</w:t>
            </w:r>
          </w:p>
        </w:tc>
        <w:tc>
          <w:tcPr>
            <w:tcW w:w="260" w:type="dxa"/>
            <w:vAlign w:val="bottom"/>
          </w:tcPr>
          <w:p>
            <w:pPr>
              <w:spacing w:after="0"/>
              <w:rPr>
                <w:sz w:val="18"/>
                <w:szCs w:val="18"/>
                <w:color w:val="auto"/>
              </w:rPr>
            </w:pPr>
          </w:p>
        </w:tc>
        <w:tc>
          <w:tcPr>
            <w:tcW w:w="168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Yet Be Purchased</w:t>
            </w:r>
          </w:p>
        </w:tc>
      </w:tr>
      <w:tr>
        <w:trPr>
          <w:trHeight w:val="216"/>
        </w:trPr>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Total Number of</w:t>
            </w:r>
          </w:p>
        </w:tc>
        <w:tc>
          <w:tcPr>
            <w:tcW w:w="260" w:type="dxa"/>
            <w:vAlign w:val="bottom"/>
          </w:tcPr>
          <w:p>
            <w:pPr>
              <w:spacing w:after="0"/>
              <w:rPr>
                <w:sz w:val="18"/>
                <w:szCs w:val="18"/>
                <w:color w:val="auto"/>
              </w:rPr>
            </w:pP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Average Price Paid</w:t>
            </w:r>
          </w:p>
        </w:tc>
        <w:tc>
          <w:tcPr>
            <w:tcW w:w="22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Announced Plans or</w:t>
            </w:r>
          </w:p>
        </w:tc>
        <w:tc>
          <w:tcPr>
            <w:tcW w:w="260" w:type="dxa"/>
            <w:vAlign w:val="bottom"/>
          </w:tcPr>
          <w:p>
            <w:pPr>
              <w:spacing w:after="0"/>
              <w:rPr>
                <w:sz w:val="18"/>
                <w:szCs w:val="18"/>
                <w:color w:val="auto"/>
              </w:rPr>
            </w:pPr>
          </w:p>
        </w:tc>
        <w:tc>
          <w:tcPr>
            <w:tcW w:w="168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Under the Plans or</w:t>
            </w:r>
          </w:p>
        </w:tc>
      </w:tr>
      <w:tr>
        <w:trPr>
          <w:trHeight w:val="238"/>
        </w:trPr>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20" w:type="dxa"/>
            <w:vAlign w:val="bottom"/>
          </w:tcPr>
          <w:p>
            <w:pPr>
              <w:spacing w:after="0"/>
              <w:rPr>
                <w:sz w:val="20"/>
                <w:szCs w:val="20"/>
                <w:color w:val="auto"/>
              </w:rPr>
            </w:pPr>
          </w:p>
        </w:tc>
        <w:tc>
          <w:tcPr>
            <w:tcW w:w="16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Shares Purchased</w:t>
            </w: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per Share</w:t>
            </w:r>
          </w:p>
        </w:tc>
        <w:tc>
          <w:tcPr>
            <w:tcW w:w="220" w:type="dxa"/>
            <w:vAlign w:val="bottom"/>
          </w:tcPr>
          <w:p>
            <w:pPr>
              <w:spacing w:after="0"/>
              <w:rPr>
                <w:sz w:val="20"/>
                <w:szCs w:val="20"/>
                <w:color w:val="auto"/>
              </w:rPr>
            </w:pPr>
          </w:p>
        </w:tc>
        <w:tc>
          <w:tcPr>
            <w:tcW w:w="1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Programs</w:t>
            </w:r>
          </w:p>
        </w:tc>
        <w:tc>
          <w:tcPr>
            <w:tcW w:w="2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Programs (1)</w:t>
            </w:r>
          </w:p>
        </w:tc>
        <w:tc>
          <w:tcPr>
            <w:tcW w:w="100" w:type="dxa"/>
            <w:vAlign w:val="bottom"/>
          </w:tcPr>
          <w:p>
            <w:pPr>
              <w:spacing w:after="0"/>
              <w:rPr>
                <w:sz w:val="20"/>
                <w:szCs w:val="20"/>
                <w:color w:val="auto"/>
              </w:rPr>
            </w:pPr>
          </w:p>
        </w:tc>
      </w:tr>
      <w:tr>
        <w:trPr>
          <w:trHeight w:val="210"/>
        </w:trPr>
        <w:tc>
          <w:tcPr>
            <w:tcW w:w="3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April 1, 2025 - April 30, 2025</w:t>
            </w:r>
          </w:p>
        </w:tc>
        <w:tc>
          <w:tcPr>
            <w:tcW w:w="1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839,561</w:t>
            </w:r>
          </w:p>
        </w:tc>
        <w:tc>
          <w:tcPr>
            <w:tcW w:w="52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8.67</w:t>
            </w: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839,561</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39,553,293</w:t>
            </w:r>
          </w:p>
        </w:tc>
        <w:tc>
          <w:tcPr>
            <w:tcW w:w="100" w:type="dxa"/>
            <w:vAlign w:val="bottom"/>
            <w:shd w:val="clear" w:color="auto" w:fill="CFF0FC"/>
          </w:tcPr>
          <w:p>
            <w:pPr>
              <w:spacing w:after="0"/>
              <w:rPr>
                <w:sz w:val="18"/>
                <w:szCs w:val="18"/>
                <w:color w:val="auto"/>
              </w:rPr>
            </w:pP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May 1, 2025 - May 31, 2025</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120,692</w:t>
            </w:r>
          </w:p>
        </w:tc>
        <w:tc>
          <w:tcPr>
            <w:tcW w:w="5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120,692</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38,406,008</w:t>
            </w:r>
          </w:p>
        </w:tc>
        <w:tc>
          <w:tcPr>
            <w:tcW w:w="100" w:type="dxa"/>
            <w:vAlign w:val="bottom"/>
          </w:tcPr>
          <w:p>
            <w:pPr>
              <w:spacing w:after="0"/>
              <w:rPr>
                <w:sz w:val="18"/>
                <w:szCs w:val="18"/>
                <w:color w:val="auto"/>
              </w:rPr>
            </w:pPr>
          </w:p>
        </w:tc>
      </w:tr>
      <w:tr>
        <w:trPr>
          <w:trHeight w:val="216"/>
        </w:trPr>
        <w:tc>
          <w:tcPr>
            <w:tcW w:w="3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June 1, 2025 - June 30, 2025</w:t>
            </w:r>
          </w:p>
        </w:tc>
        <w:tc>
          <w:tcPr>
            <w:tcW w:w="12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38,406,008</w:t>
            </w:r>
          </w:p>
        </w:tc>
        <w:tc>
          <w:tcPr>
            <w:tcW w:w="100" w:type="dxa"/>
            <w:vAlign w:val="bottom"/>
            <w:shd w:val="clear" w:color="auto" w:fill="CFF0FC"/>
          </w:tcPr>
          <w:p>
            <w:pPr>
              <w:spacing w:after="0"/>
              <w:rPr>
                <w:sz w:val="18"/>
                <w:szCs w:val="18"/>
                <w:color w:val="auto"/>
              </w:rPr>
            </w:pPr>
          </w:p>
        </w:tc>
      </w:tr>
      <w:tr>
        <w:trPr>
          <w:trHeight w:val="20"/>
        </w:trPr>
        <w:tc>
          <w:tcPr>
            <w:tcW w:w="38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960,253</w:t>
            </w:r>
          </w:p>
        </w:tc>
        <w:tc>
          <w:tcPr>
            <w:tcW w:w="26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w:t>
            </w:r>
          </w:p>
        </w:tc>
        <w:tc>
          <w:tcPr>
            <w:tcW w:w="2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960,253</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38,406,008</w:t>
            </w:r>
          </w:p>
        </w:tc>
        <w:tc>
          <w:tcPr>
            <w:tcW w:w="100" w:type="dxa"/>
            <w:vAlign w:val="bottom"/>
          </w:tcPr>
          <w:p>
            <w:pPr>
              <w:spacing w:after="0"/>
              <w:rPr>
                <w:sz w:val="18"/>
                <w:szCs w:val="18"/>
                <w:color w:val="auto"/>
              </w:rPr>
            </w:pPr>
          </w:p>
        </w:tc>
      </w:tr>
      <w:tr>
        <w:trPr>
          <w:trHeight w:val="20"/>
        </w:trPr>
        <w:tc>
          <w:tcPr>
            <w:tcW w:w="3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-170815</wp:posOffset>
            </wp:positionV>
            <wp:extent cx="7683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-170815</wp:posOffset>
            </wp:positionV>
            <wp:extent cx="685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-170815</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400" w:firstLine="8"/>
        <w:spacing w:after="0" w:line="282" w:lineRule="auto"/>
        <w:tabs>
          <w:tab w:leader="none" w:pos="255" w:val="left"/>
        </w:tabs>
        <w:numPr>
          <w:ilvl w:val="0"/>
          <w:numId w:val="14"/>
        </w:numPr>
        <w:rPr>
          <w:rFonts w:ascii="Times New Roman" w:cs="Times New Roman" w:eastAsia="Times New Roman" w:hAnsi="Times New Roman"/>
          <w:sz w:val="18"/>
          <w:szCs w:val="18"/>
          <w:color w:val="212529"/>
        </w:rPr>
      </w:pPr>
      <w:r>
        <w:rPr>
          <w:rFonts w:ascii="Times New Roman" w:cs="Times New Roman" w:eastAsia="Times New Roman" w:hAnsi="Times New Roman"/>
          <w:sz w:val="18"/>
          <w:szCs w:val="18"/>
          <w:color w:val="212529"/>
        </w:rPr>
        <w:t>- On March 14, 2025, the Company announced that its board of directors approved a share repurchase program, authorizing, but not obligating, the repurchase of up to an aggregate amount of $50.0 million of its common stock from time to time through March 14, 2026.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Securities Trading Plans of Executive Officers and Directors</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Rule 10b5-1 under the Exchange Act provides an affirmative defense that enables pre-arranged transactions in securities in a manner that avoids concerns about initiating transactions at a future date while possibly in possession of material nonpublic information. Our Securities Trading and Disclosure of Confidential Information policy permits our officers and directors to enter into trading plans designed to comply with Rule 10b5-1.</w:t>
      </w:r>
    </w:p>
    <w:p>
      <w:pPr>
        <w:spacing w:after="0" w:line="18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May 9, 2025, Scott Kornblau, Senior Vice President and Chief Financial Officer, adopted a Rule 10b5-1 trading arrangement that is intended to satisfy the affirmative defense of Rule 10b5-1 (c) and provides for the sale of up to 59,805 shares of our common stock by May 1, 2026.</w:t>
      </w:r>
    </w:p>
    <w:p>
      <w:pPr>
        <w:spacing w:after="0" w:line="162"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During the quarterly period ended June 30, 2025, none of our other officers (as defined in Rule 16a-1(f) under the Exchange Act) or directors adopted or terminated a Rule 10b5-1 trading plan or adopted or terminated a non-Rule 10b5-1 trading arrangement (as defined in Item 408(c) of Regulation S-K).</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5" w:lineRule="exact"/>
        <w:rPr>
          <w:sz w:val="20"/>
          <w:szCs w:val="20"/>
          <w:color w:val="auto"/>
        </w:rPr>
      </w:pPr>
    </w:p>
    <w:p>
      <w:pPr>
        <w:spacing w:after="0"/>
        <w:tabs>
          <w:tab w:leader="none" w:pos="5180" w:val="left"/>
        </w:tabs>
        <w:rPr>
          <w:sz w:val="20"/>
          <w:szCs w:val="20"/>
          <w:color w:val="auto"/>
        </w:rPr>
      </w:pPr>
      <w:r>
        <w:rPr>
          <w:rFonts w:ascii="Times New Roman" w:cs="Times New Roman" w:eastAsia="Times New Roman" w:hAnsi="Times New Roman"/>
          <w:sz w:val="18"/>
          <w:szCs w:val="18"/>
          <w:b w:val="1"/>
          <w:bCs w:val="1"/>
          <w:color w:val="auto"/>
        </w:rPr>
        <w:t>Number</w:t>
      </w:r>
      <w:r>
        <w:rPr>
          <w:sz w:val="20"/>
          <w:szCs w:val="20"/>
          <w:color w:val="auto"/>
        </w:rPr>
        <w:tab/>
      </w:r>
      <w:r>
        <w:rPr>
          <w:rFonts w:ascii="Times New Roman" w:cs="Times New Roman" w:eastAsia="Times New Roman" w:hAnsi="Times New Roman"/>
          <w:sz w:val="18"/>
          <w:szCs w:val="18"/>
          <w:b w:val="1"/>
          <w:bCs w:val="1"/>
          <w:color w:val="auto"/>
        </w:rPr>
        <w:t>Document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20" w:top="1305" w:right="439" w:bottom="1440" w:gutter="0" w:footer="0" w:header="0"/>
        </w:sectPr>
      </w:pP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200025"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200025" cy="8890"/>
                    </a:xfrm>
                    <a:prstGeom prst="rect">
                      <a:avLst/>
                    </a:prstGeom>
                    <a:noFill/>
                  </pic:spPr>
                </pic:pic>
              </a:graphicData>
            </a:graphic>
          </wp:anchor>
        </w:drawing>
      </w:r>
    </w:p>
    <w:p>
      <w:pPr>
        <w:spacing w:after="0" w:line="205"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227">
        <w:r>
          <w:rPr>
            <w:rFonts w:ascii="Times New Roman" w:cs="Times New Roman" w:eastAsia="Times New Roman" w:hAnsi="Times New Roman"/>
            <w:sz w:val="18"/>
            <w:szCs w:val="18"/>
            <w:u w:val="single" w:color="auto"/>
            <w:color w:val="0000FF"/>
          </w:rPr>
          <w:t>10.2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20002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8">
                      <a:extLst>
                        <a:ext uri="{28A0092B-C50C-407E-A947-70E740481C1C}"/>
                      </a:extLst>
                    </a:blip>
                    <a:srcRect/>
                    <a:stretch>
                      <a:fillRect/>
                    </a:stretch>
                  </pic:blipFill>
                  <pic:spPr bwMode="auto">
                    <a:xfrm>
                      <a:off x="0" y="0"/>
                      <a:ext cx="20002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31.1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200025"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9">
                      <a:extLst>
                        <a:ext uri="{28A0092B-C50C-407E-A947-70E740481C1C}"/>
                      </a:extLst>
                    </a:blip>
                    <a:srcRect/>
                    <a:stretch>
                      <a:fillRect/>
                    </a:stretch>
                  </pic:blipFill>
                  <pic:spPr bwMode="auto">
                    <a:xfrm>
                      <a:off x="0" y="0"/>
                      <a:ext cx="200025" cy="8890"/>
                    </a:xfrm>
                    <a:prstGeom prst="rect">
                      <a:avLst/>
                    </a:prstGeom>
                    <a:noFill/>
                  </pic:spPr>
                </pic:pic>
              </a:graphicData>
            </a:graphic>
          </wp:anchor>
        </w:drawing>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31.2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200025"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0">
                      <a:extLst>
                        <a:ext uri="{28A0092B-C50C-407E-A947-70E740481C1C}"/>
                      </a:extLst>
                    </a:blip>
                    <a:srcRect/>
                    <a:stretch>
                      <a:fillRect/>
                    </a:stretch>
                  </pic:blipFill>
                  <pic:spPr bwMode="auto">
                    <a:xfrm>
                      <a:off x="0" y="0"/>
                      <a:ext cx="200025" cy="8890"/>
                    </a:xfrm>
                    <a:prstGeom prst="rect">
                      <a:avLst/>
                    </a:prstGeom>
                    <a:noFill/>
                  </pic:spPr>
                </pic:pic>
              </a:graphicData>
            </a:graphic>
          </wp:anchor>
        </w:drawing>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32.1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20002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1">
                      <a:extLst>
                        <a:ext uri="{28A0092B-C50C-407E-A947-70E740481C1C}"/>
                      </a:extLst>
                    </a:blip>
                    <a:srcRect/>
                    <a:stretch>
                      <a:fillRect/>
                    </a:stretch>
                  </pic:blipFill>
                  <pic:spPr bwMode="auto">
                    <a:xfrm>
                      <a:off x="0" y="0"/>
                      <a:ext cx="200025" cy="8255"/>
                    </a:xfrm>
                    <a:prstGeom prst="rect">
                      <a:avLst/>
                    </a:prstGeom>
                    <a:noFill/>
                  </pic:spPr>
                </pic:pic>
              </a:graphicData>
            </a:graphic>
          </wp:anchor>
        </w:drawing>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32.2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20002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2">
                      <a:extLst>
                        <a:ext uri="{28A0092B-C50C-407E-A947-70E740481C1C}"/>
                      </a:extLst>
                    </a:blip>
                    <a:srcRect/>
                    <a:stretch>
                      <a:fillRect/>
                    </a:stretch>
                  </pic:blipFill>
                  <pic:spPr bwMode="auto">
                    <a:xfrm>
                      <a:off x="0" y="0"/>
                      <a:ext cx="20002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Amendment No. 2 to Second Amended and Restated Revolving Credit and Security Agreement, dated May 2, 2025.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-7620</wp:posOffset>
            </wp:positionV>
            <wp:extent cx="540385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3">
                      <a:extLst>
                        <a:ext uri="{28A0092B-C50C-407E-A947-70E740481C1C}"/>
                      </a:extLst>
                    </a:blip>
                    <a:srcRect/>
                    <a:stretch>
                      <a:fillRect/>
                    </a:stretch>
                  </pic:blipFill>
                  <pic:spPr bwMode="auto">
                    <a:xfrm>
                      <a:off x="0" y="0"/>
                      <a:ext cx="5403850" cy="8890"/>
                    </a:xfrm>
                    <a:prstGeom prst="rect">
                      <a:avLst/>
                    </a:prstGeom>
                    <a:noFill/>
                  </pic:spPr>
                </pic:pic>
              </a:graphicData>
            </a:graphic>
          </wp:anchor>
        </w:drawing>
      </w:r>
    </w:p>
    <w:p>
      <w:pPr>
        <w:spacing w:after="0" w:line="205" w:lineRule="exact"/>
        <w:rPr>
          <w:sz w:val="20"/>
          <w:szCs w:val="20"/>
          <w:color w:val="auto"/>
        </w:rPr>
      </w:pPr>
    </w:p>
    <w:p>
      <w:pPr>
        <w:ind w:right="40"/>
        <w:spacing w:after="0" w:line="282" w:lineRule="auto"/>
        <w:rPr>
          <w:rFonts w:ascii="Times New Roman" w:cs="Times New Roman" w:eastAsia="Times New Roman" w:hAnsi="Times New Roman"/>
          <w:sz w:val="18"/>
          <w:szCs w:val="18"/>
          <w:u w:val="single" w:color="auto"/>
          <w:color w:val="0000FF"/>
        </w:rPr>
      </w:pPr>
      <w:hyperlink r:id="rId227">
        <w:r>
          <w:rPr>
            <w:rFonts w:ascii="Times New Roman" w:cs="Times New Roman" w:eastAsia="Times New Roman" w:hAnsi="Times New Roman"/>
            <w:sz w:val="18"/>
            <w:szCs w:val="18"/>
            <w:u w:val="single" w:color="auto"/>
            <w:color w:val="0000FF"/>
          </w:rPr>
          <w:t>Great Lakes Dredge &amp; Dock Corporation 2021 Long-Term Incentive Plan, as amended (Incorporated by referenced to Great Lakes Dredge &amp;</w:t>
        </w:r>
      </w:hyperlink>
      <w:r>
        <w:rPr>
          <w:rFonts w:ascii="Times New Roman" w:cs="Times New Roman" w:eastAsia="Times New Roman" w:hAnsi="Times New Roman"/>
          <w:sz w:val="18"/>
          <w:szCs w:val="18"/>
          <w:u w:val="single" w:color="auto"/>
          <w:color w:val="0000FF"/>
        </w:rPr>
        <w:t xml:space="preserve"> </w:t>
      </w:r>
      <w:hyperlink r:id="rId227">
        <w:r>
          <w:rPr>
            <w:rFonts w:ascii="Times New Roman" w:cs="Times New Roman" w:eastAsia="Times New Roman" w:hAnsi="Times New Roman"/>
            <w:sz w:val="18"/>
            <w:szCs w:val="18"/>
            <w:u w:val="single" w:color="auto"/>
            <w:color w:val="0000FF"/>
          </w:rPr>
          <w:t>Dock Corporation’s Current Report on Form 8-K filed with the Commission on May 12, 2025). †</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-185420</wp:posOffset>
            </wp:positionV>
            <wp:extent cx="650049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4">
                      <a:extLst>
                        <a:ext uri="{28A0092B-C50C-407E-A947-70E740481C1C}"/>
                      </a:extLst>
                    </a:blip>
                    <a:srcRect/>
                    <a:stretch>
                      <a:fillRect/>
                    </a:stretch>
                  </pic:blipFill>
                  <pic:spPr bwMode="auto">
                    <a:xfrm>
                      <a:off x="0" y="0"/>
                      <a:ext cx="650049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-48260</wp:posOffset>
            </wp:positionV>
            <wp:extent cx="445833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5">
                      <a:extLst>
                        <a:ext uri="{28A0092B-C50C-407E-A947-70E740481C1C}"/>
                      </a:extLst>
                    </a:blip>
                    <a:srcRect/>
                    <a:stretch>
                      <a:fillRect/>
                    </a:stretch>
                  </pic:blipFill>
                  <pic:spPr bwMode="auto">
                    <a:xfrm>
                      <a:off x="0" y="0"/>
                      <a:ext cx="4458335" cy="8255"/>
                    </a:xfrm>
                    <a:prstGeom prst="rect">
                      <a:avLst/>
                    </a:prstGeom>
                    <a:noFill/>
                  </pic:spPr>
                </pic:pic>
              </a:graphicData>
            </a:graphic>
          </wp:anchor>
        </w:drawing>
      </w:r>
    </w:p>
    <w:p>
      <w:pPr>
        <w:spacing w:after="0" w:line="142"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u w:val="single" w:color="auto"/>
          <w:color w:val="0000FF"/>
        </w:rPr>
        <w:t>Certification Pursuant to Rules 13a-14 and 15d-14 under the Securities Exchange Act of 1934, as Adopted Pursuant to Section 302 of the Sarbanes-Oxley Act of 2002.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-185420</wp:posOffset>
            </wp:positionV>
            <wp:extent cx="6304915"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6">
                      <a:extLst>
                        <a:ext uri="{28A0092B-C50C-407E-A947-70E740481C1C}"/>
                      </a:extLst>
                    </a:blip>
                    <a:srcRect/>
                    <a:stretch>
                      <a:fillRect/>
                    </a:stretch>
                  </pic:blipFill>
                  <pic:spPr bwMode="auto">
                    <a:xfrm>
                      <a:off x="0" y="0"/>
                      <a:ext cx="6304915"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-48260</wp:posOffset>
            </wp:positionV>
            <wp:extent cx="1417955"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7">
                      <a:extLst>
                        <a:ext uri="{28A0092B-C50C-407E-A947-70E740481C1C}"/>
                      </a:extLst>
                    </a:blip>
                    <a:srcRect/>
                    <a:stretch>
                      <a:fillRect/>
                    </a:stretch>
                  </pic:blipFill>
                  <pic:spPr bwMode="auto">
                    <a:xfrm>
                      <a:off x="0" y="0"/>
                      <a:ext cx="1417955" cy="8890"/>
                    </a:xfrm>
                    <a:prstGeom prst="rect">
                      <a:avLst/>
                    </a:prstGeom>
                    <a:noFill/>
                  </pic:spPr>
                </pic:pic>
              </a:graphicData>
            </a:graphic>
          </wp:anchor>
        </w:drawing>
      </w:r>
    </w:p>
    <w:p>
      <w:pPr>
        <w:spacing w:after="0" w:line="47"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u w:val="single" w:color="auto"/>
          <w:color w:val="0000FF"/>
        </w:rPr>
        <w:t>Certification Pursuant to Rules 13a-14 and 15d-14 under the Securities Exchange Act of 1934, as Adopted Pursuant to Section 302 of the Sarbanes-Oxley Act of 2002.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-185420</wp:posOffset>
            </wp:positionV>
            <wp:extent cx="6304915"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8">
                      <a:extLst>
                        <a:ext uri="{28A0092B-C50C-407E-A947-70E740481C1C}"/>
                      </a:extLst>
                    </a:blip>
                    <a:srcRect/>
                    <a:stretch>
                      <a:fillRect/>
                    </a:stretch>
                  </pic:blipFill>
                  <pic:spPr bwMode="auto">
                    <a:xfrm>
                      <a:off x="0" y="0"/>
                      <a:ext cx="6304915"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-48260</wp:posOffset>
            </wp:positionV>
            <wp:extent cx="141795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9">
                      <a:extLst>
                        <a:ext uri="{28A0092B-C50C-407E-A947-70E740481C1C}"/>
                      </a:extLst>
                    </a:blip>
                    <a:srcRect/>
                    <a:stretch>
                      <a:fillRect/>
                    </a:stretch>
                  </pic:blipFill>
                  <pic:spPr bwMode="auto">
                    <a:xfrm>
                      <a:off x="0" y="0"/>
                      <a:ext cx="1417955" cy="8255"/>
                    </a:xfrm>
                    <a:prstGeom prst="rect">
                      <a:avLst/>
                    </a:prstGeom>
                    <a:noFill/>
                  </pic:spPr>
                </pic:pic>
              </a:graphicData>
            </a:graphic>
          </wp:anchor>
        </w:drawing>
      </w:r>
    </w:p>
    <w:p>
      <w:pPr>
        <w:spacing w:after="0" w:line="47" w:lineRule="exact"/>
        <w:rPr>
          <w:sz w:val="20"/>
          <w:szCs w:val="20"/>
          <w:color w:val="auto"/>
        </w:rPr>
      </w:pPr>
    </w:p>
    <w:p>
      <w:pPr>
        <w:ind w:right="1220"/>
        <w:spacing w:after="0" w:line="462" w:lineRule="auto"/>
        <w:rPr>
          <w:sz w:val="20"/>
          <w:szCs w:val="20"/>
          <w:color w:val="auto"/>
        </w:rPr>
      </w:pPr>
      <w:r>
        <w:rPr>
          <w:rFonts w:ascii="Times New Roman" w:cs="Times New Roman" w:eastAsia="Times New Roman" w:hAnsi="Times New Roman"/>
          <w:sz w:val="17"/>
          <w:szCs w:val="17"/>
          <w:u w:val="single" w:color="auto"/>
          <w:color w:val="0000FF"/>
        </w:rPr>
        <w:t>Certification Pursuant to 18 U.S.C. Section 1350, as Adopted Pursuant to Section 906 of the Sarbanes-Oxley Act of 2002. ** Certification Pursuant to 18 U.S.C. Section 1350, as Adopted Pursuant to Section 906 of the Sarbanes-Oxley Act of 2002.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-354330</wp:posOffset>
            </wp:positionV>
            <wp:extent cx="571817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0">
                      <a:extLst>
                        <a:ext uri="{28A0092B-C50C-407E-A947-70E740481C1C}"/>
                      </a:extLst>
                    </a:blip>
                    <a:srcRect/>
                    <a:stretch>
                      <a:fillRect/>
                    </a:stretch>
                  </pic:blipFill>
                  <pic:spPr bwMode="auto">
                    <a:xfrm>
                      <a:off x="0" y="0"/>
                      <a:ext cx="571817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-139700</wp:posOffset>
            </wp:positionV>
            <wp:extent cx="571817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1">
                      <a:extLst>
                        <a:ext uri="{28A0092B-C50C-407E-A947-70E740481C1C}"/>
                      </a:extLst>
                    </a:blip>
                    <a:srcRect/>
                    <a:stretch>
                      <a:fillRect/>
                    </a:stretch>
                  </pic:blipFill>
                  <pic:spPr bwMode="auto">
                    <a:xfrm>
                      <a:off x="0" y="0"/>
                      <a:ext cx="5718175" cy="8255"/>
                    </a:xfrm>
                    <a:prstGeom prst="rect">
                      <a:avLst/>
                    </a:prstGeom>
                    <a:noFill/>
                  </pic:spPr>
                </pic:pic>
              </a:graphicData>
            </a:graphic>
          </wp:anchor>
        </w:drawing>
      </w:r>
    </w:p>
    <w:p>
      <w:pPr>
        <w:spacing w:after="0" w:line="138" w:lineRule="exact"/>
        <w:rPr>
          <w:sz w:val="20"/>
          <w:szCs w:val="20"/>
          <w:color w:val="auto"/>
        </w:rPr>
      </w:pPr>
    </w:p>
    <w:p>
      <w:pPr>
        <w:sectPr>
          <w:pgSz w:w="11900" w:h="16838" w:orient="portrait"/>
          <w:cols w:equalWidth="0" w:num="2">
            <w:col w:w="320" w:space="600"/>
            <w:col w:w="10220"/>
          </w:cols>
          <w:pgMar w:left="320" w:top="1305" w:right="439" w:bottom="1440" w:gutter="0" w:footer="0" w:header="0"/>
          <w:type w:val="continuous"/>
        </w:sectPr>
      </w:pPr>
    </w:p>
    <w:tbl>
      <w:tblPr>
        <w:tblLayout w:type="fixed"/>
        <w:tblInd w:w="0" w:type="dxa"/>
        <w:tblCellMar>
          <w:top w:w="0" w:type="dxa"/>
          <w:left w:w="0" w:type="dxa"/>
          <w:bottom w:w="0" w:type="dxa"/>
          <w:right w:w="0" w:type="dxa"/>
        </w:tblCellMar>
      </w:tblPr>
      <w:tr>
        <w:trPr>
          <w:trHeight w:val="234"/>
        </w:trPr>
        <w:tc>
          <w:tcPr>
            <w:tcW w:w="6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96"/>
              </w:rPr>
              <w:t>101</w:t>
            </w:r>
          </w:p>
        </w:tc>
        <w:tc>
          <w:tcPr>
            <w:tcW w:w="1054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9"/>
              </w:rPr>
              <w:t>Interactive Data Files pursuant to Rule 405 of Regulation S-T formatted in Inline Extensible Business Reporting Language ("Inline XBRL") *</w:t>
            </w:r>
          </w:p>
        </w:tc>
      </w:tr>
      <w:tr>
        <w:trPr>
          <w:trHeight w:val="338"/>
        </w:trPr>
        <w:tc>
          <w:tcPr>
            <w:tcW w:w="6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96"/>
              </w:rPr>
              <w:t>104</w:t>
            </w:r>
          </w:p>
        </w:tc>
        <w:tc>
          <w:tcPr>
            <w:tcW w:w="105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Cover Page Interactive Data File (formatted in Inline XBRL and contained in Exhibit 101) *</w:t>
            </w:r>
          </w:p>
        </w:tc>
      </w:tr>
    </w:tbl>
    <w:p>
      <w:pPr>
        <w:spacing w:after="0" w:line="346" w:lineRule="exact"/>
        <w:rPr>
          <w:sz w:val="20"/>
          <w:szCs w:val="20"/>
          <w:color w:val="auto"/>
        </w:rPr>
      </w:pPr>
    </w:p>
    <w:p>
      <w:pPr>
        <w:ind w:left="320" w:hanging="312"/>
        <w:spacing w:after="0"/>
        <w:tabs>
          <w:tab w:leader="none" w:pos="3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Furnished herewith</w:t>
      </w:r>
    </w:p>
    <w:p>
      <w:pPr>
        <w:spacing w:after="0" w:line="9" w:lineRule="exact"/>
        <w:rPr>
          <w:sz w:val="20"/>
          <w:szCs w:val="20"/>
          <w:color w:val="auto"/>
        </w:rPr>
      </w:pPr>
    </w:p>
    <w:p>
      <w:pPr>
        <w:ind w:left="320" w:hanging="312"/>
        <w:spacing w:after="0"/>
        <w:tabs>
          <w:tab w:leader="none" w:pos="3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305" w:right="439" w:bottom="1440" w:gutter="0" w:footer="0" w:header="0"/>
          <w:type w:val="continuous"/>
        </w:sectPr>
      </w:pPr>
    </w:p>
    <w:bookmarkStart w:id="30" w:name="page31"/>
    <w:bookmarkEnd w:id="3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6640"/>
        <w:spacing w:after="0"/>
        <w:rPr>
          <w:sz w:val="20"/>
          <w:szCs w:val="20"/>
          <w:color w:val="auto"/>
        </w:rPr>
      </w:pPr>
      <w:r>
        <w:rPr>
          <w:rFonts w:ascii="Times New Roman" w:cs="Times New Roman" w:eastAsia="Times New Roman" w:hAnsi="Times New Roman"/>
          <w:sz w:val="18"/>
          <w:szCs w:val="18"/>
          <w:color w:val="auto"/>
        </w:rPr>
        <w:t>Great Lakes Dredge &amp; Dock Corporation</w:t>
      </w:r>
    </w:p>
    <w:p>
      <w:pPr>
        <w:spacing w:after="0" w:line="27" w:lineRule="exact"/>
        <w:rPr>
          <w:sz w:val="20"/>
          <w:szCs w:val="20"/>
          <w:color w:val="auto"/>
        </w:rPr>
      </w:pPr>
    </w:p>
    <w:p>
      <w:pPr>
        <w:ind w:left="6640"/>
        <w:spacing w:after="0"/>
        <w:rPr>
          <w:sz w:val="20"/>
          <w:szCs w:val="20"/>
          <w:color w:val="auto"/>
        </w:rPr>
      </w:pPr>
      <w:r>
        <w:rPr>
          <w:rFonts w:ascii="Times New Roman" w:cs="Times New Roman" w:eastAsia="Times New Roman" w:hAnsi="Times New Roman"/>
          <w:sz w:val="18"/>
          <w:szCs w:val="18"/>
          <w:color w:val="auto"/>
        </w:rPr>
        <w:t>(registrant)</w:t>
      </w:r>
    </w:p>
    <w:p>
      <w:pPr>
        <w:spacing w:after="0" w:line="234" w:lineRule="exact"/>
        <w:rPr>
          <w:sz w:val="20"/>
          <w:szCs w:val="20"/>
          <w:color w:val="auto"/>
        </w:rPr>
      </w:pPr>
    </w:p>
    <w:p>
      <w:pPr>
        <w:ind w:left="6640"/>
        <w:spacing w:after="0"/>
        <w:tabs>
          <w:tab w:leader="none" w:pos="84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w:t>
      </w:r>
      <w:r>
        <w:rPr>
          <w:rFonts w:ascii="Times New Roman" w:cs="Times New Roman" w:eastAsia="Times New Roman" w:hAnsi="Times New Roman"/>
          <w:sz w:val="12"/>
          <w:szCs w:val="12"/>
          <w:color w:val="auto"/>
        </w:rPr>
        <w:t>cott</w:t>
      </w:r>
      <w:r>
        <w:rPr>
          <w:rFonts w:ascii="Times New Roman" w:cs="Times New Roman" w:eastAsia="Times New Roman" w:hAnsi="Times New Roman"/>
          <w:sz w:val="18"/>
          <w:szCs w:val="18"/>
          <w:color w:val="auto"/>
        </w:rPr>
        <w:t xml:space="preserve"> K</w:t>
      </w:r>
      <w:r>
        <w:rPr>
          <w:rFonts w:ascii="Times New Roman" w:cs="Times New Roman" w:eastAsia="Times New Roman" w:hAnsi="Times New Roman"/>
          <w:sz w:val="12"/>
          <w:szCs w:val="12"/>
          <w:color w:val="auto"/>
        </w:rPr>
        <w:t>ornblau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4531360</wp:posOffset>
            </wp:positionH>
            <wp:positionV relativeFrom="paragraph">
              <wp:posOffset>17145</wp:posOffset>
            </wp:positionV>
            <wp:extent cx="260604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3">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21" w:lineRule="exact"/>
        <w:rPr>
          <w:sz w:val="20"/>
          <w:szCs w:val="20"/>
          <w:color w:val="auto"/>
        </w:rPr>
      </w:pPr>
    </w:p>
    <w:p>
      <w:pPr>
        <w:jc w:val="center"/>
        <w:ind w:left="7120"/>
        <w:spacing w:after="0"/>
        <w:rPr>
          <w:sz w:val="20"/>
          <w:szCs w:val="20"/>
          <w:color w:val="auto"/>
        </w:rPr>
      </w:pPr>
      <w:r>
        <w:rPr>
          <w:rFonts w:ascii="Times New Roman" w:cs="Times New Roman" w:eastAsia="Times New Roman" w:hAnsi="Times New Roman"/>
          <w:sz w:val="13"/>
          <w:szCs w:val="13"/>
          <w:b w:val="1"/>
          <w:bCs w:val="1"/>
          <w:color w:val="auto"/>
        </w:rPr>
        <w:t>Scott Kornblau</w:t>
      </w:r>
    </w:p>
    <w:p>
      <w:pPr>
        <w:jc w:val="center"/>
        <w:ind w:left="7120"/>
        <w:spacing w:after="0"/>
        <w:rPr>
          <w:sz w:val="20"/>
          <w:szCs w:val="20"/>
          <w:color w:val="auto"/>
        </w:rPr>
      </w:pPr>
      <w:r>
        <w:rPr>
          <w:rFonts w:ascii="Times New Roman" w:cs="Times New Roman" w:eastAsia="Times New Roman" w:hAnsi="Times New Roman"/>
          <w:sz w:val="13"/>
          <w:szCs w:val="13"/>
          <w:b w:val="1"/>
          <w:bCs w:val="1"/>
          <w:color w:val="auto"/>
        </w:rPr>
        <w:t>Senior Vice President and Chief Financial Officer</w:t>
      </w:r>
    </w:p>
    <w:p>
      <w:pPr>
        <w:jc w:val="center"/>
        <w:ind w:left="7120"/>
        <w:spacing w:after="0"/>
        <w:rPr>
          <w:sz w:val="20"/>
          <w:szCs w:val="20"/>
          <w:color w:val="auto"/>
        </w:rPr>
      </w:pPr>
      <w:r>
        <w:rPr>
          <w:rFonts w:ascii="Times New Roman" w:cs="Times New Roman" w:eastAsia="Times New Roman" w:hAnsi="Times New Roman"/>
          <w:sz w:val="13"/>
          <w:szCs w:val="13"/>
          <w:b w:val="1"/>
          <w:bCs w:val="1"/>
          <w:color w:val="auto"/>
        </w:rPr>
        <w:t>(Principal Financial Officer and Duly Authorized Officer)</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5, 2025</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31" w:name="page32"/>
    <w:bookmarkEnd w:id="31"/>
    <w:p>
      <w:pPr>
        <w:ind w:left="2320"/>
        <w:spacing w:after="0"/>
        <w:rPr>
          <w:sz w:val="20"/>
          <w:szCs w:val="20"/>
          <w:color w:val="auto"/>
        </w:rPr>
      </w:pPr>
      <w:r>
        <w:rPr>
          <w:rFonts w:ascii="Times New Roman" w:cs="Times New Roman" w:eastAsia="Times New Roman" w:hAnsi="Times New Roman"/>
          <w:sz w:val="22"/>
          <w:szCs w:val="22"/>
          <w:b w:val="1"/>
          <w:bCs w:val="1"/>
          <w:color w:val="auto"/>
        </w:rPr>
        <w:t>AMENDMENT NO. 2 TO SECOND AMENDED AND RESTATED</w:t>
      </w:r>
    </w:p>
    <w:p>
      <w:pPr>
        <w:spacing w:after="0" w:line="45"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22"/>
          <w:szCs w:val="22"/>
          <w:b w:val="1"/>
          <w:bCs w:val="1"/>
          <w:color w:val="auto"/>
        </w:rPr>
        <w:t>REVOLVING CREDIT AND SECURITY AGREEMENT</w:t>
      </w:r>
    </w:p>
    <w:p>
      <w:pPr>
        <w:spacing w:after="0" w:line="205" w:lineRule="exact"/>
        <w:rPr>
          <w:sz w:val="20"/>
          <w:szCs w:val="20"/>
          <w:color w:val="auto"/>
        </w:rPr>
      </w:pPr>
    </w:p>
    <w:p>
      <w:pPr>
        <w:jc w:val="both"/>
        <w:ind w:firstLine="1497"/>
        <w:spacing w:after="0" w:line="245" w:lineRule="auto"/>
        <w:rPr>
          <w:sz w:val="20"/>
          <w:szCs w:val="20"/>
          <w:color w:val="auto"/>
        </w:rPr>
      </w:pPr>
      <w:r>
        <w:rPr>
          <w:rFonts w:ascii="Times New Roman" w:cs="Times New Roman" w:eastAsia="Times New Roman" w:hAnsi="Times New Roman"/>
          <w:sz w:val="21"/>
          <w:szCs w:val="21"/>
          <w:color w:val="auto"/>
        </w:rPr>
        <w:t>This AMENDMENT NO. 2 TO SECOND AMENDED AND RESTATED REVOLVING CREDIT AND SECURITY AGREEMENT ("</w:t>
      </w:r>
      <w:r>
        <w:rPr>
          <w:rFonts w:ascii="Times New Roman" w:cs="Times New Roman" w:eastAsia="Times New Roman" w:hAnsi="Times New Roman"/>
          <w:sz w:val="21"/>
          <w:szCs w:val="21"/>
          <w:u w:val="single" w:color="auto"/>
          <w:color w:val="auto"/>
        </w:rPr>
        <w:t>Amendment</w:t>
      </w:r>
      <w:r>
        <w:rPr>
          <w:rFonts w:ascii="Times New Roman" w:cs="Times New Roman" w:eastAsia="Times New Roman" w:hAnsi="Times New Roman"/>
          <w:sz w:val="21"/>
          <w:szCs w:val="21"/>
          <w:color w:val="auto"/>
        </w:rPr>
        <w:t>") is dated as of May 2, 2025, and is entered into by and among GREAT LAKES DREDGE &amp; DOCK CORPORATION, a Delaware corporation ("</w:t>
      </w:r>
      <w:r>
        <w:rPr>
          <w:rFonts w:ascii="Times New Roman" w:cs="Times New Roman" w:eastAsia="Times New Roman" w:hAnsi="Times New Roman"/>
          <w:sz w:val="21"/>
          <w:szCs w:val="21"/>
          <w:u w:val="single" w:color="auto"/>
          <w:color w:val="auto"/>
        </w:rPr>
        <w:t>GLDD</w:t>
      </w:r>
      <w:r>
        <w:rPr>
          <w:rFonts w:ascii="Times New Roman" w:cs="Times New Roman" w:eastAsia="Times New Roman" w:hAnsi="Times New Roman"/>
          <w:sz w:val="21"/>
          <w:szCs w:val="21"/>
          <w:color w:val="auto"/>
        </w:rPr>
        <w:t>"), GREAT LAKES DREDGE &amp; DOCK COMPANY, LLC, a Delaware limited liability company ("</w:t>
      </w:r>
      <w:r>
        <w:rPr>
          <w:rFonts w:ascii="Times New Roman" w:cs="Times New Roman" w:eastAsia="Times New Roman" w:hAnsi="Times New Roman"/>
          <w:sz w:val="21"/>
          <w:szCs w:val="21"/>
          <w:u w:val="single" w:color="auto"/>
          <w:color w:val="auto"/>
        </w:rPr>
        <w:t>GLDD LLC</w:t>
      </w:r>
      <w:r>
        <w:rPr>
          <w:rFonts w:ascii="Times New Roman" w:cs="Times New Roman" w:eastAsia="Times New Roman" w:hAnsi="Times New Roman"/>
          <w:sz w:val="21"/>
          <w:szCs w:val="21"/>
          <w:color w:val="auto"/>
        </w:rPr>
        <w:t>"), NASDI HOLDINGS, LLC, a Delaware limited liability company ("</w:t>
      </w:r>
      <w:r>
        <w:rPr>
          <w:rFonts w:ascii="Times New Roman" w:cs="Times New Roman" w:eastAsia="Times New Roman" w:hAnsi="Times New Roman"/>
          <w:sz w:val="21"/>
          <w:szCs w:val="21"/>
          <w:u w:val="single" w:color="auto"/>
          <w:color w:val="auto"/>
        </w:rPr>
        <w:t>NASDI</w:t>
      </w:r>
      <w:r>
        <w:rPr>
          <w:rFonts w:ascii="Times New Roman" w:cs="Times New Roman" w:eastAsia="Times New Roman" w:hAnsi="Times New Roman"/>
          <w:sz w:val="21"/>
          <w:szCs w:val="21"/>
          <w:color w:val="auto"/>
        </w:rPr>
        <w:t xml:space="preserve"> ), GREAT LAKES ENVIRONMENTAL &amp; INFRASTRUCTURE SOLUTIONS, LLC, a Delaware limited liability company ("</w:t>
      </w:r>
      <w:r>
        <w:rPr>
          <w:rFonts w:ascii="Times New Roman" w:cs="Times New Roman" w:eastAsia="Times New Roman" w:hAnsi="Times New Roman"/>
          <w:sz w:val="21"/>
          <w:szCs w:val="21"/>
          <w:u w:val="single" w:color="auto"/>
          <w:color w:val="auto"/>
        </w:rPr>
        <w:t>Solutions</w:t>
      </w:r>
      <w:r>
        <w:rPr>
          <w:rFonts w:ascii="Times New Roman" w:cs="Times New Roman" w:eastAsia="Times New Roman" w:hAnsi="Times New Roman"/>
          <w:sz w:val="21"/>
          <w:szCs w:val="21"/>
          <w:color w:val="auto"/>
        </w:rPr>
        <w:t>"), GREAT LAKES U.S. FLEET MANAGEMENT, LLC, a Delaware limited liability company ("</w:t>
      </w:r>
      <w:r>
        <w:rPr>
          <w:rFonts w:ascii="Times New Roman" w:cs="Times New Roman" w:eastAsia="Times New Roman" w:hAnsi="Times New Roman"/>
          <w:sz w:val="21"/>
          <w:szCs w:val="21"/>
          <w:u w:val="single" w:color="auto"/>
          <w:color w:val="auto"/>
        </w:rPr>
        <w:t>Fleet</w:t>
      </w:r>
      <w:r>
        <w:rPr>
          <w:rFonts w:ascii="Times New Roman" w:cs="Times New Roman" w:eastAsia="Times New Roman" w:hAnsi="Times New Roman"/>
          <w:sz w:val="21"/>
          <w:szCs w:val="21"/>
          <w:color w:val="auto"/>
        </w:rPr>
        <w:t>"), DREWS SERVICES LLC, a South Carolina limited liability company ("</w:t>
      </w:r>
      <w:r>
        <w:rPr>
          <w:rFonts w:ascii="Times New Roman" w:cs="Times New Roman" w:eastAsia="Times New Roman" w:hAnsi="Times New Roman"/>
          <w:sz w:val="21"/>
          <w:szCs w:val="21"/>
          <w:u w:val="single" w:color="auto"/>
          <w:color w:val="auto"/>
        </w:rPr>
        <w:t>Drews Services</w:t>
      </w:r>
      <w:r>
        <w:rPr>
          <w:rFonts w:ascii="Times New Roman" w:cs="Times New Roman" w:eastAsia="Times New Roman" w:hAnsi="Times New Roman"/>
          <w:sz w:val="21"/>
          <w:szCs w:val="21"/>
          <w:color w:val="auto"/>
        </w:rPr>
        <w:t>") (GLDD, GLDD LLC, NASDI, Solutions, Fleet and Drews Services, and each Person joined hereto as a borrower from time to time, collectively, the "</w:t>
      </w:r>
      <w:r>
        <w:rPr>
          <w:rFonts w:ascii="Times New Roman" w:cs="Times New Roman" w:eastAsia="Times New Roman" w:hAnsi="Times New Roman"/>
          <w:sz w:val="21"/>
          <w:szCs w:val="21"/>
          <w:u w:val="single" w:color="auto"/>
          <w:color w:val="auto"/>
        </w:rPr>
        <w:t>Borrowers</w:t>
      </w:r>
      <w:r>
        <w:rPr>
          <w:rFonts w:ascii="Times New Roman" w:cs="Times New Roman" w:eastAsia="Times New Roman" w:hAnsi="Times New Roman"/>
          <w:sz w:val="21"/>
          <w:szCs w:val="21"/>
          <w:color w:val="auto"/>
        </w:rPr>
        <w:t>", and each a "</w:t>
      </w:r>
      <w:r>
        <w:rPr>
          <w:rFonts w:ascii="Times New Roman" w:cs="Times New Roman" w:eastAsia="Times New Roman" w:hAnsi="Times New Roman"/>
          <w:sz w:val="21"/>
          <w:szCs w:val="21"/>
          <w:u w:val="single" w:color="auto"/>
          <w:color w:val="auto"/>
        </w:rPr>
        <w:t>Borrower</w:t>
      </w:r>
      <w:r>
        <w:rPr>
          <w:rFonts w:ascii="Times New Roman" w:cs="Times New Roman" w:eastAsia="Times New Roman" w:hAnsi="Times New Roman"/>
          <w:sz w:val="21"/>
          <w:szCs w:val="21"/>
          <w:color w:val="auto"/>
        </w:rPr>
        <w:t>"), each other Credit Party party hereto from time to time, the financial institutions which are now or which hereafter become a party hereto (collectively, the "</w:t>
      </w:r>
      <w:r>
        <w:rPr>
          <w:rFonts w:ascii="Times New Roman" w:cs="Times New Roman" w:eastAsia="Times New Roman" w:hAnsi="Times New Roman"/>
          <w:sz w:val="21"/>
          <w:szCs w:val="21"/>
          <w:u w:val="single" w:color="auto"/>
          <w:color w:val="auto"/>
        </w:rPr>
        <w:t>Lenders</w:t>
      </w:r>
      <w:r>
        <w:rPr>
          <w:rFonts w:ascii="Times New Roman" w:cs="Times New Roman" w:eastAsia="Times New Roman" w:hAnsi="Times New Roman"/>
          <w:sz w:val="21"/>
          <w:szCs w:val="21"/>
          <w:color w:val="auto"/>
        </w:rPr>
        <w:t>" and each individually a "</w:t>
      </w:r>
      <w:r>
        <w:rPr>
          <w:rFonts w:ascii="Times New Roman" w:cs="Times New Roman" w:eastAsia="Times New Roman" w:hAnsi="Times New Roman"/>
          <w:sz w:val="21"/>
          <w:szCs w:val="21"/>
          <w:u w:val="single" w:color="auto"/>
          <w:color w:val="auto"/>
        </w:rPr>
        <w:t>Lender</w:t>
      </w:r>
      <w:r>
        <w:rPr>
          <w:rFonts w:ascii="Times New Roman" w:cs="Times New Roman" w:eastAsia="Times New Roman" w:hAnsi="Times New Roman"/>
          <w:sz w:val="21"/>
          <w:szCs w:val="21"/>
          <w:color w:val="auto"/>
        </w:rPr>
        <w:t>"), and PNC BANK, NATIONAL ASSOCIATION ("</w:t>
      </w:r>
      <w:r>
        <w:rPr>
          <w:rFonts w:ascii="Times New Roman" w:cs="Times New Roman" w:eastAsia="Times New Roman" w:hAnsi="Times New Roman"/>
          <w:sz w:val="21"/>
          <w:szCs w:val="21"/>
          <w:u w:val="single" w:color="auto"/>
          <w:color w:val="auto"/>
        </w:rPr>
        <w:t>PNC</w:t>
      </w:r>
      <w:r>
        <w:rPr>
          <w:rFonts w:ascii="Times New Roman" w:cs="Times New Roman" w:eastAsia="Times New Roman" w:hAnsi="Times New Roman"/>
          <w:sz w:val="21"/>
          <w:szCs w:val="21"/>
          <w:color w:val="auto"/>
        </w:rPr>
        <w:t>"), as agent for Lenders (PNC, in such capacity, the "</w:t>
      </w:r>
      <w:r>
        <w:rPr>
          <w:rFonts w:ascii="Times New Roman" w:cs="Times New Roman" w:eastAsia="Times New Roman" w:hAnsi="Times New Roman"/>
          <w:sz w:val="21"/>
          <w:szCs w:val="21"/>
          <w:u w:val="single" w:color="auto"/>
          <w:color w:val="auto"/>
        </w:rPr>
        <w:t>Agent</w:t>
      </w:r>
      <w:r>
        <w:rPr>
          <w:rFonts w:ascii="Times New Roman" w:cs="Times New Roman" w:eastAsia="Times New Roman" w:hAnsi="Times New Roman"/>
          <w:sz w:val="21"/>
          <w:szCs w:val="21"/>
          <w:color w:val="auto"/>
        </w:rPr>
        <w:t>").</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 I T N E S S E T H</w:t>
      </w:r>
    </w:p>
    <w:p>
      <w:pPr>
        <w:spacing w:after="0" w:line="206"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color w:val="auto"/>
        </w:rPr>
        <w:t>WHEREAS, Borrowers, each other Credit Party party thereto from time to time, Agent and the lenders from time to time party thereto (the "</w:t>
      </w:r>
      <w:r>
        <w:rPr>
          <w:rFonts w:ascii="Times New Roman" w:cs="Times New Roman" w:eastAsia="Times New Roman" w:hAnsi="Times New Roman"/>
          <w:sz w:val="22"/>
          <w:szCs w:val="22"/>
          <w:u w:val="single" w:color="auto"/>
          <w:color w:val="auto"/>
        </w:rPr>
        <w:t>Lenders</w:t>
      </w:r>
      <w:r>
        <w:rPr>
          <w:rFonts w:ascii="Times New Roman" w:cs="Times New Roman" w:eastAsia="Times New Roman" w:hAnsi="Times New Roman"/>
          <w:sz w:val="22"/>
          <w:szCs w:val="22"/>
          <w:color w:val="auto"/>
        </w:rPr>
        <w:t>") are parties to that certain Second Amended and Restated Revolving Credit and Security Agreement dated as of July 29, 2022 (as amended, restated, modified and supplemented from time to time, the "</w:t>
      </w:r>
      <w:r>
        <w:rPr>
          <w:rFonts w:ascii="Times New Roman" w:cs="Times New Roman" w:eastAsia="Times New Roman" w:hAnsi="Times New Roman"/>
          <w:sz w:val="22"/>
          <w:szCs w:val="22"/>
          <w:u w:val="single" w:color="auto"/>
          <w:color w:val="auto"/>
        </w:rPr>
        <w:t>Credit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capitalized terms used and not otherwise defined herein have the definitions provided therefore in the Credit Agreement); and</w:t>
      </w:r>
    </w:p>
    <w:p>
      <w:pPr>
        <w:spacing w:after="0" w:line="177" w:lineRule="exact"/>
        <w:rPr>
          <w:sz w:val="20"/>
          <w:szCs w:val="20"/>
          <w:color w:val="auto"/>
        </w:rPr>
      </w:pPr>
    </w:p>
    <w:p>
      <w:pPr>
        <w:jc w:val="both"/>
        <w:ind w:right="20" w:firstLine="1497"/>
        <w:spacing w:after="0" w:line="258" w:lineRule="auto"/>
        <w:rPr>
          <w:sz w:val="20"/>
          <w:szCs w:val="20"/>
          <w:color w:val="auto"/>
        </w:rPr>
      </w:pPr>
      <w:r>
        <w:rPr>
          <w:rFonts w:ascii="Times New Roman" w:cs="Times New Roman" w:eastAsia="Times New Roman" w:hAnsi="Times New Roman"/>
          <w:sz w:val="22"/>
          <w:szCs w:val="22"/>
          <w:color w:val="auto"/>
        </w:rPr>
        <w:t>WHEREAS, subject to the terms and conditions of this Amendment, Agent and Lenders have agreed to amend the Credit Agreement as provided herein.</w:t>
      </w:r>
    </w:p>
    <w:p>
      <w:pPr>
        <w:spacing w:after="0" w:line="158"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NOW THEREFORE, in consideration of the mutual conditions and agreements set forth in the Credit Agreement and this Amendment, and other good and valuable consideration, the receipt and sufficiency of which are hereby acknowledged, the parties hereto hereby agree as follows:</w:t>
      </w:r>
    </w:p>
    <w:p>
      <w:pPr>
        <w:spacing w:after="0" w:line="169" w:lineRule="exact"/>
        <w:rPr>
          <w:sz w:val="20"/>
          <w:szCs w:val="20"/>
          <w:color w:val="auto"/>
        </w:rPr>
      </w:pPr>
    </w:p>
    <w:p>
      <w:pPr>
        <w:ind w:right="20" w:firstLine="1505"/>
        <w:spacing w:after="0" w:line="262" w:lineRule="auto"/>
        <w:tabs>
          <w:tab w:leader="none" w:pos="1970" w:val="left"/>
        </w:tabs>
        <w:numPr>
          <w:ilvl w:val="0"/>
          <w:numId w:val="1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Amendments to Credit Agreement</w:t>
      </w:r>
      <w:r>
        <w:rPr>
          <w:rFonts w:ascii="Times New Roman" w:cs="Times New Roman" w:eastAsia="Times New Roman" w:hAnsi="Times New Roman"/>
          <w:sz w:val="22"/>
          <w:szCs w:val="22"/>
          <w:b w:val="1"/>
          <w:bCs w:val="1"/>
          <w:color w:val="auto"/>
        </w:rPr>
        <w:t>. In reliance upon the representations and warranties of the Credit Parties set forth in Section 2 below and subject to the conditions to effectiveness set forth in Section 3 below:</w:t>
      </w:r>
    </w:p>
    <w:p>
      <w:pPr>
        <w:spacing w:after="0" w:line="150" w:lineRule="exact"/>
        <w:rPr>
          <w:sz w:val="20"/>
          <w:szCs w:val="20"/>
          <w:color w:val="auto"/>
        </w:rPr>
      </w:pPr>
    </w:p>
    <w:p>
      <w:pPr>
        <w:jc w:val="both"/>
        <w:ind w:firstLine="1505"/>
        <w:spacing w:after="0" w:line="237" w:lineRule="auto"/>
        <w:tabs>
          <w:tab w:leader="none" w:pos="1929" w:val="left"/>
        </w:tabs>
        <w:numPr>
          <w:ilvl w:val="0"/>
          <w:numId w:val="1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the Credit Agreement is hereby amended to delete the stricken text (indicated textually in the same manner as the following example: </w:t>
      </w:r>
      <w:r>
        <w:rPr>
          <w:rFonts w:ascii="Times New Roman" w:cs="Times New Roman" w:eastAsia="Times New Roman" w:hAnsi="Times New Roman"/>
          <w:sz w:val="22"/>
          <w:szCs w:val="22"/>
          <w:b w:val="1"/>
          <w:bCs w:val="1"/>
          <w:color w:val="FF0000"/>
          <w:strike w:val="1"/>
        </w:rPr>
        <w:t>stricken text</w:t>
      </w:r>
      <w:r>
        <w:rPr>
          <w:rFonts w:ascii="Times New Roman" w:cs="Times New Roman" w:eastAsia="Times New Roman" w:hAnsi="Times New Roman"/>
          <w:sz w:val="22"/>
          <w:szCs w:val="22"/>
          <w:b w:val="1"/>
          <w:bCs w:val="1"/>
          <w:color w:val="auto"/>
        </w:rPr>
        <w:t xml:space="preserve">) and to add the double-underlined text (indicated textually in the same manner as the following example: </w:t>
      </w:r>
      <w:r>
        <w:rPr>
          <w:rFonts w:ascii="Times New Roman" w:cs="Times New Roman" w:eastAsia="Times New Roman" w:hAnsi="Times New Roman"/>
          <w:sz w:val="22"/>
          <w:szCs w:val="22"/>
          <w:b w:val="1"/>
          <w:bCs w:val="1"/>
          <w:u w:val="single" w:color="auto"/>
          <w:color w:val="0070C0"/>
        </w:rPr>
        <w:t>double-underlined text</w:t>
      </w:r>
      <w:r>
        <w:rPr>
          <w:rFonts w:ascii="Times New Roman" w:cs="Times New Roman" w:eastAsia="Times New Roman" w:hAnsi="Times New Roman"/>
          <w:sz w:val="22"/>
          <w:szCs w:val="22"/>
          <w:b w:val="1"/>
          <w:bCs w:val="1"/>
          <w:color w:val="auto"/>
        </w:rPr>
        <w:t xml:space="preserve">) as set forth in the pages of the Credit Agreement attached as </w:t>
      </w:r>
      <w:r>
        <w:rPr>
          <w:rFonts w:ascii="Times New Roman" w:cs="Times New Roman" w:eastAsia="Times New Roman" w:hAnsi="Times New Roman"/>
          <w:sz w:val="22"/>
          <w:szCs w:val="22"/>
          <w:b w:val="1"/>
          <w:bCs w:val="1"/>
          <w:u w:val="single" w:color="auto"/>
          <w:color w:val="auto"/>
        </w:rPr>
        <w:t>Exhibit A</w:t>
      </w:r>
      <w:r>
        <w:rPr>
          <w:rFonts w:ascii="Times New Roman" w:cs="Times New Roman" w:eastAsia="Times New Roman" w:hAnsi="Times New Roman"/>
          <w:sz w:val="22"/>
          <w:szCs w:val="22"/>
          <w:b w:val="1"/>
          <w:bCs w:val="1"/>
          <w:color w:val="auto"/>
        </w:rPr>
        <w:t xml:space="preserve"> hereto, except that any Exhibit or other attachment to the Credit Agreement not amended pursuant to the terms of this Amendment or otherwise included as part of said </w:t>
      </w:r>
      <w:r>
        <w:rPr>
          <w:rFonts w:ascii="Times New Roman" w:cs="Times New Roman" w:eastAsia="Times New Roman" w:hAnsi="Times New Roman"/>
          <w:sz w:val="22"/>
          <w:szCs w:val="22"/>
          <w:b w:val="1"/>
          <w:bCs w:val="1"/>
          <w:u w:val="single" w:color="auto"/>
          <w:color w:val="auto"/>
        </w:rPr>
        <w:t>Exhibit A</w:t>
      </w:r>
      <w:r>
        <w:rPr>
          <w:rFonts w:ascii="Times New Roman" w:cs="Times New Roman" w:eastAsia="Times New Roman" w:hAnsi="Times New Roman"/>
          <w:sz w:val="22"/>
          <w:szCs w:val="22"/>
          <w:b w:val="1"/>
          <w:bCs w:val="1"/>
          <w:color w:val="auto"/>
        </w:rPr>
        <w:t xml:space="preserve"> shall remain in effect without any amendment or other modification thereto; and</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40"/>
        <w:spacing w:after="0"/>
        <w:tabs>
          <w:tab w:leader="none" w:pos="7760" w:val="left"/>
        </w:tabs>
        <w:rPr>
          <w:sz w:val="20"/>
          <w:szCs w:val="20"/>
          <w:color w:val="auto"/>
        </w:rPr>
      </w:pPr>
      <w:r>
        <w:rPr>
          <w:rFonts w:ascii="Times New Roman" w:cs="Times New Roman" w:eastAsia="Times New Roman" w:hAnsi="Times New Roman"/>
          <w:sz w:val="14"/>
          <w:szCs w:val="14"/>
          <w:color w:val="auto"/>
        </w:rPr>
        <w:t>DOCPROPERTY DMNumber 4906-2481-4647 DOCPROPERTY DMVersionNumber v4 DOCPROPERTY DocNumberSuffix</w:t>
      </w:r>
      <w:r>
        <w:rPr>
          <w:sz w:val="20"/>
          <w:szCs w:val="20"/>
          <w:color w:val="auto"/>
        </w:rPr>
        <w:tab/>
      </w:r>
      <w:r>
        <w:rPr>
          <w:rFonts w:ascii="Times New Roman" w:cs="Times New Roman" w:eastAsia="Times New Roman" w:hAnsi="Times New Roman"/>
          <w:sz w:val="14"/>
          <w:szCs w:val="14"/>
          <w:color w:val="auto"/>
        </w:rPr>
        <w:t>4033.124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2" w:name="page33"/>
    <w:bookmarkEnd w:id="32"/>
    <w:p>
      <w:pPr>
        <w:ind w:firstLine="1505"/>
        <w:spacing w:after="0" w:line="262" w:lineRule="auto"/>
        <w:tabs>
          <w:tab w:leader="none" w:pos="1929" w:val="left"/>
        </w:tabs>
        <w:numPr>
          <w:ilvl w:val="0"/>
          <w:numId w:val="1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the Schedules to the Credit Agreement are hereby amended and restated in their entirety as set forth on </w:t>
      </w:r>
      <w:r>
        <w:rPr>
          <w:rFonts w:ascii="Times New Roman" w:cs="Times New Roman" w:eastAsia="Times New Roman" w:hAnsi="Times New Roman"/>
          <w:sz w:val="22"/>
          <w:szCs w:val="22"/>
          <w:b w:val="1"/>
          <w:bCs w:val="1"/>
          <w:u w:val="single" w:color="auto"/>
          <w:color w:val="auto"/>
        </w:rPr>
        <w:t>Exhibit B</w:t>
      </w:r>
      <w:r>
        <w:rPr>
          <w:rFonts w:ascii="Times New Roman" w:cs="Times New Roman" w:eastAsia="Times New Roman" w:hAnsi="Times New Roman"/>
          <w:sz w:val="22"/>
          <w:szCs w:val="22"/>
          <w:b w:val="1"/>
          <w:bCs w:val="1"/>
          <w:color w:val="auto"/>
        </w:rPr>
        <w:t xml:space="preserve"> attached hereto.</w:t>
      </w:r>
    </w:p>
    <w:p>
      <w:pPr>
        <w:spacing w:after="0" w:line="150" w:lineRule="exact"/>
        <w:rPr>
          <w:sz w:val="20"/>
          <w:szCs w:val="20"/>
          <w:color w:val="auto"/>
        </w:rPr>
      </w:pPr>
    </w:p>
    <w:p>
      <w:pPr>
        <w:ind w:firstLine="1505"/>
        <w:spacing w:after="0" w:line="262" w:lineRule="auto"/>
        <w:tabs>
          <w:tab w:leader="none" w:pos="1943" w:val="left"/>
        </w:tabs>
        <w:numPr>
          <w:ilvl w:val="0"/>
          <w:numId w:val="2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Representations and Warranties</w:t>
      </w:r>
      <w:r>
        <w:rPr>
          <w:rFonts w:ascii="Times New Roman" w:cs="Times New Roman" w:eastAsia="Times New Roman" w:hAnsi="Times New Roman"/>
          <w:sz w:val="22"/>
          <w:szCs w:val="22"/>
          <w:b w:val="1"/>
          <w:bCs w:val="1"/>
          <w:color w:val="auto"/>
        </w:rPr>
        <w:t>. Each Credit Party hereby represents and warrants to Agent and Lenders that as of the date hereof, after giving effect to this Amendment and the transactions contemplated hereby:</w:t>
      </w:r>
    </w:p>
    <w:p>
      <w:pPr>
        <w:spacing w:after="0" w:line="150" w:lineRule="exact"/>
        <w:rPr>
          <w:sz w:val="20"/>
          <w:szCs w:val="20"/>
          <w:color w:val="auto"/>
        </w:rPr>
      </w:pPr>
    </w:p>
    <w:p>
      <w:pPr>
        <w:ind w:right="60" w:firstLine="1505"/>
        <w:spacing w:after="0" w:line="262" w:lineRule="auto"/>
        <w:tabs>
          <w:tab w:leader="none" w:pos="1929" w:val="left"/>
        </w:tabs>
        <w:numPr>
          <w:ilvl w:val="0"/>
          <w:numId w:val="2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The execution, delivery and performance of this Amendment has been duly authorized by all requisite limited liability company or corporate action, as applicable, on the part of each Credit Party;</w:t>
      </w:r>
    </w:p>
    <w:p>
      <w:pPr>
        <w:spacing w:after="0" w:line="149" w:lineRule="exact"/>
        <w:rPr>
          <w:rFonts w:ascii="Times New Roman" w:cs="Times New Roman" w:eastAsia="Times New Roman" w:hAnsi="Times New Roman"/>
          <w:sz w:val="22"/>
          <w:szCs w:val="22"/>
          <w:b w:val="1"/>
          <w:bCs w:val="1"/>
          <w:color w:val="auto"/>
        </w:rPr>
      </w:pPr>
    </w:p>
    <w:p>
      <w:pPr>
        <w:ind w:left="1940" w:hanging="435"/>
        <w:spacing w:after="0"/>
        <w:tabs>
          <w:tab w:leader="none" w:pos="1940" w:val="left"/>
        </w:tabs>
        <w:numPr>
          <w:ilvl w:val="0"/>
          <w:numId w:val="2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 Default or Event of Default has occurred and is continuing; and</w:t>
      </w:r>
    </w:p>
    <w:p>
      <w:pPr>
        <w:spacing w:after="0" w:line="206" w:lineRule="exact"/>
        <w:rPr>
          <w:rFonts w:ascii="Times New Roman" w:cs="Times New Roman" w:eastAsia="Times New Roman" w:hAnsi="Times New Roman"/>
          <w:sz w:val="22"/>
          <w:szCs w:val="22"/>
          <w:b w:val="1"/>
          <w:bCs w:val="1"/>
          <w:color w:val="auto"/>
        </w:rPr>
      </w:pPr>
    </w:p>
    <w:p>
      <w:pPr>
        <w:jc w:val="both"/>
        <w:ind w:firstLine="1505"/>
        <w:spacing w:after="0" w:line="241" w:lineRule="auto"/>
        <w:tabs>
          <w:tab w:leader="none" w:pos="1929" w:val="left"/>
        </w:tabs>
        <w:numPr>
          <w:ilvl w:val="0"/>
          <w:numId w:val="2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The representations and warranties of each Credit Party set forth in the Credit Agreement and each Other Document are true and correct in all material respects with the same effect as if made on the date hereof (except to the extent stated to relate to a specific earlier date, in which case such representations and warranties shall be true and correct in all material respects as of such earlier date).</w:t>
      </w:r>
    </w:p>
    <w:p>
      <w:pPr>
        <w:spacing w:after="0" w:line="172" w:lineRule="exact"/>
        <w:rPr>
          <w:sz w:val="20"/>
          <w:szCs w:val="20"/>
          <w:color w:val="auto"/>
        </w:rPr>
      </w:pPr>
    </w:p>
    <w:p>
      <w:pPr>
        <w:ind w:firstLine="1505"/>
        <w:spacing w:after="0" w:line="262" w:lineRule="auto"/>
        <w:tabs>
          <w:tab w:leader="none" w:pos="1929" w:val="left"/>
        </w:tabs>
        <w:numPr>
          <w:ilvl w:val="0"/>
          <w:numId w:val="2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Conditions Precedent to Effectiveness</w:t>
      </w:r>
      <w:r>
        <w:rPr>
          <w:rFonts w:ascii="Times New Roman" w:cs="Times New Roman" w:eastAsia="Times New Roman" w:hAnsi="Times New Roman"/>
          <w:sz w:val="22"/>
          <w:szCs w:val="22"/>
          <w:b w:val="1"/>
          <w:bCs w:val="1"/>
          <w:color w:val="auto"/>
        </w:rPr>
        <w:t>. The effectiveness of this Amendment is subject to the prior or concurrent consummation of each of the following conditions:</w:t>
      </w:r>
    </w:p>
    <w:p>
      <w:pPr>
        <w:spacing w:after="0" w:line="150" w:lineRule="exact"/>
        <w:rPr>
          <w:sz w:val="20"/>
          <w:szCs w:val="20"/>
          <w:color w:val="auto"/>
        </w:rPr>
      </w:pPr>
    </w:p>
    <w:p>
      <w:pPr>
        <w:ind w:right="40" w:firstLine="1505"/>
        <w:spacing w:after="0" w:line="262" w:lineRule="auto"/>
        <w:tabs>
          <w:tab w:leader="none" w:pos="1929" w:val="left"/>
        </w:tabs>
        <w:numPr>
          <w:ilvl w:val="0"/>
          <w:numId w:val="2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Agent shall have received a copy of this Amendment executed by each Credit Party and Lenders, together with the other agreements and deliverables set forth on the Closing Checklist attached hereto as </w:t>
      </w:r>
      <w:r>
        <w:rPr>
          <w:rFonts w:ascii="Times New Roman" w:cs="Times New Roman" w:eastAsia="Times New Roman" w:hAnsi="Times New Roman"/>
          <w:sz w:val="22"/>
          <w:szCs w:val="22"/>
          <w:b w:val="1"/>
          <w:bCs w:val="1"/>
          <w:u w:val="single" w:color="auto"/>
          <w:color w:val="auto"/>
        </w:rPr>
        <w:t>Exhibit C</w:t>
      </w:r>
      <w:r>
        <w:rPr>
          <w:rFonts w:ascii="Times New Roman" w:cs="Times New Roman" w:eastAsia="Times New Roman" w:hAnsi="Times New Roman"/>
          <w:sz w:val="22"/>
          <w:szCs w:val="22"/>
          <w:b w:val="1"/>
          <w:bCs w:val="1"/>
          <w:color w:val="auto"/>
        </w:rPr>
        <w:t>;</w:t>
      </w:r>
    </w:p>
    <w:p>
      <w:pPr>
        <w:spacing w:after="0" w:line="149" w:lineRule="exact"/>
        <w:rPr>
          <w:rFonts w:ascii="Times New Roman" w:cs="Times New Roman" w:eastAsia="Times New Roman" w:hAnsi="Times New Roman"/>
          <w:sz w:val="22"/>
          <w:szCs w:val="22"/>
          <w:b w:val="1"/>
          <w:bCs w:val="1"/>
          <w:color w:val="auto"/>
        </w:rPr>
      </w:pPr>
    </w:p>
    <w:p>
      <w:pPr>
        <w:jc w:val="both"/>
        <w:ind w:firstLine="1505"/>
        <w:spacing w:after="0" w:line="238" w:lineRule="auto"/>
        <w:tabs>
          <w:tab w:leader="none" w:pos="1929" w:val="left"/>
        </w:tabs>
        <w:numPr>
          <w:ilvl w:val="0"/>
          <w:numId w:val="2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Agent and Lenders shall have received any fees and expenses due and owing to Agent or Lenders in connection with this Amendment, including all fees payable pursuant to the Supplemental Fee Letter dated as of the date hereof, and, to the extent invoiced prior to the date hereof, reimbursement or payment of all reasonable expenses required to be reimbursed by any Credit Party pursuant to the Credit Agreement or any Other Document, including the reasonable fees and disbursements invoiced through a date prior to the date hereof of counsel to Agent; and</w:t>
      </w:r>
    </w:p>
    <w:p>
      <w:pPr>
        <w:spacing w:after="0" w:line="176" w:lineRule="exact"/>
        <w:rPr>
          <w:rFonts w:ascii="Times New Roman" w:cs="Times New Roman" w:eastAsia="Times New Roman" w:hAnsi="Times New Roman"/>
          <w:sz w:val="22"/>
          <w:szCs w:val="22"/>
          <w:b w:val="1"/>
          <w:bCs w:val="1"/>
          <w:color w:val="auto"/>
        </w:rPr>
      </w:pPr>
    </w:p>
    <w:p>
      <w:pPr>
        <w:ind w:right="40" w:firstLine="1505"/>
        <w:spacing w:after="0" w:line="262" w:lineRule="auto"/>
        <w:tabs>
          <w:tab w:leader="none" w:pos="1929" w:val="left"/>
        </w:tabs>
        <w:numPr>
          <w:ilvl w:val="0"/>
          <w:numId w:val="2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 Default or Event of Default shall have occurred and be continuing or shall be caused by the transactions contemplated by this Amendment.</w:t>
      </w:r>
    </w:p>
    <w:p>
      <w:pPr>
        <w:spacing w:after="0" w:line="150" w:lineRule="exact"/>
        <w:rPr>
          <w:sz w:val="20"/>
          <w:szCs w:val="20"/>
          <w:color w:val="auto"/>
        </w:rPr>
      </w:pPr>
    </w:p>
    <w:p>
      <w:pPr>
        <w:jc w:val="both"/>
        <w:ind w:firstLine="1505"/>
        <w:spacing w:after="0" w:line="247" w:lineRule="auto"/>
        <w:tabs>
          <w:tab w:leader="none" w:pos="1943" w:val="left"/>
        </w:tabs>
        <w:numPr>
          <w:ilvl w:val="0"/>
          <w:numId w:val="2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Release</w:t>
      </w:r>
      <w:r>
        <w:rPr>
          <w:rFonts w:ascii="Times New Roman" w:cs="Times New Roman" w:eastAsia="Times New Roman" w:hAnsi="Times New Roman"/>
          <w:sz w:val="21"/>
          <w:szCs w:val="21"/>
          <w:b w:val="1"/>
          <w:bCs w:val="1"/>
          <w:color w:val="auto"/>
        </w:rPr>
        <w:t>. In consideration of the agreements of Agent and Lenders contained herein and for other good and valuable consideration, the receipt and sufficiency of which are hereby acknowledged, each Credit Party hereby releases and forever discharges Agent, each Lender and their respective directors, officers, employees, agents, attorneys, affiliates, subsidiaries, successors and permitted assigns from any and all liabilities, obligations, actions, contracts, claims, causes of action, damages, demands, costs and expenses whatsoever (collectively "</w:t>
      </w:r>
      <w:r>
        <w:rPr>
          <w:rFonts w:ascii="Times New Roman" w:cs="Times New Roman" w:eastAsia="Times New Roman" w:hAnsi="Times New Roman"/>
          <w:sz w:val="21"/>
          <w:szCs w:val="21"/>
          <w:b w:val="1"/>
          <w:bCs w:val="1"/>
          <w:u w:val="single" w:color="auto"/>
          <w:color w:val="auto"/>
        </w:rPr>
        <w:t>Claims</w:t>
      </w:r>
      <w:r>
        <w:rPr>
          <w:rFonts w:ascii="Times New Roman" w:cs="Times New Roman" w:eastAsia="Times New Roman" w:hAnsi="Times New Roman"/>
          <w:sz w:val="21"/>
          <w:szCs w:val="21"/>
          <w:b w:val="1"/>
          <w:bCs w:val="1"/>
          <w:color w:val="auto"/>
        </w:rPr>
        <w:t>"), of every kind and nature, however evidenced or created, whether known or unknown, arising prior to or on the date of this Amendment including, but not limited to, any Claims involving the extension of credit under or administration of this Amendment, the Credit Agreement or the Other Documents, as each may have been amended prior to the date hereof, or</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33" w:name="page34"/>
    <w:bookmarkEnd w:id="33"/>
    <w:p>
      <w:pPr>
        <w:spacing w:after="0" w:line="262" w:lineRule="auto"/>
        <w:rPr>
          <w:sz w:val="20"/>
          <w:szCs w:val="20"/>
          <w:color w:val="auto"/>
        </w:rPr>
      </w:pPr>
      <w:r>
        <w:rPr>
          <w:rFonts w:ascii="Times New Roman" w:cs="Times New Roman" w:eastAsia="Times New Roman" w:hAnsi="Times New Roman"/>
          <w:sz w:val="22"/>
          <w:szCs w:val="22"/>
          <w:b w:val="1"/>
          <w:bCs w:val="1"/>
          <w:color w:val="auto"/>
        </w:rPr>
        <w:t>the Indebtedness incurred by Borrowers or any other transactions evidenced by this Amendment, the Credit Agreement or the Other Documents, in each case arising prior to or on the date of this Amendment.</w:t>
      </w:r>
    </w:p>
    <w:p>
      <w:pPr>
        <w:spacing w:after="0" w:line="150" w:lineRule="exact"/>
        <w:rPr>
          <w:sz w:val="20"/>
          <w:szCs w:val="20"/>
          <w:color w:val="auto"/>
        </w:rPr>
      </w:pPr>
    </w:p>
    <w:p>
      <w:pPr>
        <w:jc w:val="both"/>
        <w:ind w:firstLine="1505"/>
        <w:spacing w:after="0" w:line="246" w:lineRule="auto"/>
        <w:tabs>
          <w:tab w:leader="none" w:pos="1997" w:val="left"/>
        </w:tabs>
        <w:numPr>
          <w:ilvl w:val="0"/>
          <w:numId w:val="2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Severability</w:t>
      </w:r>
      <w:r>
        <w:rPr>
          <w:rFonts w:ascii="Times New Roman" w:cs="Times New Roman" w:eastAsia="Times New Roman" w:hAnsi="Times New Roman"/>
          <w:sz w:val="22"/>
          <w:szCs w:val="22"/>
          <w:b w:val="1"/>
          <w:bCs w:val="1"/>
          <w:color w:val="auto"/>
        </w:rPr>
        <w:t>. The illegality or unenforceability of any provision of this Amendment or any instrument or agreement required hereunder shall not in any way affect or impair the legality or enforceability of the remaining provisions of this Amendment or any instrument or agreement required hereunder.</w:t>
      </w:r>
    </w:p>
    <w:p>
      <w:pPr>
        <w:spacing w:after="0" w:line="167" w:lineRule="exact"/>
        <w:rPr>
          <w:rFonts w:ascii="Times New Roman" w:cs="Times New Roman" w:eastAsia="Times New Roman" w:hAnsi="Times New Roman"/>
          <w:sz w:val="22"/>
          <w:szCs w:val="22"/>
          <w:b w:val="1"/>
          <w:bCs w:val="1"/>
          <w:color w:val="auto"/>
        </w:rPr>
      </w:pPr>
    </w:p>
    <w:p>
      <w:pPr>
        <w:ind w:firstLine="1505"/>
        <w:spacing w:after="0" w:line="262" w:lineRule="auto"/>
        <w:tabs>
          <w:tab w:leader="none" w:pos="1929" w:val="left"/>
        </w:tabs>
        <w:numPr>
          <w:ilvl w:val="0"/>
          <w:numId w:val="2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References</w:t>
      </w:r>
      <w:r>
        <w:rPr>
          <w:rFonts w:ascii="Times New Roman" w:cs="Times New Roman" w:eastAsia="Times New Roman" w:hAnsi="Times New Roman"/>
          <w:sz w:val="22"/>
          <w:szCs w:val="22"/>
          <w:b w:val="1"/>
          <w:bCs w:val="1"/>
          <w:color w:val="auto"/>
        </w:rPr>
        <w:t>. Any reference to the Credit Agreement contained in the Credit Agreement or any Other Document shall be deemed to be a reference to the Credit Agreement as modified by this Amendment.</w:t>
      </w:r>
    </w:p>
    <w:p>
      <w:pPr>
        <w:spacing w:after="0" w:line="149" w:lineRule="exact"/>
        <w:rPr>
          <w:rFonts w:ascii="Times New Roman" w:cs="Times New Roman" w:eastAsia="Times New Roman" w:hAnsi="Times New Roman"/>
          <w:sz w:val="22"/>
          <w:szCs w:val="22"/>
          <w:b w:val="1"/>
          <w:bCs w:val="1"/>
          <w:color w:val="auto"/>
        </w:rPr>
      </w:pPr>
    </w:p>
    <w:p>
      <w:pPr>
        <w:jc w:val="both"/>
        <w:ind w:firstLine="1505"/>
        <w:spacing w:after="0" w:line="236" w:lineRule="auto"/>
        <w:tabs>
          <w:tab w:leader="none" w:pos="1970" w:val="left"/>
        </w:tabs>
        <w:numPr>
          <w:ilvl w:val="0"/>
          <w:numId w:val="2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Counterparts</w:t>
      </w:r>
      <w:r>
        <w:rPr>
          <w:rFonts w:ascii="Times New Roman" w:cs="Times New Roman" w:eastAsia="Times New Roman" w:hAnsi="Times New Roman"/>
          <w:sz w:val="22"/>
          <w:szCs w:val="22"/>
          <w:b w:val="1"/>
          <w:bCs w:val="1"/>
          <w:color w:val="auto"/>
        </w:rPr>
        <w:t>. This Amendment may be executed in any number of counterparts and by the different parties hereto on separate counterparts and each such counterpart shall be deemed to be an original, but all such counterparts shall together constitute but one and the same Amendment. Receipt by telecopy of any executed signature page to this Amendment shall constitute effective delivery of such signature page. This Amendment to the extent signed and delivered by means of a facsimile machine or other electronic transmission (including "pdf"), shall be treated in all manner and respects and for all purposes as an original agreement or amendment and shall be considered to have the same binding legal effect as if it were the original signed version thereof delivered in person.</w:t>
      </w:r>
    </w:p>
    <w:p>
      <w:pPr>
        <w:spacing w:after="0" w:line="175" w:lineRule="exact"/>
        <w:rPr>
          <w:rFonts w:ascii="Times New Roman" w:cs="Times New Roman" w:eastAsia="Times New Roman" w:hAnsi="Times New Roman"/>
          <w:sz w:val="22"/>
          <w:szCs w:val="22"/>
          <w:b w:val="1"/>
          <w:bCs w:val="1"/>
          <w:color w:val="auto"/>
        </w:rPr>
      </w:pPr>
    </w:p>
    <w:p>
      <w:pPr>
        <w:jc w:val="both"/>
        <w:ind w:firstLine="1505"/>
        <w:spacing w:after="0" w:line="238" w:lineRule="auto"/>
        <w:tabs>
          <w:tab w:leader="none" w:pos="1943" w:val="left"/>
        </w:tabs>
        <w:numPr>
          <w:ilvl w:val="0"/>
          <w:numId w:val="2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Ratification</w:t>
      </w:r>
      <w:r>
        <w:rPr>
          <w:rFonts w:ascii="Times New Roman" w:cs="Times New Roman" w:eastAsia="Times New Roman" w:hAnsi="Times New Roman"/>
          <w:sz w:val="22"/>
          <w:szCs w:val="22"/>
          <w:b w:val="1"/>
          <w:bCs w:val="1"/>
          <w:color w:val="auto"/>
        </w:rPr>
        <w:t>. The terms and provisions set forth in this Amendment shall modify and supersede all inconsistent terms and provisions of the Credit Agreement and shall not be deemed to be a consent to the modification or waiver of any other term or condition of the Credit Agreement and the Other Documents. Except as expressly modified and superseded by this Amendment, the terms and provisions of the Credit Agreement and the Other Documents are ratified and confirmed and shall continue in full force and effect.</w:t>
      </w:r>
    </w:p>
    <w:p>
      <w:pPr>
        <w:spacing w:after="0" w:line="176" w:lineRule="exact"/>
        <w:rPr>
          <w:rFonts w:ascii="Times New Roman" w:cs="Times New Roman" w:eastAsia="Times New Roman" w:hAnsi="Times New Roman"/>
          <w:sz w:val="22"/>
          <w:szCs w:val="22"/>
          <w:b w:val="1"/>
          <w:bCs w:val="1"/>
          <w:color w:val="auto"/>
        </w:rPr>
      </w:pPr>
    </w:p>
    <w:p>
      <w:pPr>
        <w:ind w:firstLine="1505"/>
        <w:spacing w:after="0" w:line="262" w:lineRule="auto"/>
        <w:tabs>
          <w:tab w:leader="none" w:pos="1956" w:val="left"/>
        </w:tabs>
        <w:numPr>
          <w:ilvl w:val="0"/>
          <w:numId w:val="2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Costs and Expenses</w:t>
      </w:r>
      <w:r>
        <w:rPr>
          <w:rFonts w:ascii="Times New Roman" w:cs="Times New Roman" w:eastAsia="Times New Roman" w:hAnsi="Times New Roman"/>
          <w:sz w:val="22"/>
          <w:szCs w:val="22"/>
          <w:b w:val="1"/>
          <w:bCs w:val="1"/>
          <w:color w:val="auto"/>
        </w:rPr>
        <w:t>. Each Credit Party acknowledges that Section 16.9 of the Credit Agreement applies to this Amendment and the transactions, agreements and documents contemplated hereunder.</w:t>
      </w:r>
    </w:p>
    <w:p>
      <w:pPr>
        <w:spacing w:after="0" w:line="149" w:lineRule="exact"/>
        <w:rPr>
          <w:rFonts w:ascii="Times New Roman" w:cs="Times New Roman" w:eastAsia="Times New Roman" w:hAnsi="Times New Roman"/>
          <w:sz w:val="22"/>
          <w:szCs w:val="22"/>
          <w:b w:val="1"/>
          <w:bCs w:val="1"/>
          <w:color w:val="auto"/>
        </w:rPr>
      </w:pPr>
    </w:p>
    <w:p>
      <w:pPr>
        <w:jc w:val="both"/>
        <w:ind w:firstLine="1505"/>
        <w:spacing w:after="0" w:line="241" w:lineRule="auto"/>
        <w:tabs>
          <w:tab w:leader="none" w:pos="2010" w:val="left"/>
        </w:tabs>
        <w:numPr>
          <w:ilvl w:val="0"/>
          <w:numId w:val="2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Governing Law</w:t>
      </w:r>
      <w:r>
        <w:rPr>
          <w:rFonts w:ascii="Times New Roman" w:cs="Times New Roman" w:eastAsia="Times New Roman" w:hAnsi="Times New Roman"/>
          <w:sz w:val="22"/>
          <w:szCs w:val="22"/>
          <w:b w:val="1"/>
          <w:bCs w:val="1"/>
          <w:color w:val="auto"/>
        </w:rPr>
        <w:t>. THIS AMENDMENT SHALL BE A CONTRACT MADE UNDER AND GOVERNED BY THE INTERNAL LAWS OF THE STATE OF NEW YORK APPLICABLE TO CONTRACTS MADE AND TO BE PERFORMED ENTIRELY WITHIN SUCH STATE, WITHOUT REGARD TO CONFLICT OF LAWS PRINCIPLES.</w:t>
      </w:r>
    </w:p>
    <w:p>
      <w:pPr>
        <w:spacing w:after="0" w:line="171" w:lineRule="exact"/>
        <w:rPr>
          <w:rFonts w:ascii="Times New Roman" w:cs="Times New Roman" w:eastAsia="Times New Roman" w:hAnsi="Times New Roman"/>
          <w:sz w:val="22"/>
          <w:szCs w:val="22"/>
          <w:b w:val="1"/>
          <w:bCs w:val="1"/>
          <w:color w:val="auto"/>
        </w:rPr>
      </w:pPr>
    </w:p>
    <w:p>
      <w:pPr>
        <w:jc w:val="both"/>
        <w:ind w:firstLine="1505"/>
        <w:spacing w:after="0" w:line="237" w:lineRule="auto"/>
        <w:tabs>
          <w:tab w:leader="none" w:pos="1929" w:val="left"/>
        </w:tabs>
        <w:numPr>
          <w:ilvl w:val="0"/>
          <w:numId w:val="2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Post-Closing Covenants</w:t>
      </w:r>
      <w:r>
        <w:rPr>
          <w:rFonts w:ascii="Times New Roman" w:cs="Times New Roman" w:eastAsia="Times New Roman" w:hAnsi="Times New Roman"/>
          <w:sz w:val="22"/>
          <w:szCs w:val="22"/>
          <w:b w:val="1"/>
          <w:bCs w:val="1"/>
          <w:color w:val="auto"/>
        </w:rPr>
        <w:t xml:space="preserve">. In consideration of the agreements of Agent and Lenders contained herein, the Borrowers hereby covenant and agree to fulfill the obligations set forth on </w:t>
      </w:r>
      <w:r>
        <w:rPr>
          <w:rFonts w:ascii="Times New Roman" w:cs="Times New Roman" w:eastAsia="Times New Roman" w:hAnsi="Times New Roman"/>
          <w:sz w:val="22"/>
          <w:szCs w:val="22"/>
          <w:b w:val="1"/>
          <w:bCs w:val="1"/>
          <w:u w:val="single" w:color="auto"/>
          <w:color w:val="auto"/>
        </w:rPr>
        <w:t>Exhibit D</w:t>
      </w:r>
      <w:r>
        <w:rPr>
          <w:rFonts w:ascii="Times New Roman" w:cs="Times New Roman" w:eastAsia="Times New Roman" w:hAnsi="Times New Roman"/>
          <w:sz w:val="22"/>
          <w:szCs w:val="22"/>
          <w:b w:val="1"/>
          <w:bCs w:val="1"/>
          <w:color w:val="auto"/>
        </w:rPr>
        <w:t xml:space="preserve"> on or before the due date set forth therein (or such later due dates as Agent may agree, in writing, in its sole discretion). The failure of the Borrowers to satisfy any of the requirements set forth on </w:t>
      </w:r>
      <w:r>
        <w:rPr>
          <w:rFonts w:ascii="Times New Roman" w:cs="Times New Roman" w:eastAsia="Times New Roman" w:hAnsi="Times New Roman"/>
          <w:sz w:val="22"/>
          <w:szCs w:val="22"/>
          <w:b w:val="1"/>
          <w:bCs w:val="1"/>
          <w:u w:val="single" w:color="auto"/>
          <w:color w:val="auto"/>
        </w:rPr>
        <w:t>Exhibit D</w:t>
      </w:r>
      <w:r>
        <w:rPr>
          <w:rFonts w:ascii="Times New Roman" w:cs="Times New Roman" w:eastAsia="Times New Roman" w:hAnsi="Times New Roman"/>
          <w:sz w:val="22"/>
          <w:szCs w:val="22"/>
          <w:b w:val="1"/>
          <w:bCs w:val="1"/>
          <w:color w:val="auto"/>
        </w:rPr>
        <w:t xml:space="preserve"> on or prior to the relevant date set forth therein (as such date may be extended by Agent, in writing, in its sole discretion) shall constitute an immediate Event of Default under the Credit Agreement.</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pages follow</w:t>
      </w:r>
      <w:r>
        <w:rPr>
          <w:rFonts w:ascii="Times New Roman" w:cs="Times New Roman" w:eastAsia="Times New Roman" w:hAnsi="Times New Roman"/>
          <w:sz w:val="22"/>
          <w:szCs w:val="22"/>
          <w:color w:val="auto"/>
        </w:rPr>
        <w: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34" w:name="page35"/>
    <w:bookmarkEnd w:id="34"/>
    <w:p>
      <w:pPr>
        <w:ind w:firstLine="1497"/>
        <w:spacing w:after="0" w:line="258" w:lineRule="auto"/>
        <w:rPr>
          <w:sz w:val="20"/>
          <w:szCs w:val="20"/>
          <w:color w:val="auto"/>
        </w:rPr>
      </w:pPr>
      <w:r>
        <w:rPr>
          <w:rFonts w:ascii="Times New Roman" w:cs="Times New Roman" w:eastAsia="Times New Roman" w:hAnsi="Times New Roman"/>
          <w:sz w:val="22"/>
          <w:szCs w:val="22"/>
          <w:color w:val="auto"/>
        </w:rPr>
        <w:t>IN WITNESS WHEREOF, the parties hereto have caused this Amendment to be duly executed and delivered by their respective duly authorized officers as of the date first written above.</w:t>
      </w:r>
    </w:p>
    <w:p>
      <w:pPr>
        <w:spacing w:after="0" w:line="154"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22"/>
          <w:szCs w:val="22"/>
          <w:b w:val="1"/>
          <w:bCs w:val="1"/>
          <w:color w:val="auto"/>
        </w:rPr>
        <w:t>BORROWERS:</w:t>
      </w:r>
    </w:p>
    <w:p>
      <w:pPr>
        <w:spacing w:after="0" w:line="237" w:lineRule="exact"/>
        <w:rPr>
          <w:sz w:val="20"/>
          <w:szCs w:val="20"/>
          <w:color w:val="auto"/>
        </w:rPr>
      </w:pPr>
    </w:p>
    <w:p>
      <w:pPr>
        <w:ind w:left="4240" w:right="1020"/>
        <w:spacing w:after="0" w:line="258" w:lineRule="auto"/>
        <w:rPr>
          <w:sz w:val="20"/>
          <w:szCs w:val="20"/>
          <w:color w:val="auto"/>
        </w:rPr>
      </w:pPr>
      <w:r>
        <w:rPr>
          <w:rFonts w:ascii="Times New Roman" w:cs="Times New Roman" w:eastAsia="Times New Roman" w:hAnsi="Times New Roman"/>
          <w:sz w:val="22"/>
          <w:szCs w:val="22"/>
          <w:color w:val="auto"/>
        </w:rPr>
        <w:t>GREAT LAKES DREDGE &amp; DOCK CORPORATION, a Delaware corporation</w:t>
      </w:r>
    </w:p>
    <w:p>
      <w:pPr>
        <w:spacing w:after="0" w:line="200" w:lineRule="exact"/>
        <w:rPr>
          <w:sz w:val="20"/>
          <w:szCs w:val="20"/>
          <w:color w:val="auto"/>
        </w:rPr>
      </w:pPr>
    </w:p>
    <w:p>
      <w:pPr>
        <w:spacing w:after="0" w:line="228"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22"/>
          <w:szCs w:val="22"/>
          <w:color w:val="auto"/>
        </w:rPr>
        <w:t>By: /s/ Scott L. Kornblau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2967990</wp:posOffset>
            </wp:positionH>
            <wp:positionV relativeFrom="paragraph">
              <wp:posOffset>-13970</wp:posOffset>
            </wp:positionV>
            <wp:extent cx="192024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8">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ind w:left="4240"/>
        <w:spacing w:after="0"/>
        <w:rPr>
          <w:sz w:val="20"/>
          <w:szCs w:val="20"/>
          <w:color w:val="auto"/>
        </w:rPr>
      </w:pPr>
      <w:r>
        <w:rPr>
          <w:rFonts w:ascii="Times New Roman" w:cs="Times New Roman" w:eastAsia="Times New Roman" w:hAnsi="Times New Roman"/>
          <w:sz w:val="22"/>
          <w:szCs w:val="22"/>
          <w:color w:val="auto"/>
        </w:rPr>
        <w:t>Name: Scott L. Kornblau</w:t>
      </w:r>
    </w:p>
    <w:p>
      <w:pPr>
        <w:ind w:left="4240"/>
        <w:spacing w:after="0"/>
        <w:rPr>
          <w:sz w:val="20"/>
          <w:szCs w:val="20"/>
          <w:color w:val="auto"/>
        </w:rPr>
      </w:pPr>
      <w:r>
        <w:rPr>
          <w:rFonts w:ascii="Times New Roman" w:cs="Times New Roman" w:eastAsia="Times New Roman" w:hAnsi="Times New Roman"/>
          <w:sz w:val="22"/>
          <w:szCs w:val="22"/>
          <w:color w:val="auto"/>
        </w:rPr>
        <w:t>Title: Senior Vice President and Chief Financial Officer</w:t>
      </w:r>
    </w:p>
    <w:p>
      <w:pPr>
        <w:spacing w:after="0" w:line="200" w:lineRule="exact"/>
        <w:rPr>
          <w:sz w:val="20"/>
          <w:szCs w:val="20"/>
          <w:color w:val="auto"/>
        </w:rPr>
      </w:pPr>
    </w:p>
    <w:p>
      <w:pPr>
        <w:spacing w:after="0" w:line="252" w:lineRule="exact"/>
        <w:rPr>
          <w:sz w:val="20"/>
          <w:szCs w:val="20"/>
          <w:color w:val="auto"/>
        </w:rPr>
      </w:pPr>
    </w:p>
    <w:p>
      <w:pPr>
        <w:ind w:left="4240" w:right="960"/>
        <w:spacing w:after="0" w:line="258" w:lineRule="auto"/>
        <w:rPr>
          <w:sz w:val="20"/>
          <w:szCs w:val="20"/>
          <w:color w:val="auto"/>
        </w:rPr>
      </w:pPr>
      <w:r>
        <w:rPr>
          <w:rFonts w:ascii="Times New Roman" w:cs="Times New Roman" w:eastAsia="Times New Roman" w:hAnsi="Times New Roman"/>
          <w:sz w:val="22"/>
          <w:szCs w:val="22"/>
          <w:color w:val="auto"/>
        </w:rPr>
        <w:t>GREAT LAKES DREDGE &amp; DOCK COMPANY, LLC, a Delaware limited liability company</w:t>
      </w:r>
    </w:p>
    <w:p>
      <w:pPr>
        <w:spacing w:after="0" w:line="200" w:lineRule="exact"/>
        <w:rPr>
          <w:sz w:val="20"/>
          <w:szCs w:val="20"/>
          <w:color w:val="auto"/>
        </w:rPr>
      </w:pPr>
    </w:p>
    <w:p>
      <w:pPr>
        <w:spacing w:after="0" w:line="228"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22"/>
          <w:szCs w:val="22"/>
          <w:color w:val="auto"/>
        </w:rPr>
        <w:t>By: /s/ Scott L. Kornblau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2967990</wp:posOffset>
            </wp:positionH>
            <wp:positionV relativeFrom="paragraph">
              <wp:posOffset>-13970</wp:posOffset>
            </wp:positionV>
            <wp:extent cx="192024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9">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ind w:left="4240"/>
        <w:spacing w:after="0"/>
        <w:rPr>
          <w:sz w:val="20"/>
          <w:szCs w:val="20"/>
          <w:color w:val="auto"/>
        </w:rPr>
      </w:pPr>
      <w:r>
        <w:rPr>
          <w:rFonts w:ascii="Times New Roman" w:cs="Times New Roman" w:eastAsia="Times New Roman" w:hAnsi="Times New Roman"/>
          <w:sz w:val="22"/>
          <w:szCs w:val="22"/>
          <w:color w:val="auto"/>
        </w:rPr>
        <w:t>Name: Scott L. Kornblau</w:t>
      </w:r>
    </w:p>
    <w:p>
      <w:pPr>
        <w:ind w:left="4240"/>
        <w:spacing w:after="0"/>
        <w:rPr>
          <w:sz w:val="20"/>
          <w:szCs w:val="20"/>
          <w:color w:val="auto"/>
        </w:rPr>
      </w:pPr>
      <w:r>
        <w:rPr>
          <w:rFonts w:ascii="Times New Roman" w:cs="Times New Roman" w:eastAsia="Times New Roman" w:hAnsi="Times New Roman"/>
          <w:sz w:val="22"/>
          <w:szCs w:val="22"/>
          <w:color w:val="auto"/>
        </w:rPr>
        <w:t>Title: Senior Vice President and Chief Financial Officer</w:t>
      </w:r>
    </w:p>
    <w:p>
      <w:pPr>
        <w:spacing w:after="0" w:line="200" w:lineRule="exact"/>
        <w:rPr>
          <w:sz w:val="20"/>
          <w:szCs w:val="20"/>
          <w:color w:val="auto"/>
        </w:rPr>
      </w:pPr>
    </w:p>
    <w:p>
      <w:pPr>
        <w:spacing w:after="0" w:line="252"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22"/>
          <w:szCs w:val="22"/>
          <w:color w:val="auto"/>
        </w:rPr>
        <w:t>NASDI HOLDINGS, LLC, a Delaware limited liability company</w:t>
      </w:r>
    </w:p>
    <w:p>
      <w:pPr>
        <w:spacing w:after="0" w:line="200" w:lineRule="exact"/>
        <w:rPr>
          <w:sz w:val="20"/>
          <w:szCs w:val="20"/>
          <w:color w:val="auto"/>
        </w:rPr>
      </w:pPr>
    </w:p>
    <w:p>
      <w:pPr>
        <w:spacing w:after="0" w:line="276"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22"/>
          <w:szCs w:val="22"/>
          <w:color w:val="auto"/>
        </w:rPr>
        <w:t>By: /s/ Scott L. Kornblau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2967990</wp:posOffset>
            </wp:positionH>
            <wp:positionV relativeFrom="paragraph">
              <wp:posOffset>-13970</wp:posOffset>
            </wp:positionV>
            <wp:extent cx="192024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0">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ind w:left="4240"/>
        <w:spacing w:after="0"/>
        <w:rPr>
          <w:sz w:val="20"/>
          <w:szCs w:val="20"/>
          <w:color w:val="auto"/>
        </w:rPr>
      </w:pPr>
      <w:r>
        <w:rPr>
          <w:rFonts w:ascii="Times New Roman" w:cs="Times New Roman" w:eastAsia="Times New Roman" w:hAnsi="Times New Roman"/>
          <w:sz w:val="22"/>
          <w:szCs w:val="22"/>
          <w:color w:val="auto"/>
        </w:rPr>
        <w:t>Name: Scott L. Kornblau</w:t>
      </w:r>
    </w:p>
    <w:p>
      <w:pPr>
        <w:ind w:left="4240"/>
        <w:spacing w:after="0"/>
        <w:rPr>
          <w:sz w:val="20"/>
          <w:szCs w:val="20"/>
          <w:color w:val="auto"/>
        </w:rPr>
      </w:pPr>
      <w:r>
        <w:rPr>
          <w:rFonts w:ascii="Times New Roman" w:cs="Times New Roman" w:eastAsia="Times New Roman" w:hAnsi="Times New Roman"/>
          <w:sz w:val="22"/>
          <w:szCs w:val="22"/>
          <w:color w:val="auto"/>
        </w:rPr>
        <w:t>Title: Chief Executive Officer, President and Treasurer</w:t>
      </w:r>
    </w:p>
    <w:p>
      <w:pPr>
        <w:spacing w:after="0" w:line="200" w:lineRule="exact"/>
        <w:rPr>
          <w:sz w:val="20"/>
          <w:szCs w:val="20"/>
          <w:color w:val="auto"/>
        </w:rPr>
      </w:pPr>
    </w:p>
    <w:p>
      <w:pPr>
        <w:spacing w:after="0" w:line="252"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22"/>
          <w:szCs w:val="22"/>
          <w:color w:val="auto"/>
        </w:rPr>
        <w:t>GREAT LAKES ENVIRONMENTAL &amp; INFRASTRUCTURE</w:t>
      </w:r>
    </w:p>
    <w:p>
      <w:pPr>
        <w:spacing w:after="0" w:line="14"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22"/>
          <w:szCs w:val="22"/>
          <w:color w:val="auto"/>
        </w:rPr>
        <w:t>SOLUTIONS, LLC, a Delaware limited liability company</w:t>
      </w:r>
    </w:p>
    <w:p>
      <w:pPr>
        <w:spacing w:after="0" w:line="200" w:lineRule="exact"/>
        <w:rPr>
          <w:sz w:val="20"/>
          <w:szCs w:val="20"/>
          <w:color w:val="auto"/>
        </w:rPr>
      </w:pPr>
    </w:p>
    <w:p>
      <w:pPr>
        <w:spacing w:after="0" w:line="252"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22"/>
          <w:szCs w:val="22"/>
          <w:color w:val="auto"/>
        </w:rPr>
        <w:t>By: /s/ David R. Skipper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2967990</wp:posOffset>
            </wp:positionH>
            <wp:positionV relativeFrom="paragraph">
              <wp:posOffset>-13970</wp:posOffset>
            </wp:positionV>
            <wp:extent cx="164592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1">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ind w:left="4240"/>
        <w:spacing w:after="0"/>
        <w:rPr>
          <w:sz w:val="20"/>
          <w:szCs w:val="20"/>
          <w:color w:val="auto"/>
        </w:rPr>
      </w:pPr>
      <w:r>
        <w:rPr>
          <w:rFonts w:ascii="Times New Roman" w:cs="Times New Roman" w:eastAsia="Times New Roman" w:hAnsi="Times New Roman"/>
          <w:sz w:val="22"/>
          <w:szCs w:val="22"/>
          <w:color w:val="auto"/>
        </w:rPr>
        <w:t>Name: David R. Skipper</w:t>
      </w:r>
    </w:p>
    <w:p>
      <w:pPr>
        <w:ind w:left="4240"/>
        <w:spacing w:after="0"/>
        <w:rPr>
          <w:sz w:val="20"/>
          <w:szCs w:val="20"/>
          <w:color w:val="auto"/>
        </w:rPr>
      </w:pPr>
      <w:r>
        <w:rPr>
          <w:rFonts w:ascii="Times New Roman" w:cs="Times New Roman" w:eastAsia="Times New Roman" w:hAnsi="Times New Roman"/>
          <w:sz w:val="22"/>
          <w:szCs w:val="22"/>
          <w:color w:val="auto"/>
        </w:rPr>
        <w:t>Title: Treasurer</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Signature Page to Amendment No. 2 to Second Amended and Restated Revolving Credit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8" w:right="359" w:bottom="1440" w:gutter="0" w:footer="0" w:header="0"/>
        </w:sectPr>
      </w:pPr>
    </w:p>
    <w:bookmarkStart w:id="35" w:name="page36"/>
    <w:bookmarkEnd w:id="35"/>
    <w:p>
      <w:pPr>
        <w:ind w:left="4240" w:right="220"/>
        <w:spacing w:after="0" w:line="258" w:lineRule="auto"/>
        <w:rPr>
          <w:sz w:val="20"/>
          <w:szCs w:val="20"/>
          <w:color w:val="auto"/>
        </w:rPr>
      </w:pPr>
      <w:r>
        <w:rPr>
          <w:rFonts w:ascii="Times New Roman" w:cs="Times New Roman" w:eastAsia="Times New Roman" w:hAnsi="Times New Roman"/>
          <w:sz w:val="22"/>
          <w:szCs w:val="22"/>
          <w:color w:val="auto"/>
        </w:rPr>
        <w:t>GREAT LAKES U.S. FLEET MANAGEMENT, LLC, a Delaware limited liability company</w:t>
      </w:r>
    </w:p>
    <w:p>
      <w:pPr>
        <w:spacing w:after="0" w:line="200" w:lineRule="exact"/>
        <w:rPr>
          <w:sz w:val="20"/>
          <w:szCs w:val="20"/>
          <w:color w:val="auto"/>
        </w:rPr>
      </w:pPr>
    </w:p>
    <w:p>
      <w:pPr>
        <w:spacing w:after="0" w:line="228"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22"/>
          <w:szCs w:val="22"/>
          <w:color w:val="auto"/>
        </w:rPr>
        <w:t>By: /s/ Scott L. Kornblau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2967990</wp:posOffset>
            </wp:positionH>
            <wp:positionV relativeFrom="paragraph">
              <wp:posOffset>-13970</wp:posOffset>
            </wp:positionV>
            <wp:extent cx="192024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3">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ind w:left="4240"/>
        <w:spacing w:after="0"/>
        <w:rPr>
          <w:sz w:val="20"/>
          <w:szCs w:val="20"/>
          <w:color w:val="auto"/>
        </w:rPr>
      </w:pPr>
      <w:r>
        <w:rPr>
          <w:rFonts w:ascii="Times New Roman" w:cs="Times New Roman" w:eastAsia="Times New Roman" w:hAnsi="Times New Roman"/>
          <w:sz w:val="22"/>
          <w:szCs w:val="22"/>
          <w:color w:val="auto"/>
        </w:rPr>
        <w:t>Name: Scott L. Kornblau</w:t>
      </w:r>
    </w:p>
    <w:p>
      <w:pPr>
        <w:ind w:left="4240"/>
        <w:spacing w:after="0"/>
        <w:rPr>
          <w:sz w:val="20"/>
          <w:szCs w:val="20"/>
          <w:color w:val="auto"/>
        </w:rPr>
      </w:pPr>
      <w:r>
        <w:rPr>
          <w:rFonts w:ascii="Times New Roman" w:cs="Times New Roman" w:eastAsia="Times New Roman" w:hAnsi="Times New Roman"/>
          <w:sz w:val="22"/>
          <w:szCs w:val="22"/>
          <w:color w:val="auto"/>
        </w:rPr>
        <w:t>Title: Vice President</w:t>
      </w:r>
    </w:p>
    <w:p>
      <w:pPr>
        <w:spacing w:after="0" w:line="200" w:lineRule="exact"/>
        <w:rPr>
          <w:sz w:val="20"/>
          <w:szCs w:val="20"/>
          <w:color w:val="auto"/>
        </w:rPr>
      </w:pPr>
    </w:p>
    <w:p>
      <w:pPr>
        <w:spacing w:after="0" w:line="25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DREWS SERVICES LLC, a South Carolina limited liability company</w:t>
      </w:r>
    </w:p>
    <w:p>
      <w:pPr>
        <w:spacing w:after="0" w:line="200" w:lineRule="exact"/>
        <w:rPr>
          <w:sz w:val="20"/>
          <w:szCs w:val="20"/>
          <w:color w:val="auto"/>
        </w:rPr>
      </w:pPr>
    </w:p>
    <w:p>
      <w:pPr>
        <w:spacing w:after="0" w:line="276"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22"/>
          <w:szCs w:val="22"/>
          <w:color w:val="auto"/>
        </w:rPr>
        <w:t>By: /s/ Kimberly Arias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2967990</wp:posOffset>
            </wp:positionH>
            <wp:positionV relativeFrom="paragraph">
              <wp:posOffset>-13970</wp:posOffset>
            </wp:positionV>
            <wp:extent cx="137160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4">
                      <a:extLst>
                        <a:ext uri="{28A0092B-C50C-407E-A947-70E740481C1C}"/>
                      </a:extLst>
                    </a:blip>
                    <a:srcRect/>
                    <a:stretch>
                      <a:fillRect/>
                    </a:stretch>
                  </pic:blipFill>
                  <pic:spPr bwMode="auto">
                    <a:xfrm>
                      <a:off x="0" y="0"/>
                      <a:ext cx="1371600" cy="8255"/>
                    </a:xfrm>
                    <a:prstGeom prst="rect">
                      <a:avLst/>
                    </a:prstGeom>
                    <a:noFill/>
                  </pic:spPr>
                </pic:pic>
              </a:graphicData>
            </a:graphic>
          </wp:anchor>
        </w:drawing>
      </w:r>
    </w:p>
    <w:p>
      <w:pPr>
        <w:ind w:left="4240"/>
        <w:spacing w:after="0"/>
        <w:rPr>
          <w:sz w:val="20"/>
          <w:szCs w:val="20"/>
          <w:color w:val="auto"/>
        </w:rPr>
      </w:pPr>
      <w:r>
        <w:rPr>
          <w:rFonts w:ascii="Times New Roman" w:cs="Times New Roman" w:eastAsia="Times New Roman" w:hAnsi="Times New Roman"/>
          <w:sz w:val="22"/>
          <w:szCs w:val="22"/>
          <w:color w:val="auto"/>
        </w:rPr>
        <w:t>Name: Kimberly Arias</w:t>
      </w:r>
    </w:p>
    <w:p>
      <w:pPr>
        <w:ind w:left="4240"/>
        <w:spacing w:after="0"/>
        <w:rPr>
          <w:sz w:val="20"/>
          <w:szCs w:val="20"/>
          <w:color w:val="auto"/>
        </w:rPr>
      </w:pPr>
      <w:r>
        <w:rPr>
          <w:rFonts w:ascii="Times New Roman" w:cs="Times New Roman" w:eastAsia="Times New Roman" w:hAnsi="Times New Roman"/>
          <w:sz w:val="22"/>
          <w:szCs w:val="22"/>
          <w:color w:val="auto"/>
        </w:rPr>
        <w:t>Title: Treasurer</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Signature Page to Amendment No. 2 to Second Amended and Restated Revolving Credit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40"/>
          </w:cols>
          <w:pgMar w:left="320" w:top="1408" w:right="1239" w:bottom="1440" w:gutter="0" w:footer="0" w:header="0"/>
        </w:sectPr>
      </w:pPr>
    </w:p>
    <w:bookmarkStart w:id="36" w:name="page37"/>
    <w:bookmarkEnd w:id="36"/>
    <w:p>
      <w:pPr>
        <w:spacing w:after="0" w:line="212"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21"/>
          <w:szCs w:val="21"/>
          <w:color w:val="auto"/>
        </w:rPr>
        <w:t>PNC BANK, NATIONAL ASSOCIATION,</w:t>
      </w:r>
    </w:p>
    <w:p>
      <w:pPr>
        <w:spacing w:after="0" w:line="26"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22"/>
          <w:szCs w:val="22"/>
          <w:color w:val="auto"/>
        </w:rPr>
        <w:t>As Lender and as Agent</w:t>
      </w:r>
    </w:p>
    <w:p>
      <w:pPr>
        <w:spacing w:after="0" w:line="200" w:lineRule="exact"/>
        <w:rPr>
          <w:sz w:val="20"/>
          <w:szCs w:val="20"/>
          <w:color w:val="auto"/>
        </w:rPr>
      </w:pPr>
    </w:p>
    <w:p>
      <w:pPr>
        <w:spacing w:after="0" w:line="252" w:lineRule="exact"/>
        <w:rPr>
          <w:sz w:val="20"/>
          <w:szCs w:val="20"/>
          <w:color w:val="auto"/>
        </w:rPr>
      </w:pPr>
    </w:p>
    <w:p>
      <w:pPr>
        <w:ind w:left="4240"/>
        <w:spacing w:after="0"/>
        <w:tabs>
          <w:tab w:leader="none" w:pos="486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u w:val="single" w:color="auto"/>
          <w:color w:val="auto"/>
        </w:rPr>
        <w:t>/s/ Kevin Trout</w:t>
      </w:r>
    </w:p>
    <w:p>
      <w:pPr>
        <w:spacing w:after="0" w:line="4"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22"/>
          <w:szCs w:val="22"/>
          <w:color w:val="auto"/>
        </w:rPr>
        <w:t>Name: Kevin Trout</w:t>
      </w:r>
    </w:p>
    <w:p>
      <w:pPr>
        <w:ind w:left="4240"/>
        <w:spacing w:after="0"/>
        <w:rPr>
          <w:sz w:val="20"/>
          <w:szCs w:val="20"/>
          <w:color w:val="auto"/>
        </w:rPr>
      </w:pPr>
      <w:r>
        <w:rPr>
          <w:rFonts w:ascii="Times New Roman" w:cs="Times New Roman" w:eastAsia="Times New Roman" w:hAnsi="Times New Roman"/>
          <w:sz w:val="22"/>
          <w:szCs w:val="22"/>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Signature Page to Amendment No. 2 to Second Amended and Restated Revolving Credit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37" w:name="page38"/>
    <w:bookmarkEnd w:id="37"/>
    <w:p>
      <w:pPr>
        <w:spacing w:after="0" w:line="212"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22"/>
          <w:szCs w:val="22"/>
          <w:color w:val="auto"/>
        </w:rPr>
        <w:t>CIBC BANK USA,</w:t>
      </w:r>
    </w:p>
    <w:p>
      <w:pPr>
        <w:spacing w:after="0" w:line="14"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22"/>
          <w:szCs w:val="22"/>
          <w:color w:val="auto"/>
        </w:rPr>
        <w:t>As a Lender</w:t>
      </w:r>
    </w:p>
    <w:p>
      <w:pPr>
        <w:spacing w:after="0" w:line="200" w:lineRule="exact"/>
        <w:rPr>
          <w:sz w:val="20"/>
          <w:szCs w:val="20"/>
          <w:color w:val="auto"/>
        </w:rPr>
      </w:pPr>
    </w:p>
    <w:p>
      <w:pPr>
        <w:spacing w:after="0" w:line="252" w:lineRule="exact"/>
        <w:rPr>
          <w:sz w:val="20"/>
          <w:szCs w:val="20"/>
          <w:color w:val="auto"/>
        </w:rPr>
      </w:pPr>
    </w:p>
    <w:p>
      <w:pPr>
        <w:ind w:left="4240"/>
        <w:spacing w:after="0"/>
        <w:tabs>
          <w:tab w:leader="none" w:pos="48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u w:val="single" w:color="auto"/>
          <w:color w:val="auto"/>
        </w:rPr>
        <w:t>/s/ Brett Hrupek</w:t>
      </w:r>
    </w:p>
    <w:p>
      <w:pPr>
        <w:spacing w:after="0" w:line="4"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22"/>
          <w:szCs w:val="22"/>
          <w:color w:val="auto"/>
        </w:rPr>
        <w:t>Name: Brett Hrupek</w:t>
      </w:r>
    </w:p>
    <w:p>
      <w:pPr>
        <w:ind w:left="4240"/>
        <w:spacing w:after="0"/>
        <w:rPr>
          <w:sz w:val="20"/>
          <w:szCs w:val="20"/>
          <w:color w:val="auto"/>
        </w:rPr>
      </w:pPr>
      <w:r>
        <w:rPr>
          <w:rFonts w:ascii="Times New Roman" w:cs="Times New Roman" w:eastAsia="Times New Roman" w:hAnsi="Times New Roman"/>
          <w:sz w:val="22"/>
          <w:szCs w:val="22"/>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Signature Page to Amendment No. 2 to Second Amended and Restated Revolving Credit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38" w:name="page39"/>
    <w:bookmarkEnd w:id="38"/>
    <w:p>
      <w:pPr>
        <w:spacing w:after="0" w:line="212"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21"/>
          <w:szCs w:val="21"/>
          <w:color w:val="auto"/>
        </w:rPr>
        <w:t>BANK OF AMERICA, N.A.,</w:t>
      </w:r>
    </w:p>
    <w:p>
      <w:pPr>
        <w:spacing w:after="0" w:line="26"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22"/>
          <w:szCs w:val="22"/>
          <w:color w:val="auto"/>
        </w:rPr>
        <w:t>As a Lender</w:t>
      </w:r>
    </w:p>
    <w:p>
      <w:pPr>
        <w:spacing w:after="0" w:line="200" w:lineRule="exact"/>
        <w:rPr>
          <w:sz w:val="20"/>
          <w:szCs w:val="20"/>
          <w:color w:val="auto"/>
        </w:rPr>
      </w:pPr>
    </w:p>
    <w:p>
      <w:pPr>
        <w:spacing w:after="0" w:line="252" w:lineRule="exact"/>
        <w:rPr>
          <w:sz w:val="20"/>
          <w:szCs w:val="20"/>
          <w:color w:val="auto"/>
        </w:rPr>
      </w:pPr>
    </w:p>
    <w:p>
      <w:pPr>
        <w:ind w:left="4240"/>
        <w:spacing w:after="0"/>
        <w:tabs>
          <w:tab w:leader="none" w:pos="486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u w:val="single" w:color="auto"/>
          <w:color w:val="auto"/>
        </w:rPr>
        <w:t>/s/ Thomas Pietro</w:t>
      </w:r>
    </w:p>
    <w:p>
      <w:pPr>
        <w:spacing w:after="0" w:line="4"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22"/>
          <w:szCs w:val="22"/>
          <w:color w:val="auto"/>
        </w:rPr>
        <w:t>Name: Thomas Pietro</w:t>
      </w:r>
    </w:p>
    <w:p>
      <w:pPr>
        <w:ind w:left="4240"/>
        <w:spacing w:after="0"/>
        <w:rPr>
          <w:sz w:val="20"/>
          <w:szCs w:val="20"/>
          <w:color w:val="auto"/>
        </w:rPr>
      </w:pPr>
      <w:r>
        <w:rPr>
          <w:rFonts w:ascii="Times New Roman" w:cs="Times New Roman" w:eastAsia="Times New Roman" w:hAnsi="Times New Roman"/>
          <w:sz w:val="22"/>
          <w:szCs w:val="22"/>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Signature Page to Amendment No. 2 to Second Amended and Restated Revolving Credit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39" w:name="page40"/>
    <w:bookmarkEnd w:id="39"/>
    <w:p>
      <w:pPr>
        <w:spacing w:after="0" w:line="212"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22"/>
          <w:szCs w:val="22"/>
          <w:color w:val="auto"/>
        </w:rPr>
        <w:t>TRUIST BANK,</w:t>
      </w:r>
    </w:p>
    <w:p>
      <w:pPr>
        <w:spacing w:after="0" w:line="14"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22"/>
          <w:szCs w:val="22"/>
          <w:color w:val="auto"/>
        </w:rPr>
        <w:t>As a Lender</w:t>
      </w:r>
    </w:p>
    <w:p>
      <w:pPr>
        <w:spacing w:after="0" w:line="200" w:lineRule="exact"/>
        <w:rPr>
          <w:sz w:val="20"/>
          <w:szCs w:val="20"/>
          <w:color w:val="auto"/>
        </w:rPr>
      </w:pPr>
    </w:p>
    <w:p>
      <w:pPr>
        <w:spacing w:after="0" w:line="252" w:lineRule="exact"/>
        <w:rPr>
          <w:sz w:val="20"/>
          <w:szCs w:val="20"/>
          <w:color w:val="auto"/>
        </w:rPr>
      </w:pPr>
    </w:p>
    <w:p>
      <w:pPr>
        <w:ind w:left="4240"/>
        <w:spacing w:after="0"/>
        <w:tabs>
          <w:tab w:leader="none" w:pos="4800" w:val="left"/>
        </w:tabs>
        <w:rPr>
          <w:sz w:val="20"/>
          <w:szCs w:val="20"/>
          <w:color w:val="auto"/>
        </w:rPr>
      </w:pPr>
      <w:r>
        <w:rPr>
          <w:rFonts w:ascii="Times New Roman" w:cs="Times New Roman" w:eastAsia="Times New Roman" w:hAnsi="Times New Roman"/>
          <w:sz w:val="21"/>
          <w:szCs w:val="21"/>
          <w:color w:val="auto"/>
        </w:rPr>
        <w:t>By:</w:t>
      </w:r>
      <w:r>
        <w:rPr>
          <w:sz w:val="20"/>
          <w:szCs w:val="20"/>
          <w:color w:val="auto"/>
        </w:rPr>
        <w:tab/>
      </w:r>
      <w:r>
        <w:rPr>
          <w:rFonts w:ascii="Times New Roman" w:cs="Times New Roman" w:eastAsia="Times New Roman" w:hAnsi="Times New Roman"/>
          <w:sz w:val="21"/>
          <w:szCs w:val="21"/>
          <w:u w:val="single" w:color="auto"/>
          <w:color w:val="auto"/>
        </w:rPr>
        <w:t>/s/ Benjamin N. D. Lucas</w:t>
      </w:r>
    </w:p>
    <w:p>
      <w:pPr>
        <w:spacing w:after="0" w:line="16"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22"/>
          <w:szCs w:val="22"/>
          <w:color w:val="auto"/>
        </w:rPr>
        <w:t>Name: Benjamin N. D. Lucas</w:t>
      </w:r>
    </w:p>
    <w:p>
      <w:pPr>
        <w:ind w:left="4240"/>
        <w:spacing w:after="0"/>
        <w:rPr>
          <w:sz w:val="20"/>
          <w:szCs w:val="20"/>
          <w:color w:val="auto"/>
        </w:rPr>
      </w:pPr>
      <w:r>
        <w:rPr>
          <w:rFonts w:ascii="Times New Roman" w:cs="Times New Roman" w:eastAsia="Times New Roman" w:hAnsi="Times New Roman"/>
          <w:sz w:val="22"/>
          <w:szCs w:val="22"/>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Signature Page to Amendment No. 2 to Second Amended and Restated Revolving Credit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40" w:name="page41"/>
    <w:bookmarkEnd w:id="40"/>
    <w:p>
      <w:pPr>
        <w:spacing w:after="0" w:line="212"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21"/>
          <w:szCs w:val="21"/>
          <w:color w:val="auto"/>
        </w:rPr>
        <w:t>TEXAS CAPITAL BANK,</w:t>
      </w:r>
    </w:p>
    <w:p>
      <w:pPr>
        <w:spacing w:after="0" w:line="26"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22"/>
          <w:szCs w:val="22"/>
          <w:color w:val="auto"/>
        </w:rPr>
        <w:t>As a Lender</w:t>
      </w:r>
    </w:p>
    <w:p>
      <w:pPr>
        <w:spacing w:after="0" w:line="200" w:lineRule="exact"/>
        <w:rPr>
          <w:sz w:val="20"/>
          <w:szCs w:val="20"/>
          <w:color w:val="auto"/>
        </w:rPr>
      </w:pPr>
    </w:p>
    <w:p>
      <w:pPr>
        <w:spacing w:after="0" w:line="229" w:lineRule="exact"/>
        <w:rPr>
          <w:sz w:val="20"/>
          <w:szCs w:val="20"/>
          <w:color w:val="auto"/>
        </w:rPr>
      </w:pPr>
    </w:p>
    <w:tbl>
      <w:tblPr>
        <w:tblLayout w:type="fixed"/>
        <w:tblInd w:w="4240" w:type="dxa"/>
        <w:tblCellMar>
          <w:top w:w="0" w:type="dxa"/>
          <w:left w:w="0" w:type="dxa"/>
          <w:bottom w:w="0" w:type="dxa"/>
          <w:right w:w="0" w:type="dxa"/>
        </w:tblCellMar>
      </w:tblPr>
      <w:tr>
        <w:trPr>
          <w:trHeight w:val="253"/>
        </w:trPr>
        <w:tc>
          <w:tcPr>
            <w:tcW w:w="56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140" w:type="dxa"/>
            <w:vAlign w:val="bottom"/>
          </w:tcPr>
          <w:p>
            <w:pPr>
              <w:spacing w:after="0"/>
              <w:rPr>
                <w:sz w:val="22"/>
                <w:szCs w:val="22"/>
                <w:color w:val="auto"/>
              </w:rPr>
            </w:pPr>
          </w:p>
        </w:tc>
        <w:tc>
          <w:tcPr>
            <w:tcW w:w="164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8"/>
              </w:rPr>
              <w:t>/s/ Terri Sandridge</w:t>
            </w:r>
          </w:p>
        </w:tc>
      </w:tr>
      <w:tr>
        <w:trPr>
          <w:trHeight w:val="236"/>
        </w:trPr>
        <w:tc>
          <w:tcPr>
            <w:tcW w:w="700" w:type="dxa"/>
            <w:vAlign w:val="bottom"/>
            <w:gridSpan w:val="2"/>
          </w:tcPr>
          <w:p>
            <w:pPr>
              <w:spacing w:after="0" w:line="236" w:lineRule="exact"/>
              <w:rPr>
                <w:sz w:val="20"/>
                <w:szCs w:val="20"/>
                <w:color w:val="auto"/>
              </w:rPr>
            </w:pPr>
            <w:r>
              <w:rPr>
                <w:rFonts w:ascii="Times New Roman" w:cs="Times New Roman" w:eastAsia="Times New Roman" w:hAnsi="Times New Roman"/>
                <w:sz w:val="22"/>
                <w:szCs w:val="22"/>
                <w:color w:val="auto"/>
              </w:rPr>
              <w:t>Name:</w:t>
            </w:r>
          </w:p>
        </w:tc>
        <w:tc>
          <w:tcPr>
            <w:tcW w:w="1620" w:type="dxa"/>
            <w:vAlign w:val="bottom"/>
            <w:tcBorders>
              <w:top w:val="single" w:sz="8" w:color="auto"/>
            </w:tcBorders>
          </w:tcPr>
          <w:p>
            <w:pPr>
              <w:spacing w:after="0" w:line="236" w:lineRule="exact"/>
              <w:rPr>
                <w:sz w:val="20"/>
                <w:szCs w:val="20"/>
                <w:color w:val="auto"/>
              </w:rPr>
            </w:pPr>
            <w:r>
              <w:rPr>
                <w:rFonts w:ascii="Times New Roman" w:cs="Times New Roman" w:eastAsia="Times New Roman" w:hAnsi="Times New Roman"/>
                <w:sz w:val="22"/>
                <w:szCs w:val="22"/>
                <w:color w:val="auto"/>
              </w:rPr>
              <w:t>Terri Sandridge</w:t>
            </w:r>
          </w:p>
        </w:tc>
        <w:tc>
          <w:tcPr>
            <w:tcW w:w="20" w:type="dxa"/>
            <w:vAlign w:val="bottom"/>
          </w:tcPr>
          <w:p>
            <w:pPr>
              <w:spacing w:after="0"/>
              <w:rPr>
                <w:sz w:val="20"/>
                <w:szCs w:val="20"/>
                <w:color w:val="auto"/>
              </w:rPr>
            </w:pPr>
          </w:p>
        </w:tc>
      </w:tr>
      <w:tr>
        <w:trPr>
          <w:trHeight w:val="282"/>
        </w:trPr>
        <w:tc>
          <w:tcPr>
            <w:tcW w:w="56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1780" w:type="dxa"/>
            <w:vAlign w:val="bottom"/>
            <w:gridSpan w:val="3"/>
          </w:tcPr>
          <w:p>
            <w:pPr>
              <w:ind w:left="80"/>
              <w:spacing w:after="0"/>
              <w:rPr>
                <w:sz w:val="20"/>
                <w:szCs w:val="20"/>
                <w:color w:val="auto"/>
              </w:rPr>
            </w:pPr>
            <w:r>
              <w:rPr>
                <w:rFonts w:ascii="Times New Roman" w:cs="Times New Roman" w:eastAsia="Times New Roman" w:hAnsi="Times New Roman"/>
                <w:sz w:val="22"/>
                <w:szCs w:val="22"/>
                <w:color w:val="auto"/>
              </w:rPr>
              <w:t>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Signature Page to Amendment No. 2 to Second Amended and Restated Revolving Credit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Amended Credit Agreement</w:t>
      </w: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1335405</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04" w:right="1440" w:bottom="1440" w:gutter="0" w:footer="0" w:header="0"/>
        </w:sectPr>
      </w:pPr>
    </w:p>
    <w:bookmarkStart w:id="42" w:name="page43"/>
    <w:bookmarkEnd w:id="4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1066165</wp:posOffset>
            </wp:positionV>
            <wp:extent cx="7132320" cy="10287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2">
                      <a:extLst>
                        <a:ext uri="{28A0092B-C50C-407E-A947-70E740481C1C}"/>
                      </a:extLst>
                    </a:blip>
                    <a:srcRect/>
                    <a:stretch>
                      <a:fillRect/>
                    </a:stretch>
                  </pic:blipFill>
                  <pic:spPr bwMode="auto">
                    <a:xfrm>
                      <a:off x="0" y="0"/>
                      <a:ext cx="7132320" cy="102870"/>
                    </a:xfrm>
                    <a:prstGeom prst="rect">
                      <a:avLst/>
                    </a:prstGeom>
                    <a:noFill/>
                  </pic:spPr>
                </pic:pic>
              </a:graphicData>
            </a:graphic>
          </wp:anchor>
        </w:drawing>
      </w:r>
    </w:p>
    <w:p>
      <w:pPr>
        <w:spacing w:after="0" w:line="278" w:lineRule="exact"/>
        <w:rPr>
          <w:sz w:val="20"/>
          <w:szCs w:val="20"/>
          <w:color w:val="auto"/>
        </w:rPr>
      </w:pPr>
    </w:p>
    <w:p>
      <w:pPr>
        <w:jc w:val="center"/>
        <w:ind w:right="-1080"/>
        <w:spacing w:after="0"/>
        <w:rPr>
          <w:sz w:val="20"/>
          <w:szCs w:val="20"/>
          <w:color w:val="auto"/>
        </w:rPr>
      </w:pPr>
      <w:r>
        <w:rPr>
          <w:rFonts w:ascii="Times New Roman" w:cs="Times New Roman" w:eastAsia="Times New Roman" w:hAnsi="Times New Roman"/>
          <w:sz w:val="22"/>
          <w:szCs w:val="22"/>
          <w:b w:val="1"/>
          <w:bCs w:val="1"/>
          <w:color w:val="auto"/>
        </w:rPr>
        <w:t>SECOND AMENDED AND RESTATED</w:t>
      </w:r>
    </w:p>
    <w:p>
      <w:pPr>
        <w:spacing w:after="0" w:line="18" w:lineRule="exact"/>
        <w:rPr>
          <w:sz w:val="20"/>
          <w:szCs w:val="20"/>
          <w:color w:val="auto"/>
        </w:rPr>
      </w:pPr>
    </w:p>
    <w:p>
      <w:pPr>
        <w:jc w:val="center"/>
        <w:ind w:right="-1080"/>
        <w:spacing w:after="0"/>
        <w:rPr>
          <w:sz w:val="20"/>
          <w:szCs w:val="20"/>
          <w:color w:val="auto"/>
        </w:rPr>
      </w:pPr>
      <w:r>
        <w:rPr>
          <w:rFonts w:ascii="Times New Roman" w:cs="Times New Roman" w:eastAsia="Times New Roman" w:hAnsi="Times New Roman"/>
          <w:sz w:val="22"/>
          <w:szCs w:val="22"/>
          <w:b w:val="1"/>
          <w:bCs w:val="1"/>
          <w:color w:val="auto"/>
        </w:rPr>
        <w:t>REVOLVING CREDIT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132320" cy="15430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jc w:val="center"/>
        <w:ind w:right="-1080"/>
        <w:spacing w:after="0"/>
        <w:rPr>
          <w:sz w:val="20"/>
          <w:szCs w:val="20"/>
          <w:color w:val="auto"/>
        </w:rPr>
      </w:pPr>
      <w:r>
        <w:rPr>
          <w:rFonts w:ascii="Times New Roman" w:cs="Times New Roman" w:eastAsia="Times New Roman" w:hAnsi="Times New Roman"/>
          <w:sz w:val="22"/>
          <w:szCs w:val="22"/>
          <w:b w:val="1"/>
          <w:bCs w:val="1"/>
          <w:color w:val="auto"/>
        </w:rPr>
        <w:t>PNC CAPITAL MARKETS,</w:t>
      </w:r>
    </w:p>
    <w:p>
      <w:pPr>
        <w:spacing w:after="0" w:line="8"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22"/>
          <w:szCs w:val="22"/>
          <w:b w:val="1"/>
          <w:bCs w:val="1"/>
          <w:color w:val="auto"/>
        </w:rPr>
        <w:t>CIBC BANK USA,</w:t>
      </w:r>
    </w:p>
    <w:p>
      <w:pPr>
        <w:jc w:val="center"/>
        <w:ind w:right="-1080"/>
        <w:spacing w:after="0" w:line="230" w:lineRule="auto"/>
        <w:rPr>
          <w:sz w:val="20"/>
          <w:szCs w:val="20"/>
          <w:color w:val="auto"/>
        </w:rPr>
      </w:pPr>
      <w:r>
        <w:rPr>
          <w:rFonts w:ascii="Times New Roman" w:cs="Times New Roman" w:eastAsia="Times New Roman" w:hAnsi="Times New Roman"/>
          <w:sz w:val="22"/>
          <w:szCs w:val="22"/>
          <w:b w:val="1"/>
          <w:bCs w:val="1"/>
          <w:color w:val="auto"/>
        </w:rPr>
        <w:t>BANK OF AMERICA, N.A., and</w:t>
      </w:r>
    </w:p>
    <w:p>
      <w:pPr>
        <w:jc w:val="center"/>
        <w:ind w:right="-1080"/>
        <w:spacing w:after="0" w:line="231" w:lineRule="auto"/>
        <w:rPr>
          <w:sz w:val="20"/>
          <w:szCs w:val="20"/>
          <w:color w:val="auto"/>
        </w:rPr>
      </w:pPr>
      <w:r>
        <w:rPr>
          <w:rFonts w:ascii="Times New Roman" w:cs="Times New Roman" w:eastAsia="Times New Roman" w:hAnsi="Times New Roman"/>
          <w:sz w:val="22"/>
          <w:szCs w:val="22"/>
          <w:b w:val="1"/>
          <w:bCs w:val="1"/>
          <w:color w:val="auto"/>
        </w:rPr>
        <w:t>TRUIST SECURITIES, INC.</w:t>
      </w:r>
    </w:p>
    <w:p>
      <w:pPr>
        <w:jc w:val="center"/>
        <w:ind w:right="-1080"/>
        <w:spacing w:after="0"/>
        <w:rPr>
          <w:sz w:val="20"/>
          <w:szCs w:val="20"/>
          <w:color w:val="auto"/>
        </w:rPr>
      </w:pPr>
      <w:r>
        <w:rPr>
          <w:rFonts w:ascii="Times New Roman" w:cs="Times New Roman" w:eastAsia="Times New Roman" w:hAnsi="Times New Roman"/>
          <w:sz w:val="22"/>
          <w:szCs w:val="22"/>
          <w:b w:val="1"/>
          <w:bCs w:val="1"/>
          <w:color w:val="auto"/>
        </w:rPr>
        <w:t>(AS JOINT LEAD ARRANGERS AND JOINT BOOKRUNNERS)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132320" cy="15430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jc w:val="center"/>
        <w:ind w:right="-1080"/>
        <w:spacing w:after="0"/>
        <w:rPr>
          <w:sz w:val="20"/>
          <w:szCs w:val="20"/>
          <w:color w:val="auto"/>
        </w:rPr>
      </w:pPr>
      <w:r>
        <w:rPr>
          <w:rFonts w:ascii="Times New Roman" w:cs="Times New Roman" w:eastAsia="Times New Roman" w:hAnsi="Times New Roman"/>
          <w:sz w:val="22"/>
          <w:szCs w:val="22"/>
          <w:b w:val="1"/>
          <w:bCs w:val="1"/>
          <w:color w:val="auto"/>
        </w:rPr>
        <w:t>PNC BANK, NATIONAL ASSOCIATION</w:t>
      </w:r>
    </w:p>
    <w:p>
      <w:pPr>
        <w:spacing w:after="0" w:line="18" w:lineRule="exact"/>
        <w:rPr>
          <w:sz w:val="20"/>
          <w:szCs w:val="20"/>
          <w:color w:val="auto"/>
        </w:rPr>
      </w:pPr>
    </w:p>
    <w:p>
      <w:pPr>
        <w:jc w:val="center"/>
        <w:ind w:right="-1080"/>
        <w:spacing w:after="0"/>
        <w:rPr>
          <w:sz w:val="20"/>
          <w:szCs w:val="20"/>
          <w:color w:val="auto"/>
        </w:rPr>
      </w:pPr>
      <w:r>
        <w:rPr>
          <w:rFonts w:ascii="Times New Roman" w:cs="Times New Roman" w:eastAsia="Times New Roman" w:hAnsi="Times New Roman"/>
          <w:sz w:val="22"/>
          <w:szCs w:val="22"/>
          <w:b w:val="1"/>
          <w:bCs w:val="1"/>
          <w:color w:val="auto"/>
        </w:rPr>
        <w:t>(AS LENDER AND AS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132320" cy="15430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jc w:val="center"/>
        <w:ind w:right="-1080"/>
        <w:spacing w:after="0"/>
        <w:rPr>
          <w:sz w:val="20"/>
          <w:szCs w:val="20"/>
          <w:color w:val="auto"/>
        </w:rPr>
      </w:pPr>
      <w:r>
        <w:rPr>
          <w:rFonts w:ascii="Times New Roman" w:cs="Times New Roman" w:eastAsia="Times New Roman" w:hAnsi="Times New Roman"/>
          <w:sz w:val="22"/>
          <w:szCs w:val="22"/>
          <w:b w:val="1"/>
          <w:bCs w:val="1"/>
          <w:color w:val="auto"/>
        </w:rPr>
        <w:t>CIBC BANK USA, and</w:t>
      </w:r>
    </w:p>
    <w:p>
      <w:pPr>
        <w:spacing w:after="0" w:line="8" w:lineRule="exact"/>
        <w:rPr>
          <w:sz w:val="20"/>
          <w:szCs w:val="20"/>
          <w:color w:val="auto"/>
        </w:rPr>
      </w:pPr>
    </w:p>
    <w:p>
      <w:pPr>
        <w:jc w:val="center"/>
        <w:ind w:right="-1080"/>
        <w:spacing w:after="0"/>
        <w:rPr>
          <w:sz w:val="20"/>
          <w:szCs w:val="20"/>
          <w:color w:val="auto"/>
        </w:rPr>
      </w:pPr>
      <w:r>
        <w:rPr>
          <w:rFonts w:ascii="Times New Roman" w:cs="Times New Roman" w:eastAsia="Times New Roman" w:hAnsi="Times New Roman"/>
          <w:sz w:val="22"/>
          <w:szCs w:val="22"/>
          <w:b w:val="1"/>
          <w:bCs w:val="1"/>
          <w:color w:val="auto"/>
        </w:rPr>
        <w:t>TRUIST BANK</w:t>
      </w:r>
    </w:p>
    <w:p>
      <w:pPr>
        <w:jc w:val="center"/>
        <w:ind w:right="-1080"/>
        <w:spacing w:after="0"/>
        <w:rPr>
          <w:sz w:val="20"/>
          <w:szCs w:val="20"/>
          <w:color w:val="auto"/>
        </w:rPr>
      </w:pPr>
      <w:r>
        <w:rPr>
          <w:rFonts w:ascii="Times New Roman" w:cs="Times New Roman" w:eastAsia="Times New Roman" w:hAnsi="Times New Roman"/>
          <w:sz w:val="22"/>
          <w:szCs w:val="22"/>
          <w:b w:val="1"/>
          <w:bCs w:val="1"/>
          <w:color w:val="auto"/>
        </w:rPr>
        <w:t>(AS CO-SYNDICATION AGENTS)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132320" cy="15430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jc w:val="center"/>
        <w:ind w:right="-1080"/>
        <w:spacing w:after="0"/>
        <w:rPr>
          <w:sz w:val="20"/>
          <w:szCs w:val="20"/>
          <w:color w:val="auto"/>
        </w:rPr>
      </w:pPr>
      <w:r>
        <w:rPr>
          <w:rFonts w:ascii="Times New Roman" w:cs="Times New Roman" w:eastAsia="Times New Roman" w:hAnsi="Times New Roman"/>
          <w:sz w:val="22"/>
          <w:szCs w:val="22"/>
          <w:b w:val="1"/>
          <w:bCs w:val="1"/>
          <w:color w:val="auto"/>
        </w:rPr>
        <w:t>BANK OF AMERICA, N.A.</w:t>
      </w:r>
    </w:p>
    <w:p>
      <w:pPr>
        <w:spacing w:after="0" w:line="18" w:lineRule="exact"/>
        <w:rPr>
          <w:sz w:val="20"/>
          <w:szCs w:val="20"/>
          <w:color w:val="auto"/>
        </w:rPr>
      </w:pPr>
    </w:p>
    <w:p>
      <w:pPr>
        <w:jc w:val="center"/>
        <w:ind w:right="-1080"/>
        <w:spacing w:after="0"/>
        <w:rPr>
          <w:sz w:val="20"/>
          <w:szCs w:val="20"/>
          <w:color w:val="auto"/>
        </w:rPr>
      </w:pPr>
      <w:r>
        <w:rPr>
          <w:rFonts w:ascii="Times New Roman" w:cs="Times New Roman" w:eastAsia="Times New Roman" w:hAnsi="Times New Roman"/>
          <w:sz w:val="22"/>
          <w:szCs w:val="22"/>
          <w:b w:val="1"/>
          <w:bCs w:val="1"/>
          <w:color w:val="auto"/>
        </w:rPr>
        <w:t>(AS DOCUMENTATION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132320" cy="15430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jc w:val="center"/>
        <w:ind w:right="-1080"/>
        <w:spacing w:after="0"/>
        <w:rPr>
          <w:sz w:val="20"/>
          <w:szCs w:val="20"/>
          <w:color w:val="auto"/>
        </w:rPr>
      </w:pPr>
      <w:r>
        <w:rPr>
          <w:rFonts w:ascii="Times New Roman" w:cs="Times New Roman" w:eastAsia="Times New Roman" w:hAnsi="Times New Roman"/>
          <w:sz w:val="22"/>
          <w:szCs w:val="22"/>
          <w:b w:val="1"/>
          <w:bCs w:val="1"/>
          <w:color w:val="auto"/>
        </w:rPr>
        <w:t>PNC BANK, NATIONAL ASSOCIATION</w:t>
      </w:r>
    </w:p>
    <w:p>
      <w:pPr>
        <w:spacing w:after="0" w:line="18" w:lineRule="exact"/>
        <w:rPr>
          <w:sz w:val="20"/>
          <w:szCs w:val="20"/>
          <w:color w:val="auto"/>
        </w:rPr>
      </w:pPr>
    </w:p>
    <w:p>
      <w:pPr>
        <w:jc w:val="center"/>
        <w:ind w:right="-1080"/>
        <w:spacing w:after="0"/>
        <w:rPr>
          <w:sz w:val="20"/>
          <w:szCs w:val="20"/>
          <w:color w:val="auto"/>
        </w:rPr>
      </w:pPr>
      <w:r>
        <w:rPr>
          <w:rFonts w:ascii="Times New Roman" w:cs="Times New Roman" w:eastAsia="Times New Roman" w:hAnsi="Times New Roman"/>
          <w:sz w:val="22"/>
          <w:szCs w:val="22"/>
          <w:b w:val="1"/>
          <w:bCs w:val="1"/>
          <w:color w:val="auto"/>
        </w:rPr>
        <w:t>(AS GREEN LOAN COORDINATOR)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132320" cy="15430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jc w:val="center"/>
        <w:ind w:right="-1080"/>
        <w:spacing w:after="0"/>
        <w:rPr>
          <w:sz w:val="20"/>
          <w:szCs w:val="20"/>
          <w:color w:val="auto"/>
        </w:rPr>
      </w:pPr>
      <w:r>
        <w:rPr>
          <w:rFonts w:ascii="Times New Roman" w:cs="Times New Roman" w:eastAsia="Times New Roman" w:hAnsi="Times New Roman"/>
          <w:sz w:val="22"/>
          <w:szCs w:val="22"/>
          <w:b w:val="1"/>
          <w:bCs w:val="1"/>
          <w:color w:val="auto"/>
        </w:rPr>
        <w:t>GREAT LAKES DREDGE &amp; DOCK CORPORATION</w:t>
      </w:r>
    </w:p>
    <w:p>
      <w:pPr>
        <w:spacing w:after="0" w:line="8" w:lineRule="exact"/>
        <w:rPr>
          <w:sz w:val="20"/>
          <w:szCs w:val="20"/>
          <w:color w:val="auto"/>
        </w:rPr>
      </w:pPr>
    </w:p>
    <w:p>
      <w:pPr>
        <w:jc w:val="center"/>
        <w:ind w:right="-1080"/>
        <w:spacing w:after="0"/>
        <w:rPr>
          <w:sz w:val="20"/>
          <w:szCs w:val="20"/>
          <w:color w:val="auto"/>
        </w:rPr>
      </w:pPr>
      <w:r>
        <w:rPr>
          <w:rFonts w:ascii="Times New Roman" w:cs="Times New Roman" w:eastAsia="Times New Roman" w:hAnsi="Times New Roman"/>
          <w:sz w:val="22"/>
          <w:szCs w:val="22"/>
          <w:b w:val="1"/>
          <w:bCs w:val="1"/>
          <w:color w:val="auto"/>
        </w:rPr>
        <w:t>GREAT LAKES DREDGE &amp; DOCK COMPANY, LLC</w:t>
      </w:r>
    </w:p>
    <w:p>
      <w:pPr>
        <w:jc w:val="center"/>
        <w:ind w:right="-1080"/>
        <w:spacing w:after="0" w:line="230" w:lineRule="auto"/>
        <w:rPr>
          <w:sz w:val="20"/>
          <w:szCs w:val="20"/>
          <w:color w:val="auto"/>
        </w:rPr>
      </w:pPr>
      <w:r>
        <w:rPr>
          <w:rFonts w:ascii="Times New Roman" w:cs="Times New Roman" w:eastAsia="Times New Roman" w:hAnsi="Times New Roman"/>
          <w:sz w:val="22"/>
          <w:szCs w:val="22"/>
          <w:b w:val="1"/>
          <w:bCs w:val="1"/>
          <w:color w:val="auto"/>
        </w:rPr>
        <w:t>NASDI HOLDINGS, LLC</w:t>
      </w:r>
    </w:p>
    <w:p>
      <w:pPr>
        <w:spacing w:after="0" w:line="1" w:lineRule="exact"/>
        <w:rPr>
          <w:sz w:val="20"/>
          <w:szCs w:val="20"/>
          <w:color w:val="auto"/>
        </w:rPr>
      </w:pPr>
    </w:p>
    <w:p>
      <w:pPr>
        <w:jc w:val="center"/>
        <w:ind w:right="-1080"/>
        <w:spacing w:after="0"/>
        <w:rPr>
          <w:sz w:val="20"/>
          <w:szCs w:val="20"/>
          <w:color w:val="auto"/>
        </w:rPr>
      </w:pPr>
      <w:r>
        <w:rPr>
          <w:rFonts w:ascii="Times New Roman" w:cs="Times New Roman" w:eastAsia="Times New Roman" w:hAnsi="Times New Roman"/>
          <w:sz w:val="21"/>
          <w:szCs w:val="21"/>
          <w:b w:val="1"/>
          <w:bCs w:val="1"/>
          <w:color w:val="auto"/>
        </w:rPr>
        <w:t>GREAT LAKES ENVIRONMENTAL &amp; INFRASTRUCTURE SOLUTIONS, LLC</w:t>
      </w:r>
    </w:p>
    <w:p>
      <w:pPr>
        <w:jc w:val="center"/>
        <w:ind w:right="-1080"/>
        <w:spacing w:after="0" w:line="231" w:lineRule="auto"/>
        <w:rPr>
          <w:sz w:val="20"/>
          <w:szCs w:val="20"/>
          <w:color w:val="auto"/>
        </w:rPr>
      </w:pPr>
      <w:r>
        <w:rPr>
          <w:rFonts w:ascii="Times New Roman" w:cs="Times New Roman" w:eastAsia="Times New Roman" w:hAnsi="Times New Roman"/>
          <w:sz w:val="22"/>
          <w:szCs w:val="22"/>
          <w:b w:val="1"/>
          <w:bCs w:val="1"/>
          <w:color w:val="auto"/>
        </w:rPr>
        <w:t>GREAT LAKES U.S. FLEET MANAGEMENT, LLC and</w:t>
      </w:r>
    </w:p>
    <w:p>
      <w:pPr>
        <w:jc w:val="center"/>
        <w:ind w:right="-1080"/>
        <w:spacing w:after="0" w:line="231" w:lineRule="auto"/>
        <w:rPr>
          <w:sz w:val="20"/>
          <w:szCs w:val="20"/>
          <w:color w:val="auto"/>
        </w:rPr>
      </w:pPr>
      <w:r>
        <w:rPr>
          <w:rFonts w:ascii="Times New Roman" w:cs="Times New Roman" w:eastAsia="Times New Roman" w:hAnsi="Times New Roman"/>
          <w:sz w:val="22"/>
          <w:szCs w:val="22"/>
          <w:b w:val="1"/>
          <w:bCs w:val="1"/>
          <w:color w:val="auto"/>
        </w:rPr>
        <w:t>DREWS SERVICES LLC</w:t>
      </w:r>
    </w:p>
    <w:p>
      <w:pPr>
        <w:spacing w:after="0" w:line="1" w:lineRule="exact"/>
        <w:rPr>
          <w:sz w:val="20"/>
          <w:szCs w:val="20"/>
          <w:color w:val="auto"/>
        </w:rPr>
      </w:pPr>
    </w:p>
    <w:p>
      <w:pPr>
        <w:jc w:val="center"/>
        <w:ind w:right="-1080"/>
        <w:spacing w:after="0"/>
        <w:rPr>
          <w:sz w:val="20"/>
          <w:szCs w:val="20"/>
          <w:color w:val="auto"/>
        </w:rPr>
      </w:pPr>
      <w:r>
        <w:rPr>
          <w:rFonts w:ascii="Times New Roman" w:cs="Times New Roman" w:eastAsia="Times New Roman" w:hAnsi="Times New Roman"/>
          <w:sz w:val="22"/>
          <w:szCs w:val="22"/>
          <w:b w:val="1"/>
          <w:bCs w:val="1"/>
          <w:color w:val="auto"/>
        </w:rPr>
        <w:t>(AS BORROWERS)</w:t>
      </w:r>
    </w:p>
    <w:p>
      <w:pPr>
        <w:spacing w:after="0" w:line="70"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22"/>
          <w:szCs w:val="22"/>
          <w:b w:val="1"/>
          <w:bCs w:val="1"/>
          <w:color w:val="auto"/>
        </w:rPr>
        <w:t>AND</w:t>
      </w:r>
    </w:p>
    <w:p>
      <w:pPr>
        <w:spacing w:after="0" w:line="98"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22"/>
          <w:szCs w:val="22"/>
          <w:b w:val="1"/>
          <w:bCs w:val="1"/>
          <w:color w:val="auto"/>
        </w:rPr>
        <w:t>THE OTHER CREDIT PARTIES THAT</w:t>
      </w:r>
    </w:p>
    <w:p>
      <w:pPr>
        <w:spacing w:after="0" w:line="18"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b w:val="1"/>
          <w:bCs w:val="1"/>
          <w:color w:val="auto"/>
        </w:rPr>
        <w:t>ARE PARTY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132320" cy="15430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30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b w:val="1"/>
          <w:bCs w:val="1"/>
          <w:color w:val="auto"/>
        </w:rPr>
        <w:t>July 29,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150495</wp:posOffset>
            </wp:positionV>
            <wp:extent cx="7132320" cy="15430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tabs>
          <w:tab w:leader="none" w:pos="7720" w:val="left"/>
        </w:tabs>
        <w:rPr>
          <w:sz w:val="20"/>
          <w:szCs w:val="20"/>
          <w:color w:val="auto"/>
        </w:rPr>
      </w:pPr>
      <w:r>
        <w:rPr>
          <w:rFonts w:ascii="Times New Roman" w:cs="Times New Roman" w:eastAsia="Times New Roman" w:hAnsi="Times New Roman"/>
          <w:sz w:val="14"/>
          <w:szCs w:val="14"/>
          <w:color w:val="auto"/>
        </w:rPr>
        <w:t>DOCPROPERTY DMNumber 4917-1349-8935 DOCPROPERTY DMVersionNumber v5 DOCPROPERTY DocNumberSuffix</w:t>
      </w:r>
      <w:r>
        <w:rPr>
          <w:sz w:val="20"/>
          <w:szCs w:val="20"/>
          <w:color w:val="auto"/>
        </w:rPr>
        <w:tab/>
      </w:r>
      <w:r>
        <w:rPr>
          <w:rFonts w:ascii="Times New Roman" w:cs="Times New Roman" w:eastAsia="Times New Roman" w:hAnsi="Times New Roman"/>
          <w:sz w:val="14"/>
          <w:szCs w:val="14"/>
          <w:color w:val="auto"/>
        </w:rPr>
        <w:t>4033.124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473710</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99"/>
          </w:cols>
          <w:pgMar w:left="360" w:top="1440" w:right="1440"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286"/>
        </w:trPr>
        <w:tc>
          <w:tcPr>
            <w:tcW w:w="840" w:type="dxa"/>
            <w:vAlign w:val="bottom"/>
          </w:tcPr>
          <w:p>
            <w:pPr>
              <w:spacing w:after="0"/>
              <w:rPr>
                <w:sz w:val="24"/>
                <w:szCs w:val="24"/>
                <w:color w:val="auto"/>
              </w:rPr>
            </w:pPr>
          </w:p>
        </w:tc>
        <w:tc>
          <w:tcPr>
            <w:tcW w:w="7960" w:type="dxa"/>
            <w:vAlign w:val="bottom"/>
          </w:tcPr>
          <w:p>
            <w:pPr>
              <w:ind w:left="3620"/>
              <w:spacing w:after="0"/>
              <w:rPr>
                <w:sz w:val="20"/>
                <w:szCs w:val="20"/>
                <w:color w:val="auto"/>
              </w:rPr>
            </w:pPr>
            <w:r>
              <w:rPr>
                <w:rFonts w:ascii="Times New Roman" w:cs="Times New Roman" w:eastAsia="Times New Roman" w:hAnsi="Times New Roman"/>
                <w:sz w:val="22"/>
                <w:szCs w:val="22"/>
                <w:b w:val="1"/>
                <w:bCs w:val="1"/>
                <w:color w:val="auto"/>
              </w:rPr>
              <w:t>TABLE OF CONTENTS</w:t>
            </w:r>
          </w:p>
        </w:tc>
        <w:tc>
          <w:tcPr>
            <w:tcW w:w="2440" w:type="dxa"/>
            <w:vAlign w:val="bottom"/>
          </w:tcPr>
          <w:p>
            <w:pPr>
              <w:spacing w:after="0"/>
              <w:rPr>
                <w:sz w:val="24"/>
                <w:szCs w:val="24"/>
                <w:color w:val="auto"/>
              </w:rPr>
            </w:pPr>
          </w:p>
        </w:tc>
      </w:tr>
      <w:tr>
        <w:trPr>
          <w:trHeight w:val="459"/>
        </w:trPr>
        <w:tc>
          <w:tcPr>
            <w:tcW w:w="840" w:type="dxa"/>
            <w:vAlign w:val="bottom"/>
          </w:tcPr>
          <w:p>
            <w:pPr>
              <w:spacing w:after="0"/>
              <w:rPr>
                <w:sz w:val="24"/>
                <w:szCs w:val="24"/>
                <w:color w:val="auto"/>
              </w:rPr>
            </w:pPr>
          </w:p>
        </w:tc>
        <w:tc>
          <w:tcPr>
            <w:tcW w:w="7960" w:type="dxa"/>
            <w:vAlign w:val="bottom"/>
          </w:tcPr>
          <w:p>
            <w:pPr>
              <w:spacing w:after="0"/>
              <w:rPr>
                <w:sz w:val="24"/>
                <w:szCs w:val="24"/>
                <w:color w:val="auto"/>
              </w:rPr>
            </w:pPr>
          </w:p>
        </w:tc>
        <w:tc>
          <w:tcPr>
            <w:tcW w:w="2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Page</w:t>
            </w:r>
          </w:p>
        </w:tc>
      </w:tr>
      <w:tr>
        <w:trPr>
          <w:trHeight w:val="459"/>
        </w:trPr>
        <w:tc>
          <w:tcPr>
            <w:tcW w:w="840" w:type="dxa"/>
            <w:vAlign w:val="bottom"/>
          </w:tcPr>
          <w:p>
            <w:pPr>
              <w:spacing w:after="0"/>
              <w:rPr>
                <w:sz w:val="20"/>
                <w:szCs w:val="20"/>
                <w:color w:val="auto"/>
              </w:rPr>
            </w:pPr>
            <w:r>
              <w:rPr>
                <w:rFonts w:ascii="Times New Roman" w:cs="Times New Roman" w:eastAsia="Times New Roman" w:hAnsi="Times New Roman"/>
                <w:sz w:val="22"/>
                <w:szCs w:val="22"/>
                <w:color w:val="0000FF"/>
              </w:rPr>
              <w:t>I.</w:t>
            </w:r>
          </w:p>
        </w:tc>
        <w:tc>
          <w:tcPr>
            <w:tcW w:w="7960" w:type="dxa"/>
            <w:vAlign w:val="bottom"/>
          </w:tcPr>
          <w:p>
            <w:pPr>
              <w:ind w:left="420"/>
              <w:spacing w:after="0"/>
              <w:rPr>
                <w:sz w:val="20"/>
                <w:szCs w:val="20"/>
                <w:color w:val="auto"/>
              </w:rPr>
            </w:pPr>
            <w:r>
              <w:rPr>
                <w:rFonts w:ascii="Times New Roman" w:cs="Times New Roman" w:eastAsia="Times New Roman" w:hAnsi="Times New Roman"/>
                <w:sz w:val="22"/>
                <w:szCs w:val="22"/>
                <w:color w:val="0000FF"/>
              </w:rPr>
              <w:t>DEFINITIONS.</w:t>
            </w:r>
          </w:p>
        </w:tc>
        <w:tc>
          <w:tcPr>
            <w:tcW w:w="2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w:t>
            </w:r>
          </w:p>
        </w:tc>
      </w:tr>
      <w:tr>
        <w:trPr>
          <w:trHeight w:val="312"/>
        </w:trPr>
        <w:tc>
          <w:tcPr>
            <w:tcW w:w="840" w:type="dxa"/>
            <w:vAlign w:val="bottom"/>
          </w:tcPr>
          <w:p>
            <w:pPr>
              <w:ind w:left="40"/>
              <w:spacing w:after="0"/>
              <w:rPr>
                <w:sz w:val="20"/>
                <w:szCs w:val="20"/>
                <w:color w:val="auto"/>
              </w:rPr>
            </w:pPr>
            <w:r>
              <w:rPr>
                <w:rFonts w:ascii="Times New Roman" w:cs="Times New Roman" w:eastAsia="Times New Roman" w:hAnsi="Times New Roman"/>
                <w:sz w:val="22"/>
                <w:szCs w:val="22"/>
                <w:color w:val="0000FF"/>
              </w:rPr>
              <w:t>1.1</w:t>
            </w:r>
          </w:p>
        </w:tc>
        <w:tc>
          <w:tcPr>
            <w:tcW w:w="7960" w:type="dxa"/>
            <w:vAlign w:val="bottom"/>
          </w:tcPr>
          <w:p>
            <w:pPr>
              <w:ind w:left="420"/>
              <w:spacing w:after="0"/>
              <w:rPr>
                <w:sz w:val="20"/>
                <w:szCs w:val="20"/>
                <w:color w:val="auto"/>
              </w:rPr>
            </w:pPr>
            <w:r>
              <w:rPr>
                <w:rFonts w:ascii="Times New Roman" w:cs="Times New Roman" w:eastAsia="Times New Roman" w:hAnsi="Times New Roman"/>
                <w:sz w:val="22"/>
                <w:szCs w:val="22"/>
                <w:color w:val="0000FF"/>
              </w:rPr>
              <w:t>Accounting Terms</w:t>
            </w:r>
          </w:p>
        </w:tc>
        <w:tc>
          <w:tcPr>
            <w:tcW w:w="2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w:t>
            </w:r>
          </w:p>
        </w:tc>
      </w:tr>
      <w:tr>
        <w:trPr>
          <w:trHeight w:val="243"/>
        </w:trPr>
        <w:tc>
          <w:tcPr>
            <w:tcW w:w="8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0000FF"/>
              </w:rPr>
              <w:t>1.2</w:t>
            </w:r>
          </w:p>
        </w:tc>
        <w:tc>
          <w:tcPr>
            <w:tcW w:w="796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0000FF"/>
              </w:rPr>
              <w:t>General Terms</w:t>
            </w:r>
          </w:p>
        </w:tc>
        <w:tc>
          <w:tcPr>
            <w:tcW w:w="24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w:t>
            </w:r>
          </w:p>
        </w:tc>
      </w:tr>
      <w:tr>
        <w:trPr>
          <w:trHeight w:val="243"/>
        </w:trPr>
        <w:tc>
          <w:tcPr>
            <w:tcW w:w="8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0000FF"/>
              </w:rPr>
              <w:t>1.3</w:t>
            </w:r>
          </w:p>
        </w:tc>
        <w:tc>
          <w:tcPr>
            <w:tcW w:w="796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0000FF"/>
              </w:rPr>
              <w:t>Uniform Commercial Code Terms</w:t>
            </w:r>
          </w:p>
        </w:tc>
        <w:tc>
          <w:tcPr>
            <w:tcW w:w="24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61</w:t>
            </w:r>
          </w:p>
        </w:tc>
      </w:tr>
      <w:tr>
        <w:trPr>
          <w:trHeight w:val="243"/>
        </w:trPr>
        <w:tc>
          <w:tcPr>
            <w:tcW w:w="8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0000FF"/>
              </w:rPr>
              <w:t>1.4</w:t>
            </w:r>
          </w:p>
        </w:tc>
        <w:tc>
          <w:tcPr>
            <w:tcW w:w="796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0000FF"/>
              </w:rPr>
              <w:t>Certain Matters of Construction</w:t>
            </w:r>
          </w:p>
        </w:tc>
        <w:tc>
          <w:tcPr>
            <w:tcW w:w="24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62</w:t>
            </w:r>
          </w:p>
        </w:tc>
      </w:tr>
      <w:tr>
        <w:trPr>
          <w:trHeight w:val="243"/>
        </w:trPr>
        <w:tc>
          <w:tcPr>
            <w:tcW w:w="8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0000FF"/>
              </w:rPr>
              <w:t>1.5</w:t>
            </w:r>
          </w:p>
        </w:tc>
        <w:tc>
          <w:tcPr>
            <w:tcW w:w="796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0000FF"/>
              </w:rPr>
              <w:t>Term SOFR Notification</w:t>
            </w:r>
          </w:p>
        </w:tc>
        <w:tc>
          <w:tcPr>
            <w:tcW w:w="24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63</w:t>
            </w:r>
          </w:p>
        </w:tc>
      </w:tr>
      <w:tr>
        <w:trPr>
          <w:trHeight w:val="243"/>
        </w:trPr>
        <w:tc>
          <w:tcPr>
            <w:tcW w:w="8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0000FF"/>
              </w:rPr>
              <w:t>1.6</w:t>
            </w:r>
          </w:p>
        </w:tc>
        <w:tc>
          <w:tcPr>
            <w:tcW w:w="796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0000FF"/>
              </w:rPr>
              <w:t>Conforming Changes Relating to Term SOFR Rate</w:t>
            </w:r>
          </w:p>
        </w:tc>
        <w:tc>
          <w:tcPr>
            <w:tcW w:w="24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63</w:t>
            </w:r>
          </w:p>
        </w:tc>
      </w:tr>
      <w:tr>
        <w:trPr>
          <w:trHeight w:val="282"/>
        </w:trPr>
        <w:tc>
          <w:tcPr>
            <w:tcW w:w="840" w:type="dxa"/>
            <w:vAlign w:val="bottom"/>
          </w:tcPr>
          <w:p>
            <w:pPr>
              <w:ind w:left="40"/>
              <w:spacing w:after="0"/>
              <w:rPr>
                <w:sz w:val="20"/>
                <w:szCs w:val="20"/>
                <w:color w:val="auto"/>
              </w:rPr>
            </w:pPr>
            <w:r>
              <w:rPr>
                <w:rFonts w:ascii="Times New Roman" w:cs="Times New Roman" w:eastAsia="Times New Roman" w:hAnsi="Times New Roman"/>
                <w:sz w:val="22"/>
                <w:szCs w:val="22"/>
                <w:color w:val="0000FF"/>
              </w:rPr>
              <w:t>1.7</w:t>
            </w:r>
          </w:p>
        </w:tc>
        <w:tc>
          <w:tcPr>
            <w:tcW w:w="7960" w:type="dxa"/>
            <w:vAlign w:val="bottom"/>
          </w:tcPr>
          <w:p>
            <w:pPr>
              <w:ind w:left="420"/>
              <w:spacing w:after="0"/>
              <w:rPr>
                <w:sz w:val="20"/>
                <w:szCs w:val="20"/>
                <w:color w:val="auto"/>
              </w:rPr>
            </w:pPr>
            <w:r>
              <w:rPr>
                <w:rFonts w:ascii="Times New Roman" w:cs="Times New Roman" w:eastAsia="Times New Roman" w:hAnsi="Times New Roman"/>
                <w:sz w:val="22"/>
                <w:szCs w:val="22"/>
                <w:color w:val="0000FF"/>
              </w:rPr>
              <w:t>Effect of Amendment and Restatement; No Novation; Release.</w:t>
            </w:r>
          </w:p>
        </w:tc>
        <w:tc>
          <w:tcPr>
            <w:tcW w:w="2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64</w:t>
            </w:r>
          </w:p>
        </w:tc>
      </w:tr>
      <w:tr>
        <w:trPr>
          <w:trHeight w:val="351"/>
        </w:trPr>
        <w:tc>
          <w:tcPr>
            <w:tcW w:w="840" w:type="dxa"/>
            <w:vAlign w:val="bottom"/>
          </w:tcPr>
          <w:p>
            <w:pPr>
              <w:spacing w:after="0"/>
              <w:rPr>
                <w:sz w:val="20"/>
                <w:szCs w:val="20"/>
                <w:color w:val="auto"/>
              </w:rPr>
            </w:pPr>
            <w:r>
              <w:rPr>
                <w:rFonts w:ascii="Times New Roman" w:cs="Times New Roman" w:eastAsia="Times New Roman" w:hAnsi="Times New Roman"/>
                <w:sz w:val="22"/>
                <w:szCs w:val="22"/>
                <w:color w:val="0000FF"/>
              </w:rPr>
              <w:t>II.</w:t>
            </w:r>
          </w:p>
        </w:tc>
        <w:tc>
          <w:tcPr>
            <w:tcW w:w="7960" w:type="dxa"/>
            <w:vAlign w:val="bottom"/>
          </w:tcPr>
          <w:p>
            <w:pPr>
              <w:ind w:left="420"/>
              <w:spacing w:after="0"/>
              <w:rPr>
                <w:sz w:val="20"/>
                <w:szCs w:val="20"/>
                <w:color w:val="auto"/>
              </w:rPr>
            </w:pPr>
            <w:r>
              <w:rPr>
                <w:rFonts w:ascii="Times New Roman" w:cs="Times New Roman" w:eastAsia="Times New Roman" w:hAnsi="Times New Roman"/>
                <w:sz w:val="22"/>
                <w:szCs w:val="22"/>
                <w:color w:val="0000FF"/>
              </w:rPr>
              <w:t>ADVANCES, PAYMENTS.</w:t>
            </w:r>
          </w:p>
        </w:tc>
        <w:tc>
          <w:tcPr>
            <w:tcW w:w="2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64</w:t>
            </w:r>
          </w:p>
        </w:tc>
      </w:tr>
      <w:tr>
        <w:trPr>
          <w:trHeight w:val="312"/>
        </w:trPr>
        <w:tc>
          <w:tcPr>
            <w:tcW w:w="840" w:type="dxa"/>
            <w:vAlign w:val="bottom"/>
          </w:tcPr>
          <w:p>
            <w:pPr>
              <w:ind w:left="40"/>
              <w:spacing w:after="0"/>
              <w:rPr>
                <w:sz w:val="20"/>
                <w:szCs w:val="20"/>
                <w:color w:val="auto"/>
              </w:rPr>
            </w:pPr>
            <w:r>
              <w:rPr>
                <w:rFonts w:ascii="Times New Roman" w:cs="Times New Roman" w:eastAsia="Times New Roman" w:hAnsi="Times New Roman"/>
                <w:sz w:val="22"/>
                <w:szCs w:val="22"/>
                <w:color w:val="0000FF"/>
              </w:rPr>
              <w:t>2.1</w:t>
            </w:r>
          </w:p>
        </w:tc>
        <w:tc>
          <w:tcPr>
            <w:tcW w:w="7960" w:type="dxa"/>
            <w:vAlign w:val="bottom"/>
          </w:tcPr>
          <w:p>
            <w:pPr>
              <w:ind w:left="420"/>
              <w:spacing w:after="0"/>
              <w:rPr>
                <w:sz w:val="20"/>
                <w:szCs w:val="20"/>
                <w:color w:val="auto"/>
              </w:rPr>
            </w:pPr>
            <w:r>
              <w:rPr>
                <w:rFonts w:ascii="Times New Roman" w:cs="Times New Roman" w:eastAsia="Times New Roman" w:hAnsi="Times New Roman"/>
                <w:sz w:val="22"/>
                <w:szCs w:val="22"/>
                <w:color w:val="0000FF"/>
              </w:rPr>
              <w:t>Revolving Advances.</w:t>
            </w:r>
          </w:p>
        </w:tc>
        <w:tc>
          <w:tcPr>
            <w:tcW w:w="2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64</w:t>
            </w:r>
          </w:p>
        </w:tc>
      </w:tr>
      <w:tr>
        <w:trPr>
          <w:trHeight w:val="239"/>
        </w:trPr>
        <w:tc>
          <w:tcPr>
            <w:tcW w:w="840" w:type="dxa"/>
            <w:vAlign w:val="bottom"/>
          </w:tcPr>
          <w:p>
            <w:pPr>
              <w:ind w:left="40"/>
              <w:spacing w:after="0" w:line="239" w:lineRule="exact"/>
              <w:rPr>
                <w:sz w:val="20"/>
                <w:szCs w:val="20"/>
                <w:color w:val="auto"/>
              </w:rPr>
            </w:pPr>
            <w:r>
              <w:rPr>
                <w:rFonts w:ascii="Times New Roman" w:cs="Times New Roman" w:eastAsia="Times New Roman" w:hAnsi="Times New Roman"/>
                <w:sz w:val="22"/>
                <w:szCs w:val="22"/>
                <w:color w:val="0000FF"/>
              </w:rPr>
              <w:t>2.2</w:t>
            </w:r>
          </w:p>
        </w:tc>
        <w:tc>
          <w:tcPr>
            <w:tcW w:w="7960" w:type="dxa"/>
            <w:vAlign w:val="bottom"/>
          </w:tcPr>
          <w:p>
            <w:pPr>
              <w:ind w:left="420"/>
              <w:spacing w:after="0" w:line="239" w:lineRule="exact"/>
              <w:rPr>
                <w:sz w:val="20"/>
                <w:szCs w:val="20"/>
                <w:color w:val="auto"/>
              </w:rPr>
            </w:pPr>
            <w:r>
              <w:rPr>
                <w:rFonts w:ascii="Times New Roman" w:cs="Times New Roman" w:eastAsia="Times New Roman" w:hAnsi="Times New Roman"/>
                <w:sz w:val="22"/>
                <w:szCs w:val="22"/>
                <w:color w:val="0000FF"/>
              </w:rPr>
              <w:t>Procedures for Requesting Revolving Advances.</w:t>
            </w:r>
          </w:p>
        </w:tc>
        <w:tc>
          <w:tcPr>
            <w:tcW w:w="2440" w:type="dxa"/>
            <w:vAlign w:val="bottom"/>
          </w:tcPr>
          <w:p>
            <w:pPr>
              <w:jc w:val="right"/>
              <w:spacing w:after="0" w:line="239" w:lineRule="exact"/>
              <w:rPr>
                <w:sz w:val="20"/>
                <w:szCs w:val="20"/>
                <w:color w:val="auto"/>
              </w:rPr>
            </w:pPr>
            <w:r>
              <w:rPr>
                <w:rFonts w:ascii="Times New Roman" w:cs="Times New Roman" w:eastAsia="Times New Roman" w:hAnsi="Times New Roman"/>
                <w:sz w:val="22"/>
                <w:szCs w:val="22"/>
                <w:color w:val="auto"/>
              </w:rPr>
              <w:t>66</w:t>
            </w:r>
          </w:p>
        </w:tc>
      </w:tr>
      <w:tr>
        <w:trPr>
          <w:trHeight w:val="247"/>
        </w:trPr>
        <w:tc>
          <w:tcPr>
            <w:tcW w:w="840" w:type="dxa"/>
            <w:vAlign w:val="bottom"/>
          </w:tcPr>
          <w:p>
            <w:pPr>
              <w:ind w:left="40"/>
              <w:spacing w:after="0" w:line="247" w:lineRule="exact"/>
              <w:rPr>
                <w:sz w:val="20"/>
                <w:szCs w:val="20"/>
                <w:color w:val="auto"/>
              </w:rPr>
            </w:pPr>
            <w:r>
              <w:rPr>
                <w:rFonts w:ascii="Times New Roman" w:cs="Times New Roman" w:eastAsia="Times New Roman" w:hAnsi="Times New Roman"/>
                <w:sz w:val="22"/>
                <w:szCs w:val="22"/>
                <w:color w:val="0000FF"/>
              </w:rPr>
              <w:t>2.3</w:t>
            </w:r>
          </w:p>
        </w:tc>
        <w:tc>
          <w:tcPr>
            <w:tcW w:w="7960" w:type="dxa"/>
            <w:vAlign w:val="bottom"/>
          </w:tcPr>
          <w:p>
            <w:pPr>
              <w:ind w:left="420"/>
              <w:spacing w:after="0" w:line="247" w:lineRule="exact"/>
              <w:rPr>
                <w:sz w:val="20"/>
                <w:szCs w:val="20"/>
                <w:color w:val="auto"/>
              </w:rPr>
            </w:pPr>
            <w:r>
              <w:rPr>
                <w:rFonts w:ascii="Times New Roman" w:cs="Times New Roman" w:eastAsia="Times New Roman" w:hAnsi="Times New Roman"/>
                <w:sz w:val="22"/>
                <w:szCs w:val="22"/>
                <w:color w:val="0000FF"/>
              </w:rPr>
              <w:t>[</w:t>
            </w:r>
            <w:r>
              <w:rPr>
                <w:rFonts w:ascii="Times New Roman" w:cs="Times New Roman" w:eastAsia="Times New Roman" w:hAnsi="Times New Roman"/>
                <w:sz w:val="22"/>
                <w:szCs w:val="22"/>
                <w:i w:val="1"/>
                <w:iCs w:val="1"/>
                <w:color w:val="0000FF"/>
              </w:rPr>
              <w:t>Intentionally Omitted</w:t>
            </w:r>
            <w:r>
              <w:rPr>
                <w:rFonts w:ascii="Times New Roman" w:cs="Times New Roman" w:eastAsia="Times New Roman" w:hAnsi="Times New Roman"/>
                <w:sz w:val="22"/>
                <w:szCs w:val="22"/>
                <w:color w:val="0000FF"/>
              </w:rPr>
              <w:t>].</w:t>
            </w:r>
          </w:p>
        </w:tc>
        <w:tc>
          <w:tcPr>
            <w:tcW w:w="2440" w:type="dxa"/>
            <w:vAlign w:val="bottom"/>
          </w:tcPr>
          <w:p>
            <w:pPr>
              <w:jc w:val="right"/>
              <w:spacing w:after="0" w:line="247" w:lineRule="exact"/>
              <w:rPr>
                <w:sz w:val="20"/>
                <w:szCs w:val="20"/>
                <w:color w:val="auto"/>
              </w:rPr>
            </w:pPr>
            <w:r>
              <w:rPr>
                <w:rFonts w:ascii="Times New Roman" w:cs="Times New Roman" w:eastAsia="Times New Roman" w:hAnsi="Times New Roman"/>
                <w:sz w:val="22"/>
                <w:szCs w:val="22"/>
                <w:color w:val="auto"/>
              </w:rPr>
              <w:t>68</w:t>
            </w:r>
          </w:p>
        </w:tc>
      </w:tr>
      <w:tr>
        <w:trPr>
          <w:trHeight w:val="243"/>
        </w:trPr>
        <w:tc>
          <w:tcPr>
            <w:tcW w:w="8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0000FF"/>
              </w:rPr>
              <w:t>2.4</w:t>
            </w:r>
          </w:p>
        </w:tc>
        <w:tc>
          <w:tcPr>
            <w:tcW w:w="796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0000FF"/>
              </w:rPr>
              <w:t>Swing Loans.</w:t>
            </w:r>
          </w:p>
        </w:tc>
        <w:tc>
          <w:tcPr>
            <w:tcW w:w="24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68</w:t>
            </w:r>
          </w:p>
        </w:tc>
      </w:tr>
      <w:tr>
        <w:trPr>
          <w:trHeight w:val="243"/>
        </w:trPr>
        <w:tc>
          <w:tcPr>
            <w:tcW w:w="8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0000FF"/>
              </w:rPr>
              <w:t>2.5</w:t>
            </w:r>
          </w:p>
        </w:tc>
        <w:tc>
          <w:tcPr>
            <w:tcW w:w="796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0000FF"/>
              </w:rPr>
              <w:t>Disbursement of Advance Proceeds</w:t>
            </w:r>
          </w:p>
        </w:tc>
        <w:tc>
          <w:tcPr>
            <w:tcW w:w="24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69</w:t>
            </w:r>
          </w:p>
        </w:tc>
      </w:tr>
      <w:tr>
        <w:trPr>
          <w:trHeight w:val="243"/>
        </w:trPr>
        <w:tc>
          <w:tcPr>
            <w:tcW w:w="8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0000FF"/>
              </w:rPr>
              <w:t>2.6</w:t>
            </w:r>
          </w:p>
        </w:tc>
        <w:tc>
          <w:tcPr>
            <w:tcW w:w="796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0000FF"/>
              </w:rPr>
              <w:t>Making and Settlement of Advances.</w:t>
            </w:r>
          </w:p>
        </w:tc>
        <w:tc>
          <w:tcPr>
            <w:tcW w:w="24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69</w:t>
            </w:r>
          </w:p>
        </w:tc>
      </w:tr>
      <w:tr>
        <w:trPr>
          <w:trHeight w:val="243"/>
        </w:trPr>
        <w:tc>
          <w:tcPr>
            <w:tcW w:w="8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0000FF"/>
              </w:rPr>
              <w:t>2.7</w:t>
            </w:r>
          </w:p>
        </w:tc>
        <w:tc>
          <w:tcPr>
            <w:tcW w:w="796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0000FF"/>
              </w:rPr>
              <w:t>Maximum Advances</w:t>
            </w:r>
          </w:p>
        </w:tc>
        <w:tc>
          <w:tcPr>
            <w:tcW w:w="24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71</w:t>
            </w:r>
          </w:p>
        </w:tc>
      </w:tr>
      <w:tr>
        <w:trPr>
          <w:trHeight w:val="243"/>
        </w:trPr>
        <w:tc>
          <w:tcPr>
            <w:tcW w:w="8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0000FF"/>
              </w:rPr>
              <w:t>2.8</w:t>
            </w:r>
          </w:p>
        </w:tc>
        <w:tc>
          <w:tcPr>
            <w:tcW w:w="796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0000FF"/>
              </w:rPr>
              <w:t>Manner and Repayment of Advances.</w:t>
            </w:r>
          </w:p>
        </w:tc>
        <w:tc>
          <w:tcPr>
            <w:tcW w:w="24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71</w:t>
            </w:r>
          </w:p>
        </w:tc>
      </w:tr>
      <w:tr>
        <w:trPr>
          <w:trHeight w:val="243"/>
        </w:trPr>
        <w:tc>
          <w:tcPr>
            <w:tcW w:w="8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0000FF"/>
              </w:rPr>
              <w:t>2.9</w:t>
            </w:r>
          </w:p>
        </w:tc>
        <w:tc>
          <w:tcPr>
            <w:tcW w:w="796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0000FF"/>
              </w:rPr>
              <w:t>Repayment of Excess Advances</w:t>
            </w:r>
          </w:p>
        </w:tc>
        <w:tc>
          <w:tcPr>
            <w:tcW w:w="24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72</w:t>
            </w:r>
          </w:p>
        </w:tc>
      </w:tr>
      <w:tr>
        <w:trPr>
          <w:trHeight w:val="243"/>
        </w:trPr>
        <w:tc>
          <w:tcPr>
            <w:tcW w:w="8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0000FF"/>
              </w:rPr>
              <w:t>2.10</w:t>
            </w:r>
          </w:p>
        </w:tc>
        <w:tc>
          <w:tcPr>
            <w:tcW w:w="796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0000FF"/>
              </w:rPr>
              <w:t>Statement of Account</w:t>
            </w:r>
          </w:p>
        </w:tc>
        <w:tc>
          <w:tcPr>
            <w:tcW w:w="24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72</w:t>
            </w:r>
          </w:p>
        </w:tc>
      </w:tr>
      <w:tr>
        <w:trPr>
          <w:trHeight w:val="243"/>
        </w:trPr>
        <w:tc>
          <w:tcPr>
            <w:tcW w:w="8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0000FF"/>
              </w:rPr>
              <w:t>2.11</w:t>
            </w:r>
          </w:p>
        </w:tc>
        <w:tc>
          <w:tcPr>
            <w:tcW w:w="796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0000FF"/>
              </w:rPr>
              <w:t>Letters of Credit.</w:t>
            </w:r>
          </w:p>
        </w:tc>
        <w:tc>
          <w:tcPr>
            <w:tcW w:w="24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73</w:t>
            </w:r>
          </w:p>
        </w:tc>
      </w:tr>
      <w:tr>
        <w:trPr>
          <w:trHeight w:val="243"/>
        </w:trPr>
        <w:tc>
          <w:tcPr>
            <w:tcW w:w="8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0000FF"/>
              </w:rPr>
              <w:t>2.12</w:t>
            </w:r>
          </w:p>
        </w:tc>
        <w:tc>
          <w:tcPr>
            <w:tcW w:w="796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0000FF"/>
              </w:rPr>
              <w:t>Issuance of Letters of Credit.</w:t>
            </w:r>
          </w:p>
        </w:tc>
        <w:tc>
          <w:tcPr>
            <w:tcW w:w="24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73</w:t>
            </w:r>
          </w:p>
        </w:tc>
      </w:tr>
      <w:tr>
        <w:trPr>
          <w:trHeight w:val="243"/>
        </w:trPr>
        <w:tc>
          <w:tcPr>
            <w:tcW w:w="8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0000FF"/>
              </w:rPr>
              <w:t>2.13</w:t>
            </w:r>
          </w:p>
        </w:tc>
        <w:tc>
          <w:tcPr>
            <w:tcW w:w="796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0000FF"/>
              </w:rPr>
              <w:t>Requirements For Issuance of Letters of Credit</w:t>
            </w:r>
          </w:p>
        </w:tc>
        <w:tc>
          <w:tcPr>
            <w:tcW w:w="24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74</w:t>
            </w:r>
          </w:p>
        </w:tc>
      </w:tr>
      <w:tr>
        <w:trPr>
          <w:trHeight w:val="243"/>
        </w:trPr>
        <w:tc>
          <w:tcPr>
            <w:tcW w:w="8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0000FF"/>
              </w:rPr>
              <w:t>2.14</w:t>
            </w:r>
          </w:p>
        </w:tc>
        <w:tc>
          <w:tcPr>
            <w:tcW w:w="796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0000FF"/>
              </w:rPr>
              <w:t>Disbursements, Reimbursement.</w:t>
            </w:r>
          </w:p>
        </w:tc>
        <w:tc>
          <w:tcPr>
            <w:tcW w:w="24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74</w:t>
            </w:r>
          </w:p>
        </w:tc>
      </w:tr>
      <w:tr>
        <w:trPr>
          <w:trHeight w:val="243"/>
        </w:trPr>
        <w:tc>
          <w:tcPr>
            <w:tcW w:w="8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0000FF"/>
              </w:rPr>
              <w:t>2.15</w:t>
            </w:r>
          </w:p>
        </w:tc>
        <w:tc>
          <w:tcPr>
            <w:tcW w:w="796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0000FF"/>
              </w:rPr>
              <w:t>Repayment of Participation Advances.</w:t>
            </w:r>
          </w:p>
        </w:tc>
        <w:tc>
          <w:tcPr>
            <w:tcW w:w="24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76</w:t>
            </w:r>
          </w:p>
        </w:tc>
      </w:tr>
      <w:tr>
        <w:trPr>
          <w:trHeight w:val="243"/>
        </w:trPr>
        <w:tc>
          <w:tcPr>
            <w:tcW w:w="8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0000FF"/>
              </w:rPr>
              <w:t>2.16</w:t>
            </w:r>
          </w:p>
        </w:tc>
        <w:tc>
          <w:tcPr>
            <w:tcW w:w="796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0000FF"/>
              </w:rPr>
              <w:t>Documentation</w:t>
            </w:r>
          </w:p>
        </w:tc>
        <w:tc>
          <w:tcPr>
            <w:tcW w:w="24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76</w:t>
            </w:r>
          </w:p>
        </w:tc>
      </w:tr>
      <w:tr>
        <w:trPr>
          <w:trHeight w:val="243"/>
        </w:trPr>
        <w:tc>
          <w:tcPr>
            <w:tcW w:w="8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0000FF"/>
              </w:rPr>
              <w:t>2.17</w:t>
            </w:r>
          </w:p>
        </w:tc>
        <w:tc>
          <w:tcPr>
            <w:tcW w:w="796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0000FF"/>
              </w:rPr>
              <w:t>Determination to Honor Drawing Request</w:t>
            </w:r>
          </w:p>
        </w:tc>
        <w:tc>
          <w:tcPr>
            <w:tcW w:w="24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77</w:t>
            </w:r>
          </w:p>
        </w:tc>
      </w:tr>
      <w:tr>
        <w:trPr>
          <w:trHeight w:val="243"/>
        </w:trPr>
        <w:tc>
          <w:tcPr>
            <w:tcW w:w="8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0000FF"/>
              </w:rPr>
              <w:t>2.18</w:t>
            </w:r>
          </w:p>
        </w:tc>
        <w:tc>
          <w:tcPr>
            <w:tcW w:w="796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0000FF"/>
              </w:rPr>
              <w:t>Nature of Participation and Reimbursement Obligations</w:t>
            </w:r>
          </w:p>
        </w:tc>
        <w:tc>
          <w:tcPr>
            <w:tcW w:w="24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77</w:t>
            </w:r>
          </w:p>
        </w:tc>
      </w:tr>
      <w:tr>
        <w:trPr>
          <w:trHeight w:val="243"/>
        </w:trPr>
        <w:tc>
          <w:tcPr>
            <w:tcW w:w="8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0000FF"/>
              </w:rPr>
              <w:t>2.19</w:t>
            </w:r>
          </w:p>
        </w:tc>
        <w:tc>
          <w:tcPr>
            <w:tcW w:w="796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0000FF"/>
              </w:rPr>
              <w:t>Liability for Acts and Omissions.</w:t>
            </w:r>
          </w:p>
        </w:tc>
        <w:tc>
          <w:tcPr>
            <w:tcW w:w="24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78</w:t>
            </w:r>
          </w:p>
        </w:tc>
      </w:tr>
      <w:tr>
        <w:trPr>
          <w:trHeight w:val="243"/>
        </w:trPr>
        <w:tc>
          <w:tcPr>
            <w:tcW w:w="8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0000FF"/>
              </w:rPr>
              <w:t>2.20</w:t>
            </w:r>
          </w:p>
        </w:tc>
        <w:tc>
          <w:tcPr>
            <w:tcW w:w="796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0000FF"/>
              </w:rPr>
              <w:t>Voluntary and Mandatory Prepayments.</w:t>
            </w:r>
          </w:p>
        </w:tc>
        <w:tc>
          <w:tcPr>
            <w:tcW w:w="24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80</w:t>
            </w:r>
          </w:p>
        </w:tc>
      </w:tr>
      <w:tr>
        <w:trPr>
          <w:trHeight w:val="243"/>
        </w:trPr>
        <w:tc>
          <w:tcPr>
            <w:tcW w:w="8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0000FF"/>
              </w:rPr>
              <w:t>2.21</w:t>
            </w:r>
          </w:p>
        </w:tc>
        <w:tc>
          <w:tcPr>
            <w:tcW w:w="796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0000FF"/>
              </w:rPr>
              <w:t>Use of Proceeds.</w:t>
            </w:r>
          </w:p>
        </w:tc>
        <w:tc>
          <w:tcPr>
            <w:tcW w:w="24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81</w:t>
            </w:r>
          </w:p>
        </w:tc>
      </w:tr>
      <w:tr>
        <w:trPr>
          <w:trHeight w:val="243"/>
        </w:trPr>
        <w:tc>
          <w:tcPr>
            <w:tcW w:w="8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0000FF"/>
              </w:rPr>
              <w:t>2.22</w:t>
            </w:r>
          </w:p>
        </w:tc>
        <w:tc>
          <w:tcPr>
            <w:tcW w:w="796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0000FF"/>
              </w:rPr>
              <w:t>Defaulting Lender.</w:t>
            </w:r>
          </w:p>
        </w:tc>
        <w:tc>
          <w:tcPr>
            <w:tcW w:w="24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82</w:t>
            </w:r>
          </w:p>
        </w:tc>
      </w:tr>
      <w:tr>
        <w:trPr>
          <w:trHeight w:val="243"/>
        </w:trPr>
        <w:tc>
          <w:tcPr>
            <w:tcW w:w="8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0000FF"/>
              </w:rPr>
              <w:t>2.23</w:t>
            </w:r>
          </w:p>
        </w:tc>
        <w:tc>
          <w:tcPr>
            <w:tcW w:w="796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0000FF"/>
              </w:rPr>
              <w:t>Payment of Obligations</w:t>
            </w:r>
          </w:p>
        </w:tc>
        <w:tc>
          <w:tcPr>
            <w:tcW w:w="24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84</w:t>
            </w:r>
          </w:p>
        </w:tc>
      </w:tr>
      <w:tr>
        <w:trPr>
          <w:trHeight w:val="243"/>
        </w:trPr>
        <w:tc>
          <w:tcPr>
            <w:tcW w:w="8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0000FF"/>
              </w:rPr>
              <w:t>2.24</w:t>
            </w:r>
          </w:p>
        </w:tc>
        <w:tc>
          <w:tcPr>
            <w:tcW w:w="796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0000FF"/>
              </w:rPr>
              <w:t>Accordion.</w:t>
            </w:r>
          </w:p>
        </w:tc>
        <w:tc>
          <w:tcPr>
            <w:tcW w:w="24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85</w:t>
            </w:r>
          </w:p>
        </w:tc>
      </w:tr>
      <w:tr>
        <w:trPr>
          <w:trHeight w:val="282"/>
        </w:trPr>
        <w:tc>
          <w:tcPr>
            <w:tcW w:w="840" w:type="dxa"/>
            <w:vAlign w:val="bottom"/>
          </w:tcPr>
          <w:p>
            <w:pPr>
              <w:ind w:left="40"/>
              <w:spacing w:after="0"/>
              <w:rPr>
                <w:sz w:val="20"/>
                <w:szCs w:val="20"/>
                <w:color w:val="auto"/>
              </w:rPr>
            </w:pPr>
            <w:r>
              <w:rPr>
                <w:rFonts w:ascii="Times New Roman" w:cs="Times New Roman" w:eastAsia="Times New Roman" w:hAnsi="Times New Roman"/>
                <w:sz w:val="22"/>
                <w:szCs w:val="22"/>
                <w:color w:val="0000FF"/>
              </w:rPr>
              <w:t>2.25</w:t>
            </w:r>
          </w:p>
        </w:tc>
        <w:tc>
          <w:tcPr>
            <w:tcW w:w="7960" w:type="dxa"/>
            <w:vAlign w:val="bottom"/>
          </w:tcPr>
          <w:p>
            <w:pPr>
              <w:ind w:left="420"/>
              <w:spacing w:after="0"/>
              <w:rPr>
                <w:sz w:val="20"/>
                <w:szCs w:val="20"/>
                <w:color w:val="auto"/>
              </w:rPr>
            </w:pPr>
            <w:r>
              <w:rPr>
                <w:rFonts w:ascii="Times New Roman" w:cs="Times New Roman" w:eastAsia="Times New Roman" w:hAnsi="Times New Roman"/>
                <w:sz w:val="22"/>
                <w:szCs w:val="22"/>
                <w:color w:val="0000FF"/>
              </w:rPr>
              <w:t>Utilization of Commitments in Optional Currencies</w:t>
            </w:r>
          </w:p>
        </w:tc>
        <w:tc>
          <w:tcPr>
            <w:tcW w:w="2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86</w:t>
            </w:r>
          </w:p>
        </w:tc>
      </w:tr>
      <w:tr>
        <w:trPr>
          <w:trHeight w:val="351"/>
        </w:trPr>
        <w:tc>
          <w:tcPr>
            <w:tcW w:w="840" w:type="dxa"/>
            <w:vAlign w:val="bottom"/>
          </w:tcPr>
          <w:p>
            <w:pPr>
              <w:spacing w:after="0"/>
              <w:rPr>
                <w:sz w:val="20"/>
                <w:szCs w:val="20"/>
                <w:color w:val="auto"/>
              </w:rPr>
            </w:pPr>
            <w:r>
              <w:rPr>
                <w:rFonts w:ascii="Times New Roman" w:cs="Times New Roman" w:eastAsia="Times New Roman" w:hAnsi="Times New Roman"/>
                <w:sz w:val="22"/>
                <w:szCs w:val="22"/>
                <w:color w:val="0000FF"/>
              </w:rPr>
              <w:t>III.</w:t>
            </w:r>
          </w:p>
        </w:tc>
        <w:tc>
          <w:tcPr>
            <w:tcW w:w="7960" w:type="dxa"/>
            <w:vAlign w:val="bottom"/>
          </w:tcPr>
          <w:p>
            <w:pPr>
              <w:ind w:left="420"/>
              <w:spacing w:after="0"/>
              <w:rPr>
                <w:sz w:val="20"/>
                <w:szCs w:val="20"/>
                <w:color w:val="auto"/>
              </w:rPr>
            </w:pPr>
            <w:r>
              <w:rPr>
                <w:rFonts w:ascii="Times New Roman" w:cs="Times New Roman" w:eastAsia="Times New Roman" w:hAnsi="Times New Roman"/>
                <w:sz w:val="22"/>
                <w:szCs w:val="22"/>
                <w:color w:val="0000FF"/>
              </w:rPr>
              <w:t>INTEREST AND FEES.</w:t>
            </w:r>
          </w:p>
        </w:tc>
        <w:tc>
          <w:tcPr>
            <w:tcW w:w="2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86</w:t>
            </w:r>
          </w:p>
        </w:tc>
      </w:tr>
      <w:tr>
        <w:trPr>
          <w:trHeight w:val="312"/>
        </w:trPr>
        <w:tc>
          <w:tcPr>
            <w:tcW w:w="840" w:type="dxa"/>
            <w:vAlign w:val="bottom"/>
          </w:tcPr>
          <w:p>
            <w:pPr>
              <w:ind w:left="40"/>
              <w:spacing w:after="0"/>
              <w:rPr>
                <w:sz w:val="20"/>
                <w:szCs w:val="20"/>
                <w:color w:val="auto"/>
              </w:rPr>
            </w:pPr>
            <w:r>
              <w:rPr>
                <w:rFonts w:ascii="Times New Roman" w:cs="Times New Roman" w:eastAsia="Times New Roman" w:hAnsi="Times New Roman"/>
                <w:sz w:val="22"/>
                <w:szCs w:val="22"/>
                <w:color w:val="0000FF"/>
              </w:rPr>
              <w:t>3.1</w:t>
            </w:r>
          </w:p>
        </w:tc>
        <w:tc>
          <w:tcPr>
            <w:tcW w:w="7960" w:type="dxa"/>
            <w:vAlign w:val="bottom"/>
          </w:tcPr>
          <w:p>
            <w:pPr>
              <w:ind w:left="420"/>
              <w:spacing w:after="0"/>
              <w:rPr>
                <w:sz w:val="20"/>
                <w:szCs w:val="20"/>
                <w:color w:val="auto"/>
              </w:rPr>
            </w:pPr>
            <w:r>
              <w:rPr>
                <w:rFonts w:ascii="Times New Roman" w:cs="Times New Roman" w:eastAsia="Times New Roman" w:hAnsi="Times New Roman"/>
                <w:sz w:val="22"/>
                <w:szCs w:val="22"/>
                <w:color w:val="0000FF"/>
              </w:rPr>
              <w:t>Interest</w:t>
            </w:r>
          </w:p>
        </w:tc>
        <w:tc>
          <w:tcPr>
            <w:tcW w:w="2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86</w:t>
            </w:r>
          </w:p>
        </w:tc>
      </w:tr>
      <w:tr>
        <w:trPr>
          <w:trHeight w:val="243"/>
        </w:trPr>
        <w:tc>
          <w:tcPr>
            <w:tcW w:w="8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0000FF"/>
              </w:rPr>
              <w:t>3.2</w:t>
            </w:r>
          </w:p>
        </w:tc>
        <w:tc>
          <w:tcPr>
            <w:tcW w:w="796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0000FF"/>
              </w:rPr>
              <w:t>Letter of Credit Fees.</w:t>
            </w:r>
          </w:p>
        </w:tc>
        <w:tc>
          <w:tcPr>
            <w:tcW w:w="24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87</w:t>
            </w:r>
          </w:p>
        </w:tc>
      </w:tr>
      <w:tr>
        <w:trPr>
          <w:trHeight w:val="243"/>
        </w:trPr>
        <w:tc>
          <w:tcPr>
            <w:tcW w:w="8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0000FF"/>
              </w:rPr>
              <w:t>3.3</w:t>
            </w:r>
          </w:p>
        </w:tc>
        <w:tc>
          <w:tcPr>
            <w:tcW w:w="796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0000FF"/>
              </w:rPr>
              <w:t>Facility Fee</w:t>
            </w:r>
          </w:p>
        </w:tc>
        <w:tc>
          <w:tcPr>
            <w:tcW w:w="24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88</w:t>
            </w:r>
          </w:p>
        </w:tc>
      </w:tr>
      <w:tr>
        <w:trPr>
          <w:trHeight w:val="243"/>
        </w:trPr>
        <w:tc>
          <w:tcPr>
            <w:tcW w:w="8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0000FF"/>
              </w:rPr>
              <w:t>3.4</w:t>
            </w:r>
          </w:p>
        </w:tc>
        <w:tc>
          <w:tcPr>
            <w:tcW w:w="796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0000FF"/>
              </w:rPr>
              <w:t>Collateral Evaluation Fee and Fee Letter.</w:t>
            </w:r>
          </w:p>
        </w:tc>
        <w:tc>
          <w:tcPr>
            <w:tcW w:w="24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88</w:t>
            </w:r>
          </w:p>
        </w:tc>
      </w:tr>
      <w:tr>
        <w:trPr>
          <w:trHeight w:val="243"/>
        </w:trPr>
        <w:tc>
          <w:tcPr>
            <w:tcW w:w="8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0000FF"/>
              </w:rPr>
              <w:t>3.5</w:t>
            </w:r>
          </w:p>
        </w:tc>
        <w:tc>
          <w:tcPr>
            <w:tcW w:w="796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0000FF"/>
              </w:rPr>
              <w:t>Computation of Interest and Fees</w:t>
            </w:r>
          </w:p>
        </w:tc>
        <w:tc>
          <w:tcPr>
            <w:tcW w:w="24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89</w:t>
            </w:r>
          </w:p>
        </w:tc>
      </w:tr>
      <w:tr>
        <w:trPr>
          <w:trHeight w:val="282"/>
        </w:trPr>
        <w:tc>
          <w:tcPr>
            <w:tcW w:w="840" w:type="dxa"/>
            <w:vAlign w:val="bottom"/>
          </w:tcPr>
          <w:p>
            <w:pPr>
              <w:ind w:left="40"/>
              <w:spacing w:after="0"/>
              <w:rPr>
                <w:sz w:val="20"/>
                <w:szCs w:val="20"/>
                <w:color w:val="auto"/>
              </w:rPr>
            </w:pPr>
            <w:r>
              <w:rPr>
                <w:rFonts w:ascii="Times New Roman" w:cs="Times New Roman" w:eastAsia="Times New Roman" w:hAnsi="Times New Roman"/>
                <w:sz w:val="22"/>
                <w:szCs w:val="22"/>
                <w:color w:val="0000FF"/>
              </w:rPr>
              <w:t>3.6</w:t>
            </w:r>
          </w:p>
        </w:tc>
        <w:tc>
          <w:tcPr>
            <w:tcW w:w="7960" w:type="dxa"/>
            <w:vAlign w:val="bottom"/>
          </w:tcPr>
          <w:p>
            <w:pPr>
              <w:ind w:left="420"/>
              <w:spacing w:after="0"/>
              <w:rPr>
                <w:sz w:val="20"/>
                <w:szCs w:val="20"/>
                <w:color w:val="auto"/>
              </w:rPr>
            </w:pPr>
            <w:r>
              <w:rPr>
                <w:rFonts w:ascii="Times New Roman" w:cs="Times New Roman" w:eastAsia="Times New Roman" w:hAnsi="Times New Roman"/>
                <w:sz w:val="22"/>
                <w:szCs w:val="22"/>
                <w:color w:val="0000FF"/>
              </w:rPr>
              <w:t>Maximum Charges</w:t>
            </w:r>
          </w:p>
        </w:tc>
        <w:tc>
          <w:tcPr>
            <w:tcW w:w="2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89</w:t>
            </w:r>
          </w:p>
        </w:tc>
      </w:tr>
    </w:tbl>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253"/>
        </w:trPr>
        <w:tc>
          <w:tcPr>
            <w:tcW w:w="840" w:type="dxa"/>
            <w:vAlign w:val="bottom"/>
          </w:tcPr>
          <w:p>
            <w:pPr>
              <w:ind w:left="40"/>
              <w:spacing w:after="0"/>
              <w:rPr>
                <w:sz w:val="20"/>
                <w:szCs w:val="20"/>
                <w:color w:val="auto"/>
              </w:rPr>
            </w:pPr>
            <w:r>
              <w:rPr>
                <w:rFonts w:ascii="Times New Roman" w:cs="Times New Roman" w:eastAsia="Times New Roman" w:hAnsi="Times New Roman"/>
                <w:sz w:val="22"/>
                <w:szCs w:val="22"/>
                <w:color w:val="0000FF"/>
              </w:rPr>
              <w:t>3.7</w:t>
            </w:r>
          </w:p>
        </w:tc>
        <w:tc>
          <w:tcPr>
            <w:tcW w:w="8780" w:type="dxa"/>
            <w:vAlign w:val="bottom"/>
          </w:tcPr>
          <w:p>
            <w:pPr>
              <w:ind w:left="420"/>
              <w:spacing w:after="0"/>
              <w:rPr>
                <w:sz w:val="20"/>
                <w:szCs w:val="20"/>
                <w:color w:val="auto"/>
              </w:rPr>
            </w:pPr>
            <w:r>
              <w:rPr>
                <w:rFonts w:ascii="Times New Roman" w:cs="Times New Roman" w:eastAsia="Times New Roman" w:hAnsi="Times New Roman"/>
                <w:sz w:val="22"/>
                <w:szCs w:val="22"/>
                <w:color w:val="0000FF"/>
              </w:rPr>
              <w:t>Increased Costs</w:t>
            </w:r>
          </w:p>
        </w:tc>
        <w:tc>
          <w:tcPr>
            <w:tcW w:w="1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89</w:t>
            </w:r>
          </w:p>
        </w:tc>
      </w:tr>
      <w:tr>
        <w:trPr>
          <w:trHeight w:val="243"/>
        </w:trPr>
        <w:tc>
          <w:tcPr>
            <w:tcW w:w="8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0000FF"/>
              </w:rPr>
              <w:t>3.8</w:t>
            </w:r>
          </w:p>
        </w:tc>
        <w:tc>
          <w:tcPr>
            <w:tcW w:w="878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0000FF"/>
              </w:rPr>
              <w:t>Alternate Rate of Interest</w:t>
            </w:r>
          </w:p>
        </w:tc>
        <w:tc>
          <w:tcPr>
            <w:tcW w:w="16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90</w:t>
            </w:r>
          </w:p>
        </w:tc>
      </w:tr>
      <w:tr>
        <w:trPr>
          <w:trHeight w:val="243"/>
        </w:trPr>
        <w:tc>
          <w:tcPr>
            <w:tcW w:w="8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0000FF"/>
              </w:rPr>
              <w:t>3.9</w:t>
            </w:r>
          </w:p>
        </w:tc>
        <w:tc>
          <w:tcPr>
            <w:tcW w:w="878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0000FF"/>
              </w:rPr>
              <w:t>Capital Adequacy.</w:t>
            </w:r>
          </w:p>
        </w:tc>
        <w:tc>
          <w:tcPr>
            <w:tcW w:w="16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96</w:t>
            </w:r>
          </w:p>
        </w:tc>
      </w:tr>
      <w:tr>
        <w:trPr>
          <w:trHeight w:val="243"/>
        </w:trPr>
        <w:tc>
          <w:tcPr>
            <w:tcW w:w="8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0000FF"/>
              </w:rPr>
              <w:t>3.10</w:t>
            </w:r>
          </w:p>
        </w:tc>
        <w:tc>
          <w:tcPr>
            <w:tcW w:w="878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0000FF"/>
              </w:rPr>
              <w:t>Taxes.</w:t>
            </w:r>
          </w:p>
        </w:tc>
        <w:tc>
          <w:tcPr>
            <w:tcW w:w="16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97</w:t>
            </w:r>
          </w:p>
        </w:tc>
      </w:tr>
      <w:tr>
        <w:trPr>
          <w:trHeight w:val="282"/>
        </w:trPr>
        <w:tc>
          <w:tcPr>
            <w:tcW w:w="840" w:type="dxa"/>
            <w:vAlign w:val="bottom"/>
          </w:tcPr>
          <w:p>
            <w:pPr>
              <w:ind w:left="40"/>
              <w:spacing w:after="0"/>
              <w:rPr>
                <w:sz w:val="20"/>
                <w:szCs w:val="20"/>
                <w:color w:val="auto"/>
              </w:rPr>
            </w:pPr>
            <w:r>
              <w:rPr>
                <w:rFonts w:ascii="Times New Roman" w:cs="Times New Roman" w:eastAsia="Times New Roman" w:hAnsi="Times New Roman"/>
                <w:sz w:val="22"/>
                <w:szCs w:val="22"/>
                <w:color w:val="0000FF"/>
              </w:rPr>
              <w:t>3.11</w:t>
            </w:r>
          </w:p>
        </w:tc>
        <w:tc>
          <w:tcPr>
            <w:tcW w:w="8780" w:type="dxa"/>
            <w:vAlign w:val="bottom"/>
          </w:tcPr>
          <w:p>
            <w:pPr>
              <w:ind w:left="420"/>
              <w:spacing w:after="0"/>
              <w:rPr>
                <w:sz w:val="20"/>
                <w:szCs w:val="20"/>
                <w:color w:val="auto"/>
              </w:rPr>
            </w:pPr>
            <w:r>
              <w:rPr>
                <w:rFonts w:ascii="Times New Roman" w:cs="Times New Roman" w:eastAsia="Times New Roman" w:hAnsi="Times New Roman"/>
                <w:sz w:val="22"/>
                <w:szCs w:val="22"/>
                <w:color w:val="0000FF"/>
              </w:rPr>
              <w:t>Mitigation Obligations; Replacement of Lenders</w:t>
            </w:r>
          </w:p>
        </w:tc>
        <w:tc>
          <w:tcPr>
            <w:tcW w:w="1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100</w:t>
            </w:r>
          </w:p>
        </w:tc>
      </w:tr>
      <w:tr>
        <w:trPr>
          <w:trHeight w:val="351"/>
        </w:trPr>
        <w:tc>
          <w:tcPr>
            <w:tcW w:w="840" w:type="dxa"/>
            <w:vAlign w:val="bottom"/>
          </w:tcPr>
          <w:p>
            <w:pPr>
              <w:spacing w:after="0"/>
              <w:rPr>
                <w:sz w:val="20"/>
                <w:szCs w:val="20"/>
                <w:color w:val="auto"/>
              </w:rPr>
            </w:pPr>
            <w:r>
              <w:rPr>
                <w:rFonts w:ascii="Times New Roman" w:cs="Times New Roman" w:eastAsia="Times New Roman" w:hAnsi="Times New Roman"/>
                <w:sz w:val="22"/>
                <w:szCs w:val="22"/>
                <w:color w:val="0000FF"/>
              </w:rPr>
              <w:t>IV.</w:t>
            </w:r>
          </w:p>
        </w:tc>
        <w:tc>
          <w:tcPr>
            <w:tcW w:w="8780" w:type="dxa"/>
            <w:vAlign w:val="bottom"/>
          </w:tcPr>
          <w:p>
            <w:pPr>
              <w:ind w:left="420"/>
              <w:spacing w:after="0"/>
              <w:rPr>
                <w:sz w:val="20"/>
                <w:szCs w:val="20"/>
                <w:color w:val="auto"/>
              </w:rPr>
            </w:pPr>
            <w:r>
              <w:rPr>
                <w:rFonts w:ascii="Times New Roman" w:cs="Times New Roman" w:eastAsia="Times New Roman" w:hAnsi="Times New Roman"/>
                <w:sz w:val="22"/>
                <w:szCs w:val="22"/>
                <w:color w:val="0000FF"/>
              </w:rPr>
              <w:t>COLLATERAL: GENERAL TERMS</w:t>
            </w:r>
          </w:p>
        </w:tc>
        <w:tc>
          <w:tcPr>
            <w:tcW w:w="1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101</w:t>
            </w:r>
          </w:p>
        </w:tc>
      </w:tr>
      <w:tr>
        <w:trPr>
          <w:trHeight w:val="312"/>
        </w:trPr>
        <w:tc>
          <w:tcPr>
            <w:tcW w:w="840" w:type="dxa"/>
            <w:vAlign w:val="bottom"/>
          </w:tcPr>
          <w:p>
            <w:pPr>
              <w:ind w:left="40"/>
              <w:spacing w:after="0"/>
              <w:rPr>
                <w:sz w:val="20"/>
                <w:szCs w:val="20"/>
                <w:color w:val="auto"/>
              </w:rPr>
            </w:pPr>
            <w:r>
              <w:rPr>
                <w:rFonts w:ascii="Times New Roman" w:cs="Times New Roman" w:eastAsia="Times New Roman" w:hAnsi="Times New Roman"/>
                <w:sz w:val="22"/>
                <w:szCs w:val="22"/>
                <w:color w:val="0000FF"/>
              </w:rPr>
              <w:t>4.1</w:t>
            </w:r>
          </w:p>
        </w:tc>
        <w:tc>
          <w:tcPr>
            <w:tcW w:w="8780" w:type="dxa"/>
            <w:vAlign w:val="bottom"/>
          </w:tcPr>
          <w:p>
            <w:pPr>
              <w:ind w:left="420"/>
              <w:spacing w:after="0"/>
              <w:rPr>
                <w:sz w:val="20"/>
                <w:szCs w:val="20"/>
                <w:color w:val="auto"/>
              </w:rPr>
            </w:pPr>
            <w:r>
              <w:rPr>
                <w:rFonts w:ascii="Times New Roman" w:cs="Times New Roman" w:eastAsia="Times New Roman" w:hAnsi="Times New Roman"/>
                <w:sz w:val="22"/>
                <w:szCs w:val="22"/>
                <w:color w:val="0000FF"/>
              </w:rPr>
              <w:t>Security Interest in the Collateral</w:t>
            </w:r>
          </w:p>
        </w:tc>
        <w:tc>
          <w:tcPr>
            <w:tcW w:w="1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101</w:t>
            </w:r>
          </w:p>
        </w:tc>
      </w:tr>
      <w:tr>
        <w:trPr>
          <w:trHeight w:val="243"/>
        </w:trPr>
        <w:tc>
          <w:tcPr>
            <w:tcW w:w="8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0000FF"/>
              </w:rPr>
              <w:t>4.2</w:t>
            </w:r>
          </w:p>
        </w:tc>
        <w:tc>
          <w:tcPr>
            <w:tcW w:w="878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0000FF"/>
              </w:rPr>
              <w:t>Perfection of Security Interest</w:t>
            </w:r>
          </w:p>
        </w:tc>
        <w:tc>
          <w:tcPr>
            <w:tcW w:w="16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101</w:t>
            </w:r>
          </w:p>
        </w:tc>
      </w:tr>
      <w:tr>
        <w:trPr>
          <w:trHeight w:val="243"/>
        </w:trPr>
        <w:tc>
          <w:tcPr>
            <w:tcW w:w="8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0000FF"/>
              </w:rPr>
              <w:t>4.3</w:t>
            </w:r>
          </w:p>
        </w:tc>
        <w:tc>
          <w:tcPr>
            <w:tcW w:w="878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0000FF"/>
              </w:rPr>
              <w:t>Preservation of Collateral</w:t>
            </w:r>
          </w:p>
        </w:tc>
        <w:tc>
          <w:tcPr>
            <w:tcW w:w="16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102</w:t>
            </w:r>
          </w:p>
        </w:tc>
      </w:tr>
      <w:tr>
        <w:trPr>
          <w:trHeight w:val="243"/>
        </w:trPr>
        <w:tc>
          <w:tcPr>
            <w:tcW w:w="8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0000FF"/>
              </w:rPr>
              <w:t>4.4</w:t>
            </w:r>
          </w:p>
        </w:tc>
        <w:tc>
          <w:tcPr>
            <w:tcW w:w="878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0000FF"/>
              </w:rPr>
              <w:t>Ownership and Location of Collateral.</w:t>
            </w:r>
          </w:p>
        </w:tc>
        <w:tc>
          <w:tcPr>
            <w:tcW w:w="16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102</w:t>
            </w:r>
          </w:p>
        </w:tc>
      </w:tr>
      <w:tr>
        <w:trPr>
          <w:trHeight w:val="243"/>
        </w:trPr>
        <w:tc>
          <w:tcPr>
            <w:tcW w:w="8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0000FF"/>
              </w:rPr>
              <w:t>4.5</w:t>
            </w:r>
          </w:p>
        </w:tc>
        <w:tc>
          <w:tcPr>
            <w:tcW w:w="878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0000FF"/>
              </w:rPr>
              <w:t>Defense of Agent's and Lenders' Interests</w:t>
            </w:r>
          </w:p>
        </w:tc>
        <w:tc>
          <w:tcPr>
            <w:tcW w:w="16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103</w:t>
            </w:r>
          </w:p>
        </w:tc>
      </w:tr>
      <w:tr>
        <w:trPr>
          <w:trHeight w:val="243"/>
        </w:trPr>
        <w:tc>
          <w:tcPr>
            <w:tcW w:w="8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0000FF"/>
              </w:rPr>
              <w:t>4.6</w:t>
            </w:r>
          </w:p>
        </w:tc>
        <w:tc>
          <w:tcPr>
            <w:tcW w:w="878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0000FF"/>
              </w:rPr>
              <w:t>Inspection of Premises</w:t>
            </w:r>
          </w:p>
        </w:tc>
        <w:tc>
          <w:tcPr>
            <w:tcW w:w="16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103</w:t>
            </w:r>
          </w:p>
        </w:tc>
      </w:tr>
      <w:tr>
        <w:trPr>
          <w:trHeight w:val="243"/>
        </w:trPr>
        <w:tc>
          <w:tcPr>
            <w:tcW w:w="8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0000FF"/>
              </w:rPr>
              <w:t>4.7</w:t>
            </w:r>
          </w:p>
        </w:tc>
        <w:tc>
          <w:tcPr>
            <w:tcW w:w="878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0000FF"/>
              </w:rPr>
              <w:t>Appraisals</w:t>
            </w:r>
          </w:p>
        </w:tc>
        <w:tc>
          <w:tcPr>
            <w:tcW w:w="16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103</w:t>
            </w:r>
          </w:p>
        </w:tc>
      </w:tr>
      <w:tr>
        <w:trPr>
          <w:trHeight w:val="243"/>
        </w:trPr>
        <w:tc>
          <w:tcPr>
            <w:tcW w:w="8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0000FF"/>
              </w:rPr>
              <w:t>4.8</w:t>
            </w:r>
          </w:p>
        </w:tc>
        <w:tc>
          <w:tcPr>
            <w:tcW w:w="878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0000FF"/>
              </w:rPr>
              <w:t>Receivables; Deposit Accounts and Securities Accounts.</w:t>
            </w:r>
          </w:p>
        </w:tc>
        <w:tc>
          <w:tcPr>
            <w:tcW w:w="16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104</w:t>
            </w:r>
          </w:p>
        </w:tc>
      </w:tr>
      <w:tr>
        <w:trPr>
          <w:trHeight w:val="243"/>
        </w:trPr>
        <w:tc>
          <w:tcPr>
            <w:tcW w:w="8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0000FF"/>
              </w:rPr>
              <w:t>4.9</w:t>
            </w:r>
          </w:p>
        </w:tc>
        <w:tc>
          <w:tcPr>
            <w:tcW w:w="878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0000FF"/>
              </w:rPr>
              <w:t>Inventory</w:t>
            </w:r>
          </w:p>
        </w:tc>
        <w:tc>
          <w:tcPr>
            <w:tcW w:w="16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106</w:t>
            </w:r>
          </w:p>
        </w:tc>
      </w:tr>
      <w:tr>
        <w:trPr>
          <w:trHeight w:val="243"/>
        </w:trPr>
        <w:tc>
          <w:tcPr>
            <w:tcW w:w="8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0000FF"/>
              </w:rPr>
              <w:t>4.10</w:t>
            </w:r>
          </w:p>
        </w:tc>
        <w:tc>
          <w:tcPr>
            <w:tcW w:w="878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0000FF"/>
              </w:rPr>
              <w:t>Maintenance of Equipment</w:t>
            </w:r>
          </w:p>
        </w:tc>
        <w:tc>
          <w:tcPr>
            <w:tcW w:w="16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106</w:t>
            </w:r>
          </w:p>
        </w:tc>
      </w:tr>
      <w:tr>
        <w:trPr>
          <w:trHeight w:val="243"/>
        </w:trPr>
        <w:tc>
          <w:tcPr>
            <w:tcW w:w="8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0000FF"/>
              </w:rPr>
              <w:t>4.11</w:t>
            </w:r>
          </w:p>
        </w:tc>
        <w:tc>
          <w:tcPr>
            <w:tcW w:w="878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0000FF"/>
              </w:rPr>
              <w:t>Exculpation of Liability</w:t>
            </w:r>
          </w:p>
        </w:tc>
        <w:tc>
          <w:tcPr>
            <w:tcW w:w="16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107</w:t>
            </w:r>
          </w:p>
        </w:tc>
      </w:tr>
      <w:tr>
        <w:trPr>
          <w:trHeight w:val="243"/>
        </w:trPr>
        <w:tc>
          <w:tcPr>
            <w:tcW w:w="8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0000FF"/>
              </w:rPr>
              <w:t>4.12</w:t>
            </w:r>
          </w:p>
        </w:tc>
        <w:tc>
          <w:tcPr>
            <w:tcW w:w="878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0000FF"/>
              </w:rPr>
              <w:t>Maritime Representations and Covenants</w:t>
            </w:r>
          </w:p>
        </w:tc>
        <w:tc>
          <w:tcPr>
            <w:tcW w:w="16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107</w:t>
            </w:r>
          </w:p>
        </w:tc>
      </w:tr>
      <w:tr>
        <w:trPr>
          <w:trHeight w:val="282"/>
        </w:trPr>
        <w:tc>
          <w:tcPr>
            <w:tcW w:w="840" w:type="dxa"/>
            <w:vAlign w:val="bottom"/>
          </w:tcPr>
          <w:p>
            <w:pPr>
              <w:ind w:left="40"/>
              <w:spacing w:after="0"/>
              <w:rPr>
                <w:sz w:val="20"/>
                <w:szCs w:val="20"/>
                <w:color w:val="auto"/>
              </w:rPr>
            </w:pPr>
            <w:r>
              <w:rPr>
                <w:rFonts w:ascii="Times New Roman" w:cs="Times New Roman" w:eastAsia="Times New Roman" w:hAnsi="Times New Roman"/>
                <w:sz w:val="22"/>
                <w:szCs w:val="22"/>
                <w:color w:val="0000FF"/>
              </w:rPr>
              <w:t>4.13</w:t>
            </w:r>
          </w:p>
        </w:tc>
        <w:tc>
          <w:tcPr>
            <w:tcW w:w="8780" w:type="dxa"/>
            <w:vAlign w:val="bottom"/>
          </w:tcPr>
          <w:p>
            <w:pPr>
              <w:ind w:left="420"/>
              <w:spacing w:after="0"/>
              <w:rPr>
                <w:sz w:val="20"/>
                <w:szCs w:val="20"/>
                <w:color w:val="auto"/>
              </w:rPr>
            </w:pPr>
            <w:r>
              <w:rPr>
                <w:rFonts w:ascii="Times New Roman" w:cs="Times New Roman" w:eastAsia="Times New Roman" w:hAnsi="Times New Roman"/>
                <w:sz w:val="22"/>
                <w:szCs w:val="22"/>
                <w:color w:val="0000FF"/>
              </w:rPr>
              <w:t>Release of Liens on Release Eligible Vessels</w:t>
            </w:r>
          </w:p>
        </w:tc>
        <w:tc>
          <w:tcPr>
            <w:tcW w:w="1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108</w:t>
            </w:r>
          </w:p>
        </w:tc>
      </w:tr>
      <w:tr>
        <w:trPr>
          <w:trHeight w:val="351"/>
        </w:trPr>
        <w:tc>
          <w:tcPr>
            <w:tcW w:w="840" w:type="dxa"/>
            <w:vAlign w:val="bottom"/>
          </w:tcPr>
          <w:p>
            <w:pPr>
              <w:spacing w:after="0"/>
              <w:rPr>
                <w:sz w:val="20"/>
                <w:szCs w:val="20"/>
                <w:color w:val="auto"/>
              </w:rPr>
            </w:pPr>
            <w:r>
              <w:rPr>
                <w:rFonts w:ascii="Times New Roman" w:cs="Times New Roman" w:eastAsia="Times New Roman" w:hAnsi="Times New Roman"/>
                <w:sz w:val="22"/>
                <w:szCs w:val="22"/>
                <w:color w:val="0000FF"/>
              </w:rPr>
              <w:t>V.</w:t>
            </w:r>
          </w:p>
        </w:tc>
        <w:tc>
          <w:tcPr>
            <w:tcW w:w="8780" w:type="dxa"/>
            <w:vAlign w:val="bottom"/>
          </w:tcPr>
          <w:p>
            <w:pPr>
              <w:ind w:left="420"/>
              <w:spacing w:after="0"/>
              <w:rPr>
                <w:sz w:val="20"/>
                <w:szCs w:val="20"/>
                <w:color w:val="auto"/>
              </w:rPr>
            </w:pPr>
            <w:r>
              <w:rPr>
                <w:rFonts w:ascii="Times New Roman" w:cs="Times New Roman" w:eastAsia="Times New Roman" w:hAnsi="Times New Roman"/>
                <w:sz w:val="22"/>
                <w:szCs w:val="22"/>
                <w:color w:val="0000FF"/>
              </w:rPr>
              <w:t>REPRESENTATIONS AND WARRANTIES.</w:t>
            </w:r>
          </w:p>
        </w:tc>
        <w:tc>
          <w:tcPr>
            <w:tcW w:w="1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109</w:t>
            </w:r>
          </w:p>
        </w:tc>
      </w:tr>
      <w:tr>
        <w:trPr>
          <w:trHeight w:val="312"/>
        </w:trPr>
        <w:tc>
          <w:tcPr>
            <w:tcW w:w="840" w:type="dxa"/>
            <w:vAlign w:val="bottom"/>
          </w:tcPr>
          <w:p>
            <w:pPr>
              <w:ind w:left="40"/>
              <w:spacing w:after="0"/>
              <w:rPr>
                <w:sz w:val="20"/>
                <w:szCs w:val="20"/>
                <w:color w:val="auto"/>
              </w:rPr>
            </w:pPr>
            <w:r>
              <w:rPr>
                <w:rFonts w:ascii="Times New Roman" w:cs="Times New Roman" w:eastAsia="Times New Roman" w:hAnsi="Times New Roman"/>
                <w:sz w:val="22"/>
                <w:szCs w:val="22"/>
                <w:color w:val="0000FF"/>
              </w:rPr>
              <w:t>5.1</w:t>
            </w:r>
          </w:p>
        </w:tc>
        <w:tc>
          <w:tcPr>
            <w:tcW w:w="8780" w:type="dxa"/>
            <w:vAlign w:val="bottom"/>
          </w:tcPr>
          <w:p>
            <w:pPr>
              <w:ind w:left="420"/>
              <w:spacing w:after="0"/>
              <w:rPr>
                <w:sz w:val="20"/>
                <w:szCs w:val="20"/>
                <w:color w:val="auto"/>
              </w:rPr>
            </w:pPr>
            <w:r>
              <w:rPr>
                <w:rFonts w:ascii="Times New Roman" w:cs="Times New Roman" w:eastAsia="Times New Roman" w:hAnsi="Times New Roman"/>
                <w:sz w:val="22"/>
                <w:szCs w:val="22"/>
                <w:color w:val="0000FF"/>
              </w:rPr>
              <w:t>Authority</w:t>
            </w:r>
          </w:p>
        </w:tc>
        <w:tc>
          <w:tcPr>
            <w:tcW w:w="1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109</w:t>
            </w:r>
          </w:p>
        </w:tc>
      </w:tr>
      <w:tr>
        <w:trPr>
          <w:trHeight w:val="243"/>
        </w:trPr>
        <w:tc>
          <w:tcPr>
            <w:tcW w:w="8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0000FF"/>
              </w:rPr>
              <w:t>5.2</w:t>
            </w:r>
          </w:p>
        </w:tc>
        <w:tc>
          <w:tcPr>
            <w:tcW w:w="878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0000FF"/>
              </w:rPr>
              <w:t>Formation and Qualification.</w:t>
            </w:r>
          </w:p>
        </w:tc>
        <w:tc>
          <w:tcPr>
            <w:tcW w:w="16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109</w:t>
            </w:r>
          </w:p>
        </w:tc>
      </w:tr>
      <w:tr>
        <w:trPr>
          <w:trHeight w:val="243"/>
        </w:trPr>
        <w:tc>
          <w:tcPr>
            <w:tcW w:w="8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0000FF"/>
              </w:rPr>
              <w:t>5.3</w:t>
            </w:r>
          </w:p>
        </w:tc>
        <w:tc>
          <w:tcPr>
            <w:tcW w:w="878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0000FF"/>
              </w:rPr>
              <w:t>Survival of Representations and Warranties</w:t>
            </w:r>
          </w:p>
        </w:tc>
        <w:tc>
          <w:tcPr>
            <w:tcW w:w="16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109</w:t>
            </w:r>
          </w:p>
        </w:tc>
      </w:tr>
      <w:tr>
        <w:trPr>
          <w:trHeight w:val="243"/>
        </w:trPr>
        <w:tc>
          <w:tcPr>
            <w:tcW w:w="8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0000FF"/>
              </w:rPr>
              <w:t>5.4</w:t>
            </w:r>
          </w:p>
        </w:tc>
        <w:tc>
          <w:tcPr>
            <w:tcW w:w="878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0000FF"/>
              </w:rPr>
              <w:t>Tax Returns</w:t>
            </w:r>
          </w:p>
        </w:tc>
        <w:tc>
          <w:tcPr>
            <w:tcW w:w="16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110</w:t>
            </w:r>
          </w:p>
        </w:tc>
      </w:tr>
      <w:tr>
        <w:trPr>
          <w:trHeight w:val="243"/>
        </w:trPr>
        <w:tc>
          <w:tcPr>
            <w:tcW w:w="8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0000FF"/>
              </w:rPr>
              <w:t>5.5</w:t>
            </w:r>
          </w:p>
        </w:tc>
        <w:tc>
          <w:tcPr>
            <w:tcW w:w="878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0000FF"/>
              </w:rPr>
              <w:t>Financial Statements; No Material Adverse Effect.</w:t>
            </w:r>
          </w:p>
        </w:tc>
        <w:tc>
          <w:tcPr>
            <w:tcW w:w="16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110</w:t>
            </w:r>
          </w:p>
        </w:tc>
      </w:tr>
      <w:tr>
        <w:trPr>
          <w:trHeight w:val="243"/>
        </w:trPr>
        <w:tc>
          <w:tcPr>
            <w:tcW w:w="8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0000FF"/>
              </w:rPr>
              <w:t>5.6</w:t>
            </w:r>
          </w:p>
        </w:tc>
        <w:tc>
          <w:tcPr>
            <w:tcW w:w="878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0000FF"/>
              </w:rPr>
              <w:t>Entity Names</w:t>
            </w:r>
          </w:p>
        </w:tc>
        <w:tc>
          <w:tcPr>
            <w:tcW w:w="16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111</w:t>
            </w:r>
          </w:p>
        </w:tc>
      </w:tr>
      <w:tr>
        <w:trPr>
          <w:trHeight w:val="243"/>
        </w:trPr>
        <w:tc>
          <w:tcPr>
            <w:tcW w:w="8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0000FF"/>
              </w:rPr>
              <w:t>5.7</w:t>
            </w:r>
          </w:p>
        </w:tc>
        <w:tc>
          <w:tcPr>
            <w:tcW w:w="878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0000FF"/>
              </w:rPr>
              <w:t>Environmental Compliance.</w:t>
            </w:r>
          </w:p>
        </w:tc>
        <w:tc>
          <w:tcPr>
            <w:tcW w:w="16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111</w:t>
            </w:r>
          </w:p>
        </w:tc>
      </w:tr>
      <w:tr>
        <w:trPr>
          <w:trHeight w:val="243"/>
        </w:trPr>
        <w:tc>
          <w:tcPr>
            <w:tcW w:w="8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0000FF"/>
              </w:rPr>
              <w:t>5.8</w:t>
            </w:r>
          </w:p>
        </w:tc>
        <w:tc>
          <w:tcPr>
            <w:tcW w:w="878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0000FF"/>
              </w:rPr>
              <w:t>Solvency; No Litigation, Violation, Indebtedness or Default; ERISA Compliance.</w:t>
            </w:r>
          </w:p>
        </w:tc>
        <w:tc>
          <w:tcPr>
            <w:tcW w:w="16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112</w:t>
            </w:r>
          </w:p>
        </w:tc>
      </w:tr>
      <w:tr>
        <w:trPr>
          <w:trHeight w:val="243"/>
        </w:trPr>
        <w:tc>
          <w:tcPr>
            <w:tcW w:w="8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0000FF"/>
              </w:rPr>
              <w:t>5.9</w:t>
            </w:r>
          </w:p>
        </w:tc>
        <w:tc>
          <w:tcPr>
            <w:tcW w:w="878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0000FF"/>
              </w:rPr>
              <w:t>Patents, Trademarks, Copyrights and Licenses</w:t>
            </w:r>
          </w:p>
        </w:tc>
        <w:tc>
          <w:tcPr>
            <w:tcW w:w="16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113</w:t>
            </w:r>
          </w:p>
        </w:tc>
      </w:tr>
      <w:tr>
        <w:trPr>
          <w:trHeight w:val="243"/>
        </w:trPr>
        <w:tc>
          <w:tcPr>
            <w:tcW w:w="8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0000FF"/>
              </w:rPr>
              <w:t>5.10</w:t>
            </w:r>
          </w:p>
        </w:tc>
        <w:tc>
          <w:tcPr>
            <w:tcW w:w="878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0000FF"/>
              </w:rPr>
              <w:t>Licenses and Permits</w:t>
            </w:r>
          </w:p>
        </w:tc>
        <w:tc>
          <w:tcPr>
            <w:tcW w:w="16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113</w:t>
            </w:r>
          </w:p>
        </w:tc>
      </w:tr>
      <w:tr>
        <w:trPr>
          <w:trHeight w:val="243"/>
        </w:trPr>
        <w:tc>
          <w:tcPr>
            <w:tcW w:w="8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0000FF"/>
              </w:rPr>
              <w:t>5.11</w:t>
            </w:r>
          </w:p>
        </w:tc>
        <w:tc>
          <w:tcPr>
            <w:tcW w:w="878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0000FF"/>
              </w:rPr>
              <w:t>Default of Indebtedness</w:t>
            </w:r>
          </w:p>
        </w:tc>
        <w:tc>
          <w:tcPr>
            <w:tcW w:w="16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113</w:t>
            </w:r>
          </w:p>
        </w:tc>
      </w:tr>
      <w:tr>
        <w:trPr>
          <w:trHeight w:val="243"/>
        </w:trPr>
        <w:tc>
          <w:tcPr>
            <w:tcW w:w="8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0000FF"/>
              </w:rPr>
              <w:t>5.12</w:t>
            </w:r>
          </w:p>
        </w:tc>
        <w:tc>
          <w:tcPr>
            <w:tcW w:w="878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0000FF"/>
              </w:rPr>
              <w:t>No Default</w:t>
            </w:r>
          </w:p>
        </w:tc>
        <w:tc>
          <w:tcPr>
            <w:tcW w:w="16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113</w:t>
            </w:r>
          </w:p>
        </w:tc>
      </w:tr>
      <w:tr>
        <w:trPr>
          <w:trHeight w:val="243"/>
        </w:trPr>
        <w:tc>
          <w:tcPr>
            <w:tcW w:w="8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0000FF"/>
              </w:rPr>
              <w:t>5.13</w:t>
            </w:r>
          </w:p>
        </w:tc>
        <w:tc>
          <w:tcPr>
            <w:tcW w:w="878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0000FF"/>
              </w:rPr>
              <w:t>No Burdensome Restrictions</w:t>
            </w:r>
          </w:p>
        </w:tc>
        <w:tc>
          <w:tcPr>
            <w:tcW w:w="16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113</w:t>
            </w:r>
          </w:p>
        </w:tc>
      </w:tr>
      <w:tr>
        <w:trPr>
          <w:trHeight w:val="243"/>
        </w:trPr>
        <w:tc>
          <w:tcPr>
            <w:tcW w:w="8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0000FF"/>
              </w:rPr>
              <w:t>5.14</w:t>
            </w:r>
          </w:p>
        </w:tc>
        <w:tc>
          <w:tcPr>
            <w:tcW w:w="878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0000FF"/>
              </w:rPr>
              <w:t>No Labor Disputes</w:t>
            </w:r>
          </w:p>
        </w:tc>
        <w:tc>
          <w:tcPr>
            <w:tcW w:w="16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114</w:t>
            </w:r>
          </w:p>
        </w:tc>
      </w:tr>
      <w:tr>
        <w:trPr>
          <w:trHeight w:val="243"/>
        </w:trPr>
        <w:tc>
          <w:tcPr>
            <w:tcW w:w="8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0000FF"/>
              </w:rPr>
              <w:t>5.15</w:t>
            </w:r>
          </w:p>
        </w:tc>
        <w:tc>
          <w:tcPr>
            <w:tcW w:w="878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0000FF"/>
              </w:rPr>
              <w:t>Margin Regulations</w:t>
            </w:r>
          </w:p>
        </w:tc>
        <w:tc>
          <w:tcPr>
            <w:tcW w:w="16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114</w:t>
            </w:r>
          </w:p>
        </w:tc>
      </w:tr>
      <w:tr>
        <w:trPr>
          <w:trHeight w:val="243"/>
        </w:trPr>
        <w:tc>
          <w:tcPr>
            <w:tcW w:w="8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0000FF"/>
              </w:rPr>
              <w:t>5.16</w:t>
            </w:r>
          </w:p>
        </w:tc>
        <w:tc>
          <w:tcPr>
            <w:tcW w:w="878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0000FF"/>
              </w:rPr>
              <w:t>Investment Company Act</w:t>
            </w:r>
          </w:p>
        </w:tc>
        <w:tc>
          <w:tcPr>
            <w:tcW w:w="16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114</w:t>
            </w:r>
          </w:p>
        </w:tc>
      </w:tr>
      <w:tr>
        <w:trPr>
          <w:trHeight w:val="243"/>
        </w:trPr>
        <w:tc>
          <w:tcPr>
            <w:tcW w:w="8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0000FF"/>
              </w:rPr>
              <w:t>5.17</w:t>
            </w:r>
          </w:p>
        </w:tc>
        <w:tc>
          <w:tcPr>
            <w:tcW w:w="878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0000FF"/>
              </w:rPr>
              <w:t>Disclosure</w:t>
            </w:r>
          </w:p>
        </w:tc>
        <w:tc>
          <w:tcPr>
            <w:tcW w:w="16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114</w:t>
            </w:r>
          </w:p>
        </w:tc>
      </w:tr>
      <w:tr>
        <w:trPr>
          <w:trHeight w:val="243"/>
        </w:trPr>
        <w:tc>
          <w:tcPr>
            <w:tcW w:w="8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0000FF"/>
              </w:rPr>
              <w:t>5.18</w:t>
            </w:r>
          </w:p>
        </w:tc>
        <w:tc>
          <w:tcPr>
            <w:tcW w:w="878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0000FF"/>
              </w:rPr>
              <w:t>Immaterial Subsidiaries</w:t>
            </w:r>
          </w:p>
        </w:tc>
        <w:tc>
          <w:tcPr>
            <w:tcW w:w="16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114</w:t>
            </w:r>
          </w:p>
        </w:tc>
      </w:tr>
      <w:tr>
        <w:trPr>
          <w:trHeight w:val="243"/>
        </w:trPr>
        <w:tc>
          <w:tcPr>
            <w:tcW w:w="8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0000FF"/>
              </w:rPr>
              <w:t>5.19</w:t>
            </w:r>
          </w:p>
        </w:tc>
        <w:tc>
          <w:tcPr>
            <w:tcW w:w="878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0000FF"/>
              </w:rPr>
              <w:t>Charters</w:t>
            </w:r>
          </w:p>
        </w:tc>
        <w:tc>
          <w:tcPr>
            <w:tcW w:w="16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114</w:t>
            </w:r>
          </w:p>
        </w:tc>
      </w:tr>
      <w:tr>
        <w:trPr>
          <w:trHeight w:val="243"/>
        </w:trPr>
        <w:tc>
          <w:tcPr>
            <w:tcW w:w="8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0000FF"/>
              </w:rPr>
              <w:t>5.20</w:t>
            </w:r>
          </w:p>
        </w:tc>
        <w:tc>
          <w:tcPr>
            <w:tcW w:w="878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0000FF"/>
              </w:rPr>
              <w:t>Delivery of Second Lien Loan Documents</w:t>
            </w:r>
          </w:p>
        </w:tc>
        <w:tc>
          <w:tcPr>
            <w:tcW w:w="16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114</w:t>
            </w:r>
          </w:p>
        </w:tc>
      </w:tr>
      <w:tr>
        <w:trPr>
          <w:trHeight w:val="243"/>
        </w:trPr>
        <w:tc>
          <w:tcPr>
            <w:tcW w:w="8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0000FF"/>
              </w:rPr>
              <w:t>5.21</w:t>
            </w:r>
          </w:p>
        </w:tc>
        <w:tc>
          <w:tcPr>
            <w:tcW w:w="878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0000FF"/>
              </w:rPr>
              <w:t>Business and Property of Credit Parties</w:t>
            </w:r>
          </w:p>
        </w:tc>
        <w:tc>
          <w:tcPr>
            <w:tcW w:w="16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114</w:t>
            </w:r>
          </w:p>
        </w:tc>
      </w:tr>
      <w:tr>
        <w:trPr>
          <w:trHeight w:val="239"/>
        </w:trPr>
        <w:tc>
          <w:tcPr>
            <w:tcW w:w="840" w:type="dxa"/>
            <w:vAlign w:val="bottom"/>
          </w:tcPr>
          <w:p>
            <w:pPr>
              <w:ind w:left="40"/>
              <w:spacing w:after="0" w:line="239" w:lineRule="exact"/>
              <w:rPr>
                <w:sz w:val="20"/>
                <w:szCs w:val="20"/>
                <w:color w:val="auto"/>
              </w:rPr>
            </w:pPr>
            <w:r>
              <w:rPr>
                <w:rFonts w:ascii="Times New Roman" w:cs="Times New Roman" w:eastAsia="Times New Roman" w:hAnsi="Times New Roman"/>
                <w:sz w:val="22"/>
                <w:szCs w:val="22"/>
                <w:color w:val="0000FF"/>
              </w:rPr>
              <w:t>5.22</w:t>
            </w:r>
          </w:p>
        </w:tc>
        <w:tc>
          <w:tcPr>
            <w:tcW w:w="8780" w:type="dxa"/>
            <w:vAlign w:val="bottom"/>
          </w:tcPr>
          <w:p>
            <w:pPr>
              <w:ind w:left="420"/>
              <w:spacing w:after="0" w:line="239" w:lineRule="exact"/>
              <w:rPr>
                <w:sz w:val="20"/>
                <w:szCs w:val="20"/>
                <w:color w:val="auto"/>
              </w:rPr>
            </w:pPr>
            <w:r>
              <w:rPr>
                <w:rFonts w:ascii="Times New Roman" w:cs="Times New Roman" w:eastAsia="Times New Roman" w:hAnsi="Times New Roman"/>
                <w:sz w:val="22"/>
                <w:szCs w:val="22"/>
                <w:color w:val="0000FF"/>
              </w:rPr>
              <w:t>Ineligible Securities</w:t>
            </w:r>
          </w:p>
        </w:tc>
        <w:tc>
          <w:tcPr>
            <w:tcW w:w="1620" w:type="dxa"/>
            <w:vAlign w:val="bottom"/>
          </w:tcPr>
          <w:p>
            <w:pPr>
              <w:jc w:val="right"/>
              <w:spacing w:after="0" w:line="239" w:lineRule="exact"/>
              <w:rPr>
                <w:sz w:val="20"/>
                <w:szCs w:val="20"/>
                <w:color w:val="auto"/>
              </w:rPr>
            </w:pPr>
            <w:r>
              <w:rPr>
                <w:rFonts w:ascii="Times New Roman" w:cs="Times New Roman" w:eastAsia="Times New Roman" w:hAnsi="Times New Roman"/>
                <w:sz w:val="22"/>
                <w:szCs w:val="22"/>
                <w:color w:val="auto"/>
              </w:rPr>
              <w:t>115</w:t>
            </w:r>
          </w:p>
        </w:tc>
      </w:tr>
      <w:tr>
        <w:trPr>
          <w:trHeight w:val="247"/>
        </w:trPr>
        <w:tc>
          <w:tcPr>
            <w:tcW w:w="840" w:type="dxa"/>
            <w:vAlign w:val="bottom"/>
          </w:tcPr>
          <w:p>
            <w:pPr>
              <w:ind w:left="40"/>
              <w:spacing w:after="0" w:line="247" w:lineRule="exact"/>
              <w:rPr>
                <w:sz w:val="20"/>
                <w:szCs w:val="20"/>
                <w:color w:val="auto"/>
              </w:rPr>
            </w:pPr>
            <w:r>
              <w:rPr>
                <w:rFonts w:ascii="Times New Roman" w:cs="Times New Roman" w:eastAsia="Times New Roman" w:hAnsi="Times New Roman"/>
                <w:sz w:val="22"/>
                <w:szCs w:val="22"/>
                <w:color w:val="0000FF"/>
              </w:rPr>
              <w:t>5.23</w:t>
            </w:r>
          </w:p>
        </w:tc>
        <w:tc>
          <w:tcPr>
            <w:tcW w:w="8780" w:type="dxa"/>
            <w:vAlign w:val="bottom"/>
          </w:tcPr>
          <w:p>
            <w:pPr>
              <w:ind w:left="420"/>
              <w:spacing w:after="0" w:line="247" w:lineRule="exact"/>
              <w:rPr>
                <w:sz w:val="20"/>
                <w:szCs w:val="20"/>
                <w:color w:val="auto"/>
              </w:rPr>
            </w:pPr>
            <w:r>
              <w:rPr>
                <w:rFonts w:ascii="Times New Roman" w:cs="Times New Roman" w:eastAsia="Times New Roman" w:hAnsi="Times New Roman"/>
                <w:sz w:val="22"/>
                <w:szCs w:val="22"/>
                <w:color w:val="0000FF"/>
              </w:rPr>
              <w:t>[</w:t>
            </w:r>
            <w:r>
              <w:rPr>
                <w:rFonts w:ascii="Times New Roman" w:cs="Times New Roman" w:eastAsia="Times New Roman" w:hAnsi="Times New Roman"/>
                <w:sz w:val="22"/>
                <w:szCs w:val="22"/>
                <w:i w:val="1"/>
                <w:iCs w:val="1"/>
                <w:color w:val="0000FF"/>
              </w:rPr>
              <w:t>Intentionally Omitted</w:t>
            </w:r>
            <w:r>
              <w:rPr>
                <w:rFonts w:ascii="Times New Roman" w:cs="Times New Roman" w:eastAsia="Times New Roman" w:hAnsi="Times New Roman"/>
                <w:sz w:val="22"/>
                <w:szCs w:val="22"/>
                <w:color w:val="0000FF"/>
              </w:rPr>
              <w:t>].</w:t>
            </w:r>
          </w:p>
        </w:tc>
        <w:tc>
          <w:tcPr>
            <w:tcW w:w="1620" w:type="dxa"/>
            <w:vAlign w:val="bottom"/>
          </w:tcPr>
          <w:p>
            <w:pPr>
              <w:jc w:val="right"/>
              <w:spacing w:after="0" w:line="247" w:lineRule="exact"/>
              <w:rPr>
                <w:sz w:val="20"/>
                <w:szCs w:val="20"/>
                <w:color w:val="auto"/>
              </w:rPr>
            </w:pPr>
            <w:r>
              <w:rPr>
                <w:rFonts w:ascii="Times New Roman" w:cs="Times New Roman" w:eastAsia="Times New Roman" w:hAnsi="Times New Roman"/>
                <w:sz w:val="22"/>
                <w:szCs w:val="22"/>
                <w:color w:val="auto"/>
              </w:rPr>
              <w:t>115</w:t>
            </w:r>
          </w:p>
        </w:tc>
      </w:tr>
      <w:tr>
        <w:trPr>
          <w:trHeight w:val="243"/>
        </w:trPr>
        <w:tc>
          <w:tcPr>
            <w:tcW w:w="8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0000FF"/>
              </w:rPr>
              <w:t>5.24</w:t>
            </w:r>
          </w:p>
        </w:tc>
        <w:tc>
          <w:tcPr>
            <w:tcW w:w="878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0000FF"/>
              </w:rPr>
              <w:t>Equity Interests</w:t>
            </w:r>
          </w:p>
        </w:tc>
        <w:tc>
          <w:tcPr>
            <w:tcW w:w="16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115</w:t>
            </w:r>
          </w:p>
        </w:tc>
      </w:tr>
      <w:tr>
        <w:trPr>
          <w:trHeight w:val="282"/>
        </w:trPr>
        <w:tc>
          <w:tcPr>
            <w:tcW w:w="840" w:type="dxa"/>
            <w:vAlign w:val="bottom"/>
          </w:tcPr>
          <w:p>
            <w:pPr>
              <w:ind w:left="40"/>
              <w:spacing w:after="0"/>
              <w:rPr>
                <w:sz w:val="20"/>
                <w:szCs w:val="20"/>
                <w:color w:val="auto"/>
              </w:rPr>
            </w:pPr>
            <w:r>
              <w:rPr>
                <w:rFonts w:ascii="Times New Roman" w:cs="Times New Roman" w:eastAsia="Times New Roman" w:hAnsi="Times New Roman"/>
                <w:sz w:val="22"/>
                <w:szCs w:val="22"/>
                <w:color w:val="0000FF"/>
              </w:rPr>
              <w:t>5.25</w:t>
            </w:r>
          </w:p>
        </w:tc>
        <w:tc>
          <w:tcPr>
            <w:tcW w:w="8780" w:type="dxa"/>
            <w:vAlign w:val="bottom"/>
          </w:tcPr>
          <w:p>
            <w:pPr>
              <w:ind w:left="420"/>
              <w:spacing w:after="0"/>
              <w:rPr>
                <w:sz w:val="20"/>
                <w:szCs w:val="20"/>
                <w:color w:val="auto"/>
              </w:rPr>
            </w:pPr>
            <w:r>
              <w:rPr>
                <w:rFonts w:ascii="Times New Roman" w:cs="Times New Roman" w:eastAsia="Times New Roman" w:hAnsi="Times New Roman"/>
                <w:sz w:val="22"/>
                <w:szCs w:val="22"/>
                <w:color w:val="0000FF"/>
              </w:rPr>
              <w:t>Commercial Tort Claims</w:t>
            </w:r>
          </w:p>
        </w:tc>
        <w:tc>
          <w:tcPr>
            <w:tcW w:w="1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115</w:t>
            </w:r>
          </w:p>
        </w:tc>
      </w:tr>
    </w:tbl>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8" w:right="33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253"/>
        </w:trPr>
        <w:tc>
          <w:tcPr>
            <w:tcW w:w="840" w:type="dxa"/>
            <w:vAlign w:val="bottom"/>
          </w:tcPr>
          <w:p>
            <w:pPr>
              <w:ind w:left="40"/>
              <w:spacing w:after="0"/>
              <w:rPr>
                <w:sz w:val="20"/>
                <w:szCs w:val="20"/>
                <w:color w:val="auto"/>
              </w:rPr>
            </w:pPr>
            <w:r>
              <w:rPr>
                <w:rFonts w:ascii="Times New Roman" w:cs="Times New Roman" w:eastAsia="Times New Roman" w:hAnsi="Times New Roman"/>
                <w:sz w:val="22"/>
                <w:szCs w:val="22"/>
                <w:color w:val="0000FF"/>
              </w:rPr>
              <w:t>5.26</w:t>
            </w:r>
          </w:p>
        </w:tc>
        <w:tc>
          <w:tcPr>
            <w:tcW w:w="7960" w:type="dxa"/>
            <w:vAlign w:val="bottom"/>
          </w:tcPr>
          <w:p>
            <w:pPr>
              <w:ind w:left="420"/>
              <w:spacing w:after="0"/>
              <w:rPr>
                <w:sz w:val="20"/>
                <w:szCs w:val="20"/>
                <w:color w:val="auto"/>
              </w:rPr>
            </w:pPr>
            <w:r>
              <w:rPr>
                <w:rFonts w:ascii="Times New Roman" w:cs="Times New Roman" w:eastAsia="Times New Roman" w:hAnsi="Times New Roman"/>
                <w:sz w:val="22"/>
                <w:szCs w:val="22"/>
                <w:color w:val="0000FF"/>
              </w:rPr>
              <w:t>Letter of Credit Rights</w:t>
            </w:r>
          </w:p>
        </w:tc>
        <w:tc>
          <w:tcPr>
            <w:tcW w:w="2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115</w:t>
            </w:r>
          </w:p>
        </w:tc>
      </w:tr>
      <w:tr>
        <w:trPr>
          <w:trHeight w:val="243"/>
        </w:trPr>
        <w:tc>
          <w:tcPr>
            <w:tcW w:w="8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0000FF"/>
              </w:rPr>
              <w:t>5.27</w:t>
            </w:r>
          </w:p>
        </w:tc>
        <w:tc>
          <w:tcPr>
            <w:tcW w:w="796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0000FF"/>
              </w:rPr>
              <w:t>Material Contracts</w:t>
            </w:r>
          </w:p>
        </w:tc>
        <w:tc>
          <w:tcPr>
            <w:tcW w:w="24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115</w:t>
            </w:r>
          </w:p>
        </w:tc>
      </w:tr>
      <w:tr>
        <w:trPr>
          <w:trHeight w:val="282"/>
        </w:trPr>
        <w:tc>
          <w:tcPr>
            <w:tcW w:w="840" w:type="dxa"/>
            <w:vAlign w:val="bottom"/>
          </w:tcPr>
          <w:p>
            <w:pPr>
              <w:ind w:left="40"/>
              <w:spacing w:after="0"/>
              <w:rPr>
                <w:sz w:val="20"/>
                <w:szCs w:val="20"/>
                <w:color w:val="auto"/>
              </w:rPr>
            </w:pPr>
            <w:r>
              <w:rPr>
                <w:rFonts w:ascii="Times New Roman" w:cs="Times New Roman" w:eastAsia="Times New Roman" w:hAnsi="Times New Roman"/>
                <w:sz w:val="22"/>
                <w:szCs w:val="22"/>
                <w:color w:val="0000FF"/>
              </w:rPr>
              <w:t>5.28</w:t>
            </w:r>
          </w:p>
        </w:tc>
        <w:tc>
          <w:tcPr>
            <w:tcW w:w="7960" w:type="dxa"/>
            <w:vAlign w:val="bottom"/>
          </w:tcPr>
          <w:p>
            <w:pPr>
              <w:ind w:left="420"/>
              <w:spacing w:after="0"/>
              <w:rPr>
                <w:sz w:val="20"/>
                <w:szCs w:val="20"/>
                <w:color w:val="auto"/>
              </w:rPr>
            </w:pPr>
            <w:r>
              <w:rPr>
                <w:rFonts w:ascii="Times New Roman" w:cs="Times New Roman" w:eastAsia="Times New Roman" w:hAnsi="Times New Roman"/>
                <w:sz w:val="22"/>
                <w:szCs w:val="22"/>
                <w:color w:val="0000FF"/>
              </w:rPr>
              <w:t>Certificate of Beneficial Ownership</w:t>
            </w:r>
          </w:p>
        </w:tc>
        <w:tc>
          <w:tcPr>
            <w:tcW w:w="2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115</w:t>
            </w:r>
          </w:p>
        </w:tc>
      </w:tr>
      <w:tr>
        <w:trPr>
          <w:trHeight w:val="351"/>
        </w:trPr>
        <w:tc>
          <w:tcPr>
            <w:tcW w:w="840" w:type="dxa"/>
            <w:vAlign w:val="bottom"/>
          </w:tcPr>
          <w:p>
            <w:pPr>
              <w:spacing w:after="0"/>
              <w:rPr>
                <w:sz w:val="20"/>
                <w:szCs w:val="20"/>
                <w:color w:val="auto"/>
              </w:rPr>
            </w:pPr>
            <w:r>
              <w:rPr>
                <w:rFonts w:ascii="Times New Roman" w:cs="Times New Roman" w:eastAsia="Times New Roman" w:hAnsi="Times New Roman"/>
                <w:sz w:val="22"/>
                <w:szCs w:val="22"/>
                <w:color w:val="0000FF"/>
              </w:rPr>
              <w:t>VI.</w:t>
            </w:r>
          </w:p>
        </w:tc>
        <w:tc>
          <w:tcPr>
            <w:tcW w:w="7960" w:type="dxa"/>
            <w:vAlign w:val="bottom"/>
          </w:tcPr>
          <w:p>
            <w:pPr>
              <w:ind w:left="420"/>
              <w:spacing w:after="0"/>
              <w:rPr>
                <w:sz w:val="20"/>
                <w:szCs w:val="20"/>
                <w:color w:val="auto"/>
              </w:rPr>
            </w:pPr>
            <w:r>
              <w:rPr>
                <w:rFonts w:ascii="Times New Roman" w:cs="Times New Roman" w:eastAsia="Times New Roman" w:hAnsi="Times New Roman"/>
                <w:sz w:val="22"/>
                <w:szCs w:val="22"/>
                <w:color w:val="0000FF"/>
              </w:rPr>
              <w:t>AFFIRMATIVE COVENANTS.</w:t>
            </w:r>
          </w:p>
        </w:tc>
        <w:tc>
          <w:tcPr>
            <w:tcW w:w="2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116</w:t>
            </w:r>
          </w:p>
        </w:tc>
      </w:tr>
      <w:tr>
        <w:trPr>
          <w:trHeight w:val="312"/>
        </w:trPr>
        <w:tc>
          <w:tcPr>
            <w:tcW w:w="840" w:type="dxa"/>
            <w:vAlign w:val="bottom"/>
          </w:tcPr>
          <w:p>
            <w:pPr>
              <w:ind w:left="40"/>
              <w:spacing w:after="0"/>
              <w:rPr>
                <w:sz w:val="20"/>
                <w:szCs w:val="20"/>
                <w:color w:val="auto"/>
              </w:rPr>
            </w:pPr>
            <w:r>
              <w:rPr>
                <w:rFonts w:ascii="Times New Roman" w:cs="Times New Roman" w:eastAsia="Times New Roman" w:hAnsi="Times New Roman"/>
                <w:sz w:val="22"/>
                <w:szCs w:val="22"/>
                <w:color w:val="0000FF"/>
              </w:rPr>
              <w:t>6.1</w:t>
            </w:r>
          </w:p>
        </w:tc>
        <w:tc>
          <w:tcPr>
            <w:tcW w:w="7960" w:type="dxa"/>
            <w:vAlign w:val="bottom"/>
          </w:tcPr>
          <w:p>
            <w:pPr>
              <w:ind w:left="420"/>
              <w:spacing w:after="0"/>
              <w:rPr>
                <w:sz w:val="20"/>
                <w:szCs w:val="20"/>
                <w:color w:val="auto"/>
              </w:rPr>
            </w:pPr>
            <w:r>
              <w:rPr>
                <w:rFonts w:ascii="Times New Roman" w:cs="Times New Roman" w:eastAsia="Times New Roman" w:hAnsi="Times New Roman"/>
                <w:sz w:val="22"/>
                <w:szCs w:val="22"/>
                <w:color w:val="0000FF"/>
              </w:rPr>
              <w:t>Compliance with Laws</w:t>
            </w:r>
          </w:p>
        </w:tc>
        <w:tc>
          <w:tcPr>
            <w:tcW w:w="2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116</w:t>
            </w:r>
          </w:p>
        </w:tc>
      </w:tr>
      <w:tr>
        <w:trPr>
          <w:trHeight w:val="243"/>
        </w:trPr>
        <w:tc>
          <w:tcPr>
            <w:tcW w:w="8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0000FF"/>
              </w:rPr>
              <w:t>6.2</w:t>
            </w:r>
          </w:p>
        </w:tc>
        <w:tc>
          <w:tcPr>
            <w:tcW w:w="796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0000FF"/>
              </w:rPr>
              <w:t>Conduct of Business and Maintenance of Existence and Assets</w:t>
            </w:r>
          </w:p>
        </w:tc>
        <w:tc>
          <w:tcPr>
            <w:tcW w:w="24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116</w:t>
            </w:r>
          </w:p>
        </w:tc>
      </w:tr>
      <w:tr>
        <w:trPr>
          <w:trHeight w:val="243"/>
        </w:trPr>
        <w:tc>
          <w:tcPr>
            <w:tcW w:w="8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0000FF"/>
              </w:rPr>
              <w:t>6.3</w:t>
            </w:r>
          </w:p>
        </w:tc>
        <w:tc>
          <w:tcPr>
            <w:tcW w:w="796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0000FF"/>
              </w:rPr>
              <w:t>Books and Records</w:t>
            </w:r>
          </w:p>
        </w:tc>
        <w:tc>
          <w:tcPr>
            <w:tcW w:w="24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116</w:t>
            </w:r>
          </w:p>
        </w:tc>
      </w:tr>
      <w:tr>
        <w:trPr>
          <w:trHeight w:val="243"/>
        </w:trPr>
        <w:tc>
          <w:tcPr>
            <w:tcW w:w="8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0000FF"/>
              </w:rPr>
              <w:t>6.4</w:t>
            </w:r>
          </w:p>
        </w:tc>
        <w:tc>
          <w:tcPr>
            <w:tcW w:w="796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0000FF"/>
              </w:rPr>
              <w:t>Payment of Taxes</w:t>
            </w:r>
          </w:p>
        </w:tc>
        <w:tc>
          <w:tcPr>
            <w:tcW w:w="24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116</w:t>
            </w:r>
          </w:p>
        </w:tc>
      </w:tr>
      <w:tr>
        <w:trPr>
          <w:trHeight w:val="243"/>
        </w:trPr>
        <w:tc>
          <w:tcPr>
            <w:tcW w:w="8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0000FF"/>
              </w:rPr>
              <w:t>6.5</w:t>
            </w:r>
          </w:p>
        </w:tc>
        <w:tc>
          <w:tcPr>
            <w:tcW w:w="796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0000FF"/>
              </w:rPr>
              <w:t>Financial Covenants.</w:t>
            </w:r>
          </w:p>
        </w:tc>
        <w:tc>
          <w:tcPr>
            <w:tcW w:w="24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117</w:t>
            </w:r>
          </w:p>
        </w:tc>
      </w:tr>
      <w:tr>
        <w:trPr>
          <w:trHeight w:val="243"/>
        </w:trPr>
        <w:tc>
          <w:tcPr>
            <w:tcW w:w="8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0000FF"/>
              </w:rPr>
              <w:t>6.6</w:t>
            </w:r>
          </w:p>
        </w:tc>
        <w:tc>
          <w:tcPr>
            <w:tcW w:w="796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0000FF"/>
              </w:rPr>
              <w:t>Insurance.</w:t>
            </w:r>
          </w:p>
        </w:tc>
        <w:tc>
          <w:tcPr>
            <w:tcW w:w="24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117</w:t>
            </w:r>
          </w:p>
        </w:tc>
      </w:tr>
      <w:tr>
        <w:trPr>
          <w:trHeight w:val="243"/>
        </w:trPr>
        <w:tc>
          <w:tcPr>
            <w:tcW w:w="8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0000FF"/>
              </w:rPr>
              <w:t>6.7</w:t>
            </w:r>
          </w:p>
        </w:tc>
        <w:tc>
          <w:tcPr>
            <w:tcW w:w="796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0000FF"/>
              </w:rPr>
              <w:t>Payment of Indebtedness and Leasehold Obligations</w:t>
            </w:r>
          </w:p>
        </w:tc>
        <w:tc>
          <w:tcPr>
            <w:tcW w:w="24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119</w:t>
            </w:r>
          </w:p>
        </w:tc>
      </w:tr>
      <w:tr>
        <w:trPr>
          <w:trHeight w:val="243"/>
        </w:trPr>
        <w:tc>
          <w:tcPr>
            <w:tcW w:w="8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0000FF"/>
              </w:rPr>
              <w:t>6.8</w:t>
            </w:r>
          </w:p>
        </w:tc>
        <w:tc>
          <w:tcPr>
            <w:tcW w:w="796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0000FF"/>
              </w:rPr>
              <w:t>Environmental Matters</w:t>
            </w:r>
          </w:p>
        </w:tc>
        <w:tc>
          <w:tcPr>
            <w:tcW w:w="24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119</w:t>
            </w:r>
          </w:p>
        </w:tc>
      </w:tr>
      <w:tr>
        <w:trPr>
          <w:trHeight w:val="239"/>
        </w:trPr>
        <w:tc>
          <w:tcPr>
            <w:tcW w:w="840" w:type="dxa"/>
            <w:vAlign w:val="bottom"/>
          </w:tcPr>
          <w:p>
            <w:pPr>
              <w:ind w:left="40"/>
              <w:spacing w:after="0" w:line="239" w:lineRule="exact"/>
              <w:rPr>
                <w:sz w:val="20"/>
                <w:szCs w:val="20"/>
                <w:color w:val="auto"/>
              </w:rPr>
            </w:pPr>
            <w:r>
              <w:rPr>
                <w:rFonts w:ascii="Times New Roman" w:cs="Times New Roman" w:eastAsia="Times New Roman" w:hAnsi="Times New Roman"/>
                <w:sz w:val="22"/>
                <w:szCs w:val="22"/>
                <w:color w:val="0000FF"/>
              </w:rPr>
              <w:t>6.9</w:t>
            </w:r>
          </w:p>
        </w:tc>
        <w:tc>
          <w:tcPr>
            <w:tcW w:w="7960" w:type="dxa"/>
            <w:vAlign w:val="bottom"/>
          </w:tcPr>
          <w:p>
            <w:pPr>
              <w:ind w:left="420"/>
              <w:spacing w:after="0" w:line="239" w:lineRule="exact"/>
              <w:rPr>
                <w:sz w:val="20"/>
                <w:szCs w:val="20"/>
                <w:color w:val="auto"/>
              </w:rPr>
            </w:pPr>
            <w:r>
              <w:rPr>
                <w:rFonts w:ascii="Times New Roman" w:cs="Times New Roman" w:eastAsia="Times New Roman" w:hAnsi="Times New Roman"/>
                <w:sz w:val="22"/>
                <w:szCs w:val="22"/>
                <w:color w:val="0000FF"/>
              </w:rPr>
              <w:t>Standards of Financial Statements</w:t>
            </w:r>
          </w:p>
        </w:tc>
        <w:tc>
          <w:tcPr>
            <w:tcW w:w="2440" w:type="dxa"/>
            <w:vAlign w:val="bottom"/>
          </w:tcPr>
          <w:p>
            <w:pPr>
              <w:jc w:val="right"/>
              <w:spacing w:after="0" w:line="239" w:lineRule="exact"/>
              <w:rPr>
                <w:sz w:val="20"/>
                <w:szCs w:val="20"/>
                <w:color w:val="auto"/>
              </w:rPr>
            </w:pPr>
            <w:r>
              <w:rPr>
                <w:rFonts w:ascii="Times New Roman" w:cs="Times New Roman" w:eastAsia="Times New Roman" w:hAnsi="Times New Roman"/>
                <w:sz w:val="22"/>
                <w:szCs w:val="22"/>
                <w:color w:val="auto"/>
              </w:rPr>
              <w:t>119</w:t>
            </w:r>
          </w:p>
        </w:tc>
      </w:tr>
      <w:tr>
        <w:trPr>
          <w:trHeight w:val="247"/>
        </w:trPr>
        <w:tc>
          <w:tcPr>
            <w:tcW w:w="840" w:type="dxa"/>
            <w:vAlign w:val="bottom"/>
          </w:tcPr>
          <w:p>
            <w:pPr>
              <w:ind w:left="40"/>
              <w:spacing w:after="0" w:line="247" w:lineRule="exact"/>
              <w:rPr>
                <w:sz w:val="20"/>
                <w:szCs w:val="20"/>
                <w:color w:val="auto"/>
              </w:rPr>
            </w:pPr>
            <w:r>
              <w:rPr>
                <w:rFonts w:ascii="Times New Roman" w:cs="Times New Roman" w:eastAsia="Times New Roman" w:hAnsi="Times New Roman"/>
                <w:sz w:val="22"/>
                <w:szCs w:val="22"/>
                <w:color w:val="0000FF"/>
              </w:rPr>
              <w:t>6.10</w:t>
            </w:r>
          </w:p>
        </w:tc>
        <w:tc>
          <w:tcPr>
            <w:tcW w:w="7960" w:type="dxa"/>
            <w:vAlign w:val="bottom"/>
          </w:tcPr>
          <w:p>
            <w:pPr>
              <w:ind w:left="420"/>
              <w:spacing w:after="0" w:line="247" w:lineRule="exact"/>
              <w:rPr>
                <w:sz w:val="20"/>
                <w:szCs w:val="20"/>
                <w:color w:val="auto"/>
              </w:rPr>
            </w:pPr>
            <w:r>
              <w:rPr>
                <w:rFonts w:ascii="Times New Roman" w:cs="Times New Roman" w:eastAsia="Times New Roman" w:hAnsi="Times New Roman"/>
                <w:sz w:val="22"/>
                <w:szCs w:val="22"/>
                <w:color w:val="0000FF"/>
              </w:rPr>
              <w:t>[</w:t>
            </w:r>
            <w:r>
              <w:rPr>
                <w:rFonts w:ascii="Times New Roman" w:cs="Times New Roman" w:eastAsia="Times New Roman" w:hAnsi="Times New Roman"/>
                <w:sz w:val="22"/>
                <w:szCs w:val="22"/>
                <w:i w:val="1"/>
                <w:iCs w:val="1"/>
                <w:color w:val="0000FF"/>
              </w:rPr>
              <w:t>Intentionally Omitted</w:t>
            </w:r>
            <w:r>
              <w:rPr>
                <w:rFonts w:ascii="Times New Roman" w:cs="Times New Roman" w:eastAsia="Times New Roman" w:hAnsi="Times New Roman"/>
                <w:sz w:val="22"/>
                <w:szCs w:val="22"/>
                <w:color w:val="0000FF"/>
              </w:rPr>
              <w:t>].</w:t>
            </w:r>
          </w:p>
        </w:tc>
        <w:tc>
          <w:tcPr>
            <w:tcW w:w="2440" w:type="dxa"/>
            <w:vAlign w:val="bottom"/>
          </w:tcPr>
          <w:p>
            <w:pPr>
              <w:jc w:val="right"/>
              <w:spacing w:after="0" w:line="247" w:lineRule="exact"/>
              <w:rPr>
                <w:sz w:val="20"/>
                <w:szCs w:val="20"/>
                <w:color w:val="auto"/>
              </w:rPr>
            </w:pPr>
            <w:r>
              <w:rPr>
                <w:rFonts w:ascii="Times New Roman" w:cs="Times New Roman" w:eastAsia="Times New Roman" w:hAnsi="Times New Roman"/>
                <w:sz w:val="22"/>
                <w:szCs w:val="22"/>
                <w:color w:val="auto"/>
              </w:rPr>
              <w:t>120</w:t>
            </w:r>
          </w:p>
        </w:tc>
      </w:tr>
      <w:tr>
        <w:trPr>
          <w:trHeight w:val="243"/>
        </w:trPr>
        <w:tc>
          <w:tcPr>
            <w:tcW w:w="8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0000FF"/>
              </w:rPr>
              <w:t>6.11</w:t>
            </w:r>
          </w:p>
        </w:tc>
        <w:tc>
          <w:tcPr>
            <w:tcW w:w="796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0000FF"/>
              </w:rPr>
              <w:t>Execution of Supplemental Instruments</w:t>
            </w:r>
          </w:p>
        </w:tc>
        <w:tc>
          <w:tcPr>
            <w:tcW w:w="24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120</w:t>
            </w:r>
          </w:p>
        </w:tc>
      </w:tr>
      <w:tr>
        <w:trPr>
          <w:trHeight w:val="243"/>
        </w:trPr>
        <w:tc>
          <w:tcPr>
            <w:tcW w:w="8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0000FF"/>
              </w:rPr>
              <w:t>6.12</w:t>
            </w:r>
          </w:p>
        </w:tc>
        <w:tc>
          <w:tcPr>
            <w:tcW w:w="796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0000FF"/>
              </w:rPr>
              <w:t>Compliance with ERISA</w:t>
            </w:r>
          </w:p>
        </w:tc>
        <w:tc>
          <w:tcPr>
            <w:tcW w:w="24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120</w:t>
            </w:r>
          </w:p>
        </w:tc>
      </w:tr>
      <w:tr>
        <w:trPr>
          <w:trHeight w:val="239"/>
        </w:trPr>
        <w:tc>
          <w:tcPr>
            <w:tcW w:w="840" w:type="dxa"/>
            <w:vAlign w:val="bottom"/>
          </w:tcPr>
          <w:p>
            <w:pPr>
              <w:ind w:left="40"/>
              <w:spacing w:after="0" w:line="239" w:lineRule="exact"/>
              <w:rPr>
                <w:sz w:val="20"/>
                <w:szCs w:val="20"/>
                <w:color w:val="auto"/>
              </w:rPr>
            </w:pPr>
            <w:r>
              <w:rPr>
                <w:rFonts w:ascii="Times New Roman" w:cs="Times New Roman" w:eastAsia="Times New Roman" w:hAnsi="Times New Roman"/>
                <w:sz w:val="22"/>
                <w:szCs w:val="22"/>
                <w:color w:val="0000FF"/>
              </w:rPr>
              <w:t>6.13</w:t>
            </w:r>
          </w:p>
        </w:tc>
        <w:tc>
          <w:tcPr>
            <w:tcW w:w="7960" w:type="dxa"/>
            <w:vAlign w:val="bottom"/>
          </w:tcPr>
          <w:p>
            <w:pPr>
              <w:ind w:left="420"/>
              <w:spacing w:after="0" w:line="239" w:lineRule="exact"/>
              <w:rPr>
                <w:sz w:val="20"/>
                <w:szCs w:val="20"/>
                <w:color w:val="auto"/>
              </w:rPr>
            </w:pPr>
            <w:r>
              <w:rPr>
                <w:rFonts w:ascii="Times New Roman" w:cs="Times New Roman" w:eastAsia="Times New Roman" w:hAnsi="Times New Roman"/>
                <w:sz w:val="22"/>
                <w:szCs w:val="22"/>
                <w:color w:val="0000FF"/>
              </w:rPr>
              <w:t>Government Receivables</w:t>
            </w:r>
          </w:p>
        </w:tc>
        <w:tc>
          <w:tcPr>
            <w:tcW w:w="2440" w:type="dxa"/>
            <w:vAlign w:val="bottom"/>
          </w:tcPr>
          <w:p>
            <w:pPr>
              <w:jc w:val="right"/>
              <w:spacing w:after="0" w:line="239" w:lineRule="exact"/>
              <w:rPr>
                <w:sz w:val="20"/>
                <w:szCs w:val="20"/>
                <w:color w:val="auto"/>
              </w:rPr>
            </w:pPr>
            <w:r>
              <w:rPr>
                <w:rFonts w:ascii="Times New Roman" w:cs="Times New Roman" w:eastAsia="Times New Roman" w:hAnsi="Times New Roman"/>
                <w:sz w:val="22"/>
                <w:szCs w:val="22"/>
                <w:color w:val="auto"/>
              </w:rPr>
              <w:t>120</w:t>
            </w:r>
          </w:p>
        </w:tc>
      </w:tr>
      <w:tr>
        <w:trPr>
          <w:trHeight w:val="247"/>
        </w:trPr>
        <w:tc>
          <w:tcPr>
            <w:tcW w:w="840" w:type="dxa"/>
            <w:vAlign w:val="bottom"/>
          </w:tcPr>
          <w:p>
            <w:pPr>
              <w:ind w:left="40"/>
              <w:spacing w:after="0" w:line="247" w:lineRule="exact"/>
              <w:rPr>
                <w:sz w:val="20"/>
                <w:szCs w:val="20"/>
                <w:color w:val="auto"/>
              </w:rPr>
            </w:pPr>
            <w:r>
              <w:rPr>
                <w:rFonts w:ascii="Times New Roman" w:cs="Times New Roman" w:eastAsia="Times New Roman" w:hAnsi="Times New Roman"/>
                <w:sz w:val="22"/>
                <w:szCs w:val="22"/>
                <w:color w:val="0000FF"/>
              </w:rPr>
              <w:t>6.14</w:t>
            </w:r>
          </w:p>
        </w:tc>
        <w:tc>
          <w:tcPr>
            <w:tcW w:w="7960" w:type="dxa"/>
            <w:vAlign w:val="bottom"/>
          </w:tcPr>
          <w:p>
            <w:pPr>
              <w:ind w:left="420"/>
              <w:spacing w:after="0" w:line="247" w:lineRule="exact"/>
              <w:rPr>
                <w:sz w:val="20"/>
                <w:szCs w:val="20"/>
                <w:color w:val="auto"/>
              </w:rPr>
            </w:pPr>
            <w:r>
              <w:rPr>
                <w:rFonts w:ascii="Times New Roman" w:cs="Times New Roman" w:eastAsia="Times New Roman" w:hAnsi="Times New Roman"/>
                <w:sz w:val="22"/>
                <w:szCs w:val="22"/>
                <w:color w:val="0000FF"/>
              </w:rPr>
              <w:t>[</w:t>
            </w:r>
            <w:r>
              <w:rPr>
                <w:rFonts w:ascii="Times New Roman" w:cs="Times New Roman" w:eastAsia="Times New Roman" w:hAnsi="Times New Roman"/>
                <w:sz w:val="22"/>
                <w:szCs w:val="22"/>
                <w:i w:val="1"/>
                <w:iCs w:val="1"/>
                <w:color w:val="0000FF"/>
              </w:rPr>
              <w:t>Intentionally Omitted.</w:t>
            </w:r>
            <w:r>
              <w:rPr>
                <w:rFonts w:ascii="Times New Roman" w:cs="Times New Roman" w:eastAsia="Times New Roman" w:hAnsi="Times New Roman"/>
                <w:sz w:val="22"/>
                <w:szCs w:val="22"/>
                <w:color w:val="0000FF"/>
              </w:rPr>
              <w:t>].</w:t>
            </w:r>
          </w:p>
        </w:tc>
        <w:tc>
          <w:tcPr>
            <w:tcW w:w="2440" w:type="dxa"/>
            <w:vAlign w:val="bottom"/>
          </w:tcPr>
          <w:p>
            <w:pPr>
              <w:jc w:val="right"/>
              <w:spacing w:after="0" w:line="247" w:lineRule="exact"/>
              <w:rPr>
                <w:sz w:val="20"/>
                <w:szCs w:val="20"/>
                <w:color w:val="auto"/>
              </w:rPr>
            </w:pPr>
            <w:r>
              <w:rPr>
                <w:rFonts w:ascii="Times New Roman" w:cs="Times New Roman" w:eastAsia="Times New Roman" w:hAnsi="Times New Roman"/>
                <w:sz w:val="22"/>
                <w:szCs w:val="22"/>
                <w:color w:val="auto"/>
              </w:rPr>
              <w:t>120</w:t>
            </w:r>
          </w:p>
        </w:tc>
      </w:tr>
      <w:tr>
        <w:trPr>
          <w:trHeight w:val="239"/>
        </w:trPr>
        <w:tc>
          <w:tcPr>
            <w:tcW w:w="840" w:type="dxa"/>
            <w:vAlign w:val="bottom"/>
          </w:tcPr>
          <w:p>
            <w:pPr>
              <w:ind w:left="40"/>
              <w:spacing w:after="0" w:line="239" w:lineRule="exact"/>
              <w:rPr>
                <w:sz w:val="20"/>
                <w:szCs w:val="20"/>
                <w:color w:val="auto"/>
              </w:rPr>
            </w:pPr>
            <w:r>
              <w:rPr>
                <w:rFonts w:ascii="Times New Roman" w:cs="Times New Roman" w:eastAsia="Times New Roman" w:hAnsi="Times New Roman"/>
                <w:sz w:val="22"/>
                <w:szCs w:val="22"/>
                <w:color w:val="0000FF"/>
              </w:rPr>
              <w:t>6.15</w:t>
            </w:r>
          </w:p>
        </w:tc>
        <w:tc>
          <w:tcPr>
            <w:tcW w:w="7960" w:type="dxa"/>
            <w:vAlign w:val="bottom"/>
          </w:tcPr>
          <w:p>
            <w:pPr>
              <w:ind w:left="420"/>
              <w:spacing w:after="0" w:line="239" w:lineRule="exact"/>
              <w:rPr>
                <w:sz w:val="20"/>
                <w:szCs w:val="20"/>
                <w:color w:val="auto"/>
              </w:rPr>
            </w:pPr>
            <w:r>
              <w:rPr>
                <w:rFonts w:ascii="Times New Roman" w:cs="Times New Roman" w:eastAsia="Times New Roman" w:hAnsi="Times New Roman"/>
                <w:sz w:val="22"/>
                <w:szCs w:val="22"/>
                <w:color w:val="0000FF"/>
              </w:rPr>
              <w:t>Keepwell</w:t>
            </w:r>
          </w:p>
        </w:tc>
        <w:tc>
          <w:tcPr>
            <w:tcW w:w="2440" w:type="dxa"/>
            <w:vAlign w:val="bottom"/>
          </w:tcPr>
          <w:p>
            <w:pPr>
              <w:jc w:val="right"/>
              <w:spacing w:after="0" w:line="239" w:lineRule="exact"/>
              <w:rPr>
                <w:sz w:val="20"/>
                <w:szCs w:val="20"/>
                <w:color w:val="auto"/>
              </w:rPr>
            </w:pPr>
            <w:r>
              <w:rPr>
                <w:rFonts w:ascii="Times New Roman" w:cs="Times New Roman" w:eastAsia="Times New Roman" w:hAnsi="Times New Roman"/>
                <w:sz w:val="22"/>
                <w:szCs w:val="22"/>
                <w:color w:val="auto"/>
              </w:rPr>
              <w:t>120</w:t>
            </w:r>
          </w:p>
        </w:tc>
      </w:tr>
      <w:tr>
        <w:trPr>
          <w:trHeight w:val="243"/>
        </w:trPr>
        <w:tc>
          <w:tcPr>
            <w:tcW w:w="8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0000FF"/>
              </w:rPr>
              <w:t>6.16</w:t>
            </w:r>
          </w:p>
        </w:tc>
        <w:tc>
          <w:tcPr>
            <w:tcW w:w="796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0000FF"/>
              </w:rPr>
              <w:t>Certificate of Beneficial Ownership</w:t>
            </w:r>
            <w:r>
              <w:rPr>
                <w:rFonts w:ascii="Times New Roman" w:cs="Times New Roman" w:eastAsia="Times New Roman" w:hAnsi="Times New Roman"/>
                <w:sz w:val="22"/>
                <w:szCs w:val="22"/>
                <w:i w:val="1"/>
                <w:iCs w:val="1"/>
                <w:color w:val="0000FF"/>
              </w:rPr>
              <w:t>.</w:t>
            </w:r>
          </w:p>
        </w:tc>
        <w:tc>
          <w:tcPr>
            <w:tcW w:w="24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121</w:t>
            </w:r>
          </w:p>
        </w:tc>
      </w:tr>
      <w:tr>
        <w:trPr>
          <w:trHeight w:val="286"/>
        </w:trPr>
        <w:tc>
          <w:tcPr>
            <w:tcW w:w="840" w:type="dxa"/>
            <w:vAlign w:val="bottom"/>
          </w:tcPr>
          <w:p>
            <w:pPr>
              <w:ind w:left="40"/>
              <w:spacing w:after="0"/>
              <w:rPr>
                <w:sz w:val="20"/>
                <w:szCs w:val="20"/>
                <w:color w:val="auto"/>
              </w:rPr>
            </w:pPr>
            <w:r>
              <w:rPr>
                <w:rFonts w:ascii="Times New Roman" w:cs="Times New Roman" w:eastAsia="Times New Roman" w:hAnsi="Times New Roman"/>
                <w:sz w:val="22"/>
                <w:szCs w:val="22"/>
                <w:color w:val="0000FF"/>
              </w:rPr>
              <w:t>6.17</w:t>
            </w:r>
          </w:p>
        </w:tc>
        <w:tc>
          <w:tcPr>
            <w:tcW w:w="7960" w:type="dxa"/>
            <w:vAlign w:val="bottom"/>
          </w:tcPr>
          <w:p>
            <w:pPr>
              <w:ind w:left="420"/>
              <w:spacing w:after="0"/>
              <w:rPr>
                <w:sz w:val="20"/>
                <w:szCs w:val="20"/>
                <w:color w:val="auto"/>
              </w:rPr>
            </w:pPr>
            <w:r>
              <w:rPr>
                <w:rFonts w:ascii="Times New Roman" w:cs="Times New Roman" w:eastAsia="Times New Roman" w:hAnsi="Times New Roman"/>
                <w:sz w:val="22"/>
                <w:szCs w:val="22"/>
                <w:color w:val="0000FF"/>
              </w:rPr>
              <w:t>Post-Closing Covenants</w:t>
            </w:r>
            <w:r>
              <w:rPr>
                <w:rFonts w:ascii="Times New Roman" w:cs="Times New Roman" w:eastAsia="Times New Roman" w:hAnsi="Times New Roman"/>
                <w:sz w:val="22"/>
                <w:szCs w:val="22"/>
                <w:i w:val="1"/>
                <w:iCs w:val="1"/>
                <w:color w:val="0000FF"/>
              </w:rPr>
              <w:t>.</w:t>
            </w:r>
          </w:p>
        </w:tc>
        <w:tc>
          <w:tcPr>
            <w:tcW w:w="2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121</w:t>
            </w:r>
          </w:p>
        </w:tc>
      </w:tr>
      <w:tr>
        <w:trPr>
          <w:trHeight w:val="351"/>
        </w:trPr>
        <w:tc>
          <w:tcPr>
            <w:tcW w:w="840" w:type="dxa"/>
            <w:vAlign w:val="bottom"/>
          </w:tcPr>
          <w:p>
            <w:pPr>
              <w:spacing w:after="0"/>
              <w:rPr>
                <w:sz w:val="20"/>
                <w:szCs w:val="20"/>
                <w:color w:val="auto"/>
              </w:rPr>
            </w:pPr>
            <w:r>
              <w:rPr>
                <w:rFonts w:ascii="Times New Roman" w:cs="Times New Roman" w:eastAsia="Times New Roman" w:hAnsi="Times New Roman"/>
                <w:sz w:val="22"/>
                <w:szCs w:val="22"/>
                <w:color w:val="0000FF"/>
              </w:rPr>
              <w:t>VII.</w:t>
            </w:r>
          </w:p>
        </w:tc>
        <w:tc>
          <w:tcPr>
            <w:tcW w:w="7960" w:type="dxa"/>
            <w:vAlign w:val="bottom"/>
          </w:tcPr>
          <w:p>
            <w:pPr>
              <w:ind w:left="420"/>
              <w:spacing w:after="0"/>
              <w:rPr>
                <w:sz w:val="20"/>
                <w:szCs w:val="20"/>
                <w:color w:val="auto"/>
              </w:rPr>
            </w:pPr>
            <w:r>
              <w:rPr>
                <w:rFonts w:ascii="Times New Roman" w:cs="Times New Roman" w:eastAsia="Times New Roman" w:hAnsi="Times New Roman"/>
                <w:sz w:val="22"/>
                <w:szCs w:val="22"/>
                <w:color w:val="0000FF"/>
              </w:rPr>
              <w:t>NEGATIVE COVENANTS.</w:t>
            </w:r>
          </w:p>
        </w:tc>
        <w:tc>
          <w:tcPr>
            <w:tcW w:w="2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121</w:t>
            </w:r>
          </w:p>
        </w:tc>
      </w:tr>
      <w:tr>
        <w:trPr>
          <w:trHeight w:val="312"/>
        </w:trPr>
        <w:tc>
          <w:tcPr>
            <w:tcW w:w="840" w:type="dxa"/>
            <w:vAlign w:val="bottom"/>
          </w:tcPr>
          <w:p>
            <w:pPr>
              <w:ind w:left="40"/>
              <w:spacing w:after="0"/>
              <w:rPr>
                <w:sz w:val="20"/>
                <w:szCs w:val="20"/>
                <w:color w:val="auto"/>
              </w:rPr>
            </w:pPr>
            <w:r>
              <w:rPr>
                <w:rFonts w:ascii="Times New Roman" w:cs="Times New Roman" w:eastAsia="Times New Roman" w:hAnsi="Times New Roman"/>
                <w:sz w:val="22"/>
                <w:szCs w:val="22"/>
                <w:color w:val="0000FF"/>
              </w:rPr>
              <w:t>7.1</w:t>
            </w:r>
          </w:p>
        </w:tc>
        <w:tc>
          <w:tcPr>
            <w:tcW w:w="7960" w:type="dxa"/>
            <w:vAlign w:val="bottom"/>
          </w:tcPr>
          <w:p>
            <w:pPr>
              <w:ind w:left="420"/>
              <w:spacing w:after="0"/>
              <w:rPr>
                <w:sz w:val="20"/>
                <w:szCs w:val="20"/>
                <w:color w:val="auto"/>
              </w:rPr>
            </w:pPr>
            <w:r>
              <w:rPr>
                <w:rFonts w:ascii="Times New Roman" w:cs="Times New Roman" w:eastAsia="Times New Roman" w:hAnsi="Times New Roman"/>
                <w:sz w:val="22"/>
                <w:szCs w:val="22"/>
                <w:color w:val="0000FF"/>
              </w:rPr>
              <w:t>Merger, Consolidation, Acquisition and Sale of Assets.</w:t>
            </w:r>
          </w:p>
        </w:tc>
        <w:tc>
          <w:tcPr>
            <w:tcW w:w="2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121</w:t>
            </w:r>
          </w:p>
        </w:tc>
      </w:tr>
      <w:tr>
        <w:trPr>
          <w:trHeight w:val="243"/>
        </w:trPr>
        <w:tc>
          <w:tcPr>
            <w:tcW w:w="8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0000FF"/>
              </w:rPr>
              <w:t>7.2</w:t>
            </w:r>
          </w:p>
        </w:tc>
        <w:tc>
          <w:tcPr>
            <w:tcW w:w="796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0000FF"/>
              </w:rPr>
              <w:t>Creation of Liens</w:t>
            </w:r>
          </w:p>
        </w:tc>
        <w:tc>
          <w:tcPr>
            <w:tcW w:w="24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122</w:t>
            </w:r>
          </w:p>
        </w:tc>
      </w:tr>
      <w:tr>
        <w:trPr>
          <w:trHeight w:val="243"/>
        </w:trPr>
        <w:tc>
          <w:tcPr>
            <w:tcW w:w="8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0000FF"/>
              </w:rPr>
              <w:t>7.3</w:t>
            </w:r>
          </w:p>
        </w:tc>
        <w:tc>
          <w:tcPr>
            <w:tcW w:w="796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0000FF"/>
              </w:rPr>
              <w:t>Immaterial Subsidiaries</w:t>
            </w:r>
          </w:p>
        </w:tc>
        <w:tc>
          <w:tcPr>
            <w:tcW w:w="24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122</w:t>
            </w:r>
          </w:p>
        </w:tc>
      </w:tr>
      <w:tr>
        <w:trPr>
          <w:trHeight w:val="239"/>
        </w:trPr>
        <w:tc>
          <w:tcPr>
            <w:tcW w:w="840" w:type="dxa"/>
            <w:vAlign w:val="bottom"/>
          </w:tcPr>
          <w:p>
            <w:pPr>
              <w:ind w:left="40"/>
              <w:spacing w:after="0" w:line="239" w:lineRule="exact"/>
              <w:rPr>
                <w:sz w:val="20"/>
                <w:szCs w:val="20"/>
                <w:color w:val="auto"/>
              </w:rPr>
            </w:pPr>
            <w:r>
              <w:rPr>
                <w:rFonts w:ascii="Times New Roman" w:cs="Times New Roman" w:eastAsia="Times New Roman" w:hAnsi="Times New Roman"/>
                <w:sz w:val="22"/>
                <w:szCs w:val="22"/>
                <w:color w:val="0000FF"/>
              </w:rPr>
              <w:t>7.4</w:t>
            </w:r>
          </w:p>
        </w:tc>
        <w:tc>
          <w:tcPr>
            <w:tcW w:w="7960" w:type="dxa"/>
            <w:vAlign w:val="bottom"/>
          </w:tcPr>
          <w:p>
            <w:pPr>
              <w:ind w:left="420"/>
              <w:spacing w:after="0" w:line="239" w:lineRule="exact"/>
              <w:rPr>
                <w:sz w:val="20"/>
                <w:szCs w:val="20"/>
                <w:color w:val="auto"/>
              </w:rPr>
            </w:pPr>
            <w:r>
              <w:rPr>
                <w:rFonts w:ascii="Times New Roman" w:cs="Times New Roman" w:eastAsia="Times New Roman" w:hAnsi="Times New Roman"/>
                <w:sz w:val="22"/>
                <w:szCs w:val="22"/>
                <w:color w:val="0000FF"/>
              </w:rPr>
              <w:t>Investments</w:t>
            </w:r>
          </w:p>
        </w:tc>
        <w:tc>
          <w:tcPr>
            <w:tcW w:w="2440" w:type="dxa"/>
            <w:vAlign w:val="bottom"/>
          </w:tcPr>
          <w:p>
            <w:pPr>
              <w:jc w:val="right"/>
              <w:spacing w:after="0" w:line="239" w:lineRule="exact"/>
              <w:rPr>
                <w:sz w:val="20"/>
                <w:szCs w:val="20"/>
                <w:color w:val="auto"/>
              </w:rPr>
            </w:pPr>
            <w:r>
              <w:rPr>
                <w:rFonts w:ascii="Times New Roman" w:cs="Times New Roman" w:eastAsia="Times New Roman" w:hAnsi="Times New Roman"/>
                <w:sz w:val="22"/>
                <w:szCs w:val="22"/>
                <w:color w:val="auto"/>
              </w:rPr>
              <w:t>122</w:t>
            </w:r>
          </w:p>
        </w:tc>
      </w:tr>
      <w:tr>
        <w:trPr>
          <w:trHeight w:val="243"/>
        </w:trPr>
        <w:tc>
          <w:tcPr>
            <w:tcW w:w="8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0000FF"/>
              </w:rPr>
              <w:t>7.5</w:t>
            </w:r>
          </w:p>
        </w:tc>
        <w:tc>
          <w:tcPr>
            <w:tcW w:w="796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0000FF"/>
              </w:rPr>
              <w:t>[</w:t>
            </w:r>
            <w:r>
              <w:rPr>
                <w:rFonts w:ascii="Times New Roman" w:cs="Times New Roman" w:eastAsia="Times New Roman" w:hAnsi="Times New Roman"/>
                <w:sz w:val="22"/>
                <w:szCs w:val="22"/>
                <w:i w:val="1"/>
                <w:iCs w:val="1"/>
                <w:color w:val="0000FF"/>
              </w:rPr>
              <w:t>Intentionally Omitted</w:t>
            </w:r>
            <w:r>
              <w:rPr>
                <w:rFonts w:ascii="Times New Roman" w:cs="Times New Roman" w:eastAsia="Times New Roman" w:hAnsi="Times New Roman"/>
                <w:sz w:val="22"/>
                <w:szCs w:val="22"/>
                <w:color w:val="0000FF"/>
              </w:rPr>
              <w:t>].</w:t>
            </w:r>
          </w:p>
        </w:tc>
        <w:tc>
          <w:tcPr>
            <w:tcW w:w="24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122</w:t>
            </w:r>
          </w:p>
        </w:tc>
      </w:tr>
      <w:tr>
        <w:trPr>
          <w:trHeight w:val="247"/>
        </w:trPr>
        <w:tc>
          <w:tcPr>
            <w:tcW w:w="840" w:type="dxa"/>
            <w:vAlign w:val="bottom"/>
          </w:tcPr>
          <w:p>
            <w:pPr>
              <w:ind w:left="40"/>
              <w:spacing w:after="0" w:line="247" w:lineRule="exact"/>
              <w:rPr>
                <w:sz w:val="20"/>
                <w:szCs w:val="20"/>
                <w:color w:val="auto"/>
              </w:rPr>
            </w:pPr>
            <w:r>
              <w:rPr>
                <w:rFonts w:ascii="Times New Roman" w:cs="Times New Roman" w:eastAsia="Times New Roman" w:hAnsi="Times New Roman"/>
                <w:sz w:val="22"/>
                <w:szCs w:val="22"/>
                <w:color w:val="0000FF"/>
              </w:rPr>
              <w:t>7.6</w:t>
            </w:r>
          </w:p>
        </w:tc>
        <w:tc>
          <w:tcPr>
            <w:tcW w:w="7960" w:type="dxa"/>
            <w:vAlign w:val="bottom"/>
          </w:tcPr>
          <w:p>
            <w:pPr>
              <w:ind w:left="420"/>
              <w:spacing w:after="0" w:line="247" w:lineRule="exact"/>
              <w:rPr>
                <w:sz w:val="20"/>
                <w:szCs w:val="20"/>
                <w:color w:val="auto"/>
              </w:rPr>
            </w:pPr>
            <w:r>
              <w:rPr>
                <w:rFonts w:ascii="Times New Roman" w:cs="Times New Roman" w:eastAsia="Times New Roman" w:hAnsi="Times New Roman"/>
                <w:sz w:val="22"/>
                <w:szCs w:val="22"/>
                <w:color w:val="0000FF"/>
              </w:rPr>
              <w:t>[</w:t>
            </w:r>
            <w:r>
              <w:rPr>
                <w:rFonts w:ascii="Times New Roman" w:cs="Times New Roman" w:eastAsia="Times New Roman" w:hAnsi="Times New Roman"/>
                <w:sz w:val="22"/>
                <w:szCs w:val="22"/>
                <w:i w:val="1"/>
                <w:iCs w:val="1"/>
                <w:color w:val="0000FF"/>
              </w:rPr>
              <w:t>Intentionally Omitted</w:t>
            </w:r>
            <w:r>
              <w:rPr>
                <w:rFonts w:ascii="Times New Roman" w:cs="Times New Roman" w:eastAsia="Times New Roman" w:hAnsi="Times New Roman"/>
                <w:sz w:val="22"/>
                <w:szCs w:val="22"/>
                <w:color w:val="0000FF"/>
              </w:rPr>
              <w:t>]</w:t>
            </w:r>
          </w:p>
        </w:tc>
        <w:tc>
          <w:tcPr>
            <w:tcW w:w="2440" w:type="dxa"/>
            <w:vAlign w:val="bottom"/>
          </w:tcPr>
          <w:p>
            <w:pPr>
              <w:jc w:val="right"/>
              <w:spacing w:after="0" w:line="247" w:lineRule="exact"/>
              <w:rPr>
                <w:sz w:val="20"/>
                <w:szCs w:val="20"/>
                <w:color w:val="auto"/>
              </w:rPr>
            </w:pPr>
            <w:r>
              <w:rPr>
                <w:rFonts w:ascii="Times New Roman" w:cs="Times New Roman" w:eastAsia="Times New Roman" w:hAnsi="Times New Roman"/>
                <w:sz w:val="22"/>
                <w:szCs w:val="22"/>
                <w:color w:val="auto"/>
              </w:rPr>
              <w:t>122</w:t>
            </w:r>
          </w:p>
        </w:tc>
      </w:tr>
      <w:tr>
        <w:trPr>
          <w:trHeight w:val="243"/>
        </w:trPr>
        <w:tc>
          <w:tcPr>
            <w:tcW w:w="8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0000FF"/>
              </w:rPr>
              <w:t>7.7</w:t>
            </w:r>
          </w:p>
        </w:tc>
        <w:tc>
          <w:tcPr>
            <w:tcW w:w="796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0000FF"/>
              </w:rPr>
              <w:t>Restricted Payments</w:t>
            </w:r>
          </w:p>
        </w:tc>
        <w:tc>
          <w:tcPr>
            <w:tcW w:w="24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122</w:t>
            </w:r>
          </w:p>
        </w:tc>
      </w:tr>
      <w:tr>
        <w:trPr>
          <w:trHeight w:val="243"/>
        </w:trPr>
        <w:tc>
          <w:tcPr>
            <w:tcW w:w="8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0000FF"/>
              </w:rPr>
              <w:t>7.8</w:t>
            </w:r>
          </w:p>
        </w:tc>
        <w:tc>
          <w:tcPr>
            <w:tcW w:w="796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0000FF"/>
              </w:rPr>
              <w:t>Indebtedness</w:t>
            </w:r>
          </w:p>
        </w:tc>
        <w:tc>
          <w:tcPr>
            <w:tcW w:w="24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122</w:t>
            </w:r>
          </w:p>
        </w:tc>
      </w:tr>
      <w:tr>
        <w:trPr>
          <w:trHeight w:val="243"/>
        </w:trPr>
        <w:tc>
          <w:tcPr>
            <w:tcW w:w="8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0000FF"/>
              </w:rPr>
              <w:t>7.9</w:t>
            </w:r>
          </w:p>
        </w:tc>
        <w:tc>
          <w:tcPr>
            <w:tcW w:w="796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0000FF"/>
              </w:rPr>
              <w:t>Nature of Business</w:t>
            </w:r>
          </w:p>
        </w:tc>
        <w:tc>
          <w:tcPr>
            <w:tcW w:w="24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122</w:t>
            </w:r>
          </w:p>
        </w:tc>
      </w:tr>
      <w:tr>
        <w:trPr>
          <w:trHeight w:val="239"/>
        </w:trPr>
        <w:tc>
          <w:tcPr>
            <w:tcW w:w="840" w:type="dxa"/>
            <w:vAlign w:val="bottom"/>
          </w:tcPr>
          <w:p>
            <w:pPr>
              <w:ind w:left="40"/>
              <w:spacing w:after="0" w:line="239" w:lineRule="exact"/>
              <w:rPr>
                <w:sz w:val="20"/>
                <w:szCs w:val="20"/>
                <w:color w:val="auto"/>
              </w:rPr>
            </w:pPr>
            <w:r>
              <w:rPr>
                <w:rFonts w:ascii="Times New Roman" w:cs="Times New Roman" w:eastAsia="Times New Roman" w:hAnsi="Times New Roman"/>
                <w:sz w:val="22"/>
                <w:szCs w:val="22"/>
                <w:color w:val="0000FF"/>
              </w:rPr>
              <w:t>7.10</w:t>
            </w:r>
          </w:p>
        </w:tc>
        <w:tc>
          <w:tcPr>
            <w:tcW w:w="7960" w:type="dxa"/>
            <w:vAlign w:val="bottom"/>
          </w:tcPr>
          <w:p>
            <w:pPr>
              <w:ind w:left="420"/>
              <w:spacing w:after="0" w:line="239" w:lineRule="exact"/>
              <w:rPr>
                <w:sz w:val="20"/>
                <w:szCs w:val="20"/>
                <w:color w:val="auto"/>
              </w:rPr>
            </w:pPr>
            <w:r>
              <w:rPr>
                <w:rFonts w:ascii="Times New Roman" w:cs="Times New Roman" w:eastAsia="Times New Roman" w:hAnsi="Times New Roman"/>
                <w:sz w:val="22"/>
                <w:szCs w:val="22"/>
                <w:color w:val="0000FF"/>
              </w:rPr>
              <w:t>Transactions with Affiliates</w:t>
            </w:r>
          </w:p>
        </w:tc>
        <w:tc>
          <w:tcPr>
            <w:tcW w:w="2440" w:type="dxa"/>
            <w:vAlign w:val="bottom"/>
          </w:tcPr>
          <w:p>
            <w:pPr>
              <w:jc w:val="right"/>
              <w:spacing w:after="0" w:line="239" w:lineRule="exact"/>
              <w:rPr>
                <w:sz w:val="20"/>
                <w:szCs w:val="20"/>
                <w:color w:val="auto"/>
              </w:rPr>
            </w:pPr>
            <w:r>
              <w:rPr>
                <w:rFonts w:ascii="Times New Roman" w:cs="Times New Roman" w:eastAsia="Times New Roman" w:hAnsi="Times New Roman"/>
                <w:sz w:val="22"/>
                <w:szCs w:val="22"/>
                <w:color w:val="auto"/>
              </w:rPr>
              <w:t>122</w:t>
            </w:r>
          </w:p>
        </w:tc>
      </w:tr>
      <w:tr>
        <w:trPr>
          <w:trHeight w:val="247"/>
        </w:trPr>
        <w:tc>
          <w:tcPr>
            <w:tcW w:w="840" w:type="dxa"/>
            <w:vAlign w:val="bottom"/>
          </w:tcPr>
          <w:p>
            <w:pPr>
              <w:ind w:left="40"/>
              <w:spacing w:after="0" w:line="247" w:lineRule="exact"/>
              <w:rPr>
                <w:sz w:val="20"/>
                <w:szCs w:val="20"/>
                <w:color w:val="auto"/>
              </w:rPr>
            </w:pPr>
            <w:r>
              <w:rPr>
                <w:rFonts w:ascii="Times New Roman" w:cs="Times New Roman" w:eastAsia="Times New Roman" w:hAnsi="Times New Roman"/>
                <w:sz w:val="22"/>
                <w:szCs w:val="22"/>
                <w:color w:val="0000FF"/>
              </w:rPr>
              <w:t>7.11</w:t>
            </w:r>
          </w:p>
        </w:tc>
        <w:tc>
          <w:tcPr>
            <w:tcW w:w="7960" w:type="dxa"/>
            <w:vAlign w:val="bottom"/>
          </w:tcPr>
          <w:p>
            <w:pPr>
              <w:ind w:left="420"/>
              <w:spacing w:after="0" w:line="247" w:lineRule="exact"/>
              <w:rPr>
                <w:sz w:val="20"/>
                <w:szCs w:val="20"/>
                <w:color w:val="auto"/>
              </w:rPr>
            </w:pPr>
            <w:r>
              <w:rPr>
                <w:rFonts w:ascii="Times New Roman" w:cs="Times New Roman" w:eastAsia="Times New Roman" w:hAnsi="Times New Roman"/>
                <w:sz w:val="22"/>
                <w:szCs w:val="22"/>
                <w:color w:val="0000FF"/>
              </w:rPr>
              <w:t>[</w:t>
            </w:r>
            <w:r>
              <w:rPr>
                <w:rFonts w:ascii="Times New Roman" w:cs="Times New Roman" w:eastAsia="Times New Roman" w:hAnsi="Times New Roman"/>
                <w:sz w:val="22"/>
                <w:szCs w:val="22"/>
                <w:i w:val="1"/>
                <w:iCs w:val="1"/>
                <w:color w:val="0000FF"/>
              </w:rPr>
              <w:t>Intentionally Omitted</w:t>
            </w:r>
            <w:r>
              <w:rPr>
                <w:rFonts w:ascii="Times New Roman" w:cs="Times New Roman" w:eastAsia="Times New Roman" w:hAnsi="Times New Roman"/>
                <w:sz w:val="22"/>
                <w:szCs w:val="22"/>
                <w:color w:val="0000FF"/>
              </w:rPr>
              <w:t>].</w:t>
            </w:r>
          </w:p>
        </w:tc>
        <w:tc>
          <w:tcPr>
            <w:tcW w:w="2440" w:type="dxa"/>
            <w:vAlign w:val="bottom"/>
          </w:tcPr>
          <w:p>
            <w:pPr>
              <w:jc w:val="right"/>
              <w:spacing w:after="0" w:line="247" w:lineRule="exact"/>
              <w:rPr>
                <w:sz w:val="20"/>
                <w:szCs w:val="20"/>
                <w:color w:val="auto"/>
              </w:rPr>
            </w:pPr>
            <w:r>
              <w:rPr>
                <w:rFonts w:ascii="Times New Roman" w:cs="Times New Roman" w:eastAsia="Times New Roman" w:hAnsi="Times New Roman"/>
                <w:sz w:val="22"/>
                <w:szCs w:val="22"/>
                <w:color w:val="auto"/>
              </w:rPr>
              <w:t>123</w:t>
            </w:r>
          </w:p>
        </w:tc>
      </w:tr>
      <w:tr>
        <w:trPr>
          <w:trHeight w:val="243"/>
        </w:trPr>
        <w:tc>
          <w:tcPr>
            <w:tcW w:w="8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0000FF"/>
              </w:rPr>
              <w:t>7.12</w:t>
            </w:r>
          </w:p>
        </w:tc>
        <w:tc>
          <w:tcPr>
            <w:tcW w:w="796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0000FF"/>
              </w:rPr>
              <w:t>Subsidiaries</w:t>
            </w:r>
          </w:p>
        </w:tc>
        <w:tc>
          <w:tcPr>
            <w:tcW w:w="24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124</w:t>
            </w:r>
          </w:p>
        </w:tc>
      </w:tr>
      <w:tr>
        <w:trPr>
          <w:trHeight w:val="243"/>
        </w:trPr>
        <w:tc>
          <w:tcPr>
            <w:tcW w:w="8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0000FF"/>
              </w:rPr>
              <w:t>7.13</w:t>
            </w:r>
          </w:p>
        </w:tc>
        <w:tc>
          <w:tcPr>
            <w:tcW w:w="796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0000FF"/>
              </w:rPr>
              <w:t>Fiscal Year and Accounting Changes</w:t>
            </w:r>
          </w:p>
        </w:tc>
        <w:tc>
          <w:tcPr>
            <w:tcW w:w="24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124</w:t>
            </w:r>
          </w:p>
        </w:tc>
      </w:tr>
      <w:tr>
        <w:trPr>
          <w:trHeight w:val="243"/>
        </w:trPr>
        <w:tc>
          <w:tcPr>
            <w:tcW w:w="8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0000FF"/>
              </w:rPr>
              <w:t>7.14</w:t>
            </w:r>
          </w:p>
        </w:tc>
        <w:tc>
          <w:tcPr>
            <w:tcW w:w="796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0000FF"/>
              </w:rPr>
              <w:t>Pledge of Credit</w:t>
            </w:r>
          </w:p>
        </w:tc>
        <w:tc>
          <w:tcPr>
            <w:tcW w:w="24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124</w:t>
            </w:r>
          </w:p>
        </w:tc>
      </w:tr>
      <w:tr>
        <w:trPr>
          <w:trHeight w:val="243"/>
        </w:trPr>
        <w:tc>
          <w:tcPr>
            <w:tcW w:w="8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0000FF"/>
              </w:rPr>
              <w:t>7.15</w:t>
            </w:r>
          </w:p>
        </w:tc>
        <w:tc>
          <w:tcPr>
            <w:tcW w:w="796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0000FF"/>
              </w:rPr>
              <w:t>Amendment of Organizational Documents</w:t>
            </w:r>
          </w:p>
        </w:tc>
        <w:tc>
          <w:tcPr>
            <w:tcW w:w="24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124</w:t>
            </w:r>
          </w:p>
        </w:tc>
      </w:tr>
      <w:tr>
        <w:trPr>
          <w:trHeight w:val="243"/>
        </w:trPr>
        <w:tc>
          <w:tcPr>
            <w:tcW w:w="8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0000FF"/>
              </w:rPr>
              <w:t>7.16</w:t>
            </w:r>
          </w:p>
        </w:tc>
        <w:tc>
          <w:tcPr>
            <w:tcW w:w="796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0000FF"/>
              </w:rPr>
              <w:t>Deposit Accounts</w:t>
            </w:r>
          </w:p>
        </w:tc>
        <w:tc>
          <w:tcPr>
            <w:tcW w:w="24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124</w:t>
            </w:r>
          </w:p>
        </w:tc>
      </w:tr>
      <w:tr>
        <w:trPr>
          <w:trHeight w:val="243"/>
        </w:trPr>
        <w:tc>
          <w:tcPr>
            <w:tcW w:w="8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0000FF"/>
              </w:rPr>
              <w:t>7.17</w:t>
            </w:r>
          </w:p>
        </w:tc>
        <w:tc>
          <w:tcPr>
            <w:tcW w:w="796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0000FF"/>
              </w:rPr>
              <w:t>Prepayment of Indebtedness</w:t>
            </w:r>
          </w:p>
        </w:tc>
        <w:tc>
          <w:tcPr>
            <w:tcW w:w="24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124</w:t>
            </w:r>
          </w:p>
        </w:tc>
      </w:tr>
      <w:tr>
        <w:trPr>
          <w:trHeight w:val="243"/>
        </w:trPr>
        <w:tc>
          <w:tcPr>
            <w:tcW w:w="8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0000FF"/>
              </w:rPr>
              <w:t>7.18</w:t>
            </w:r>
          </w:p>
        </w:tc>
        <w:tc>
          <w:tcPr>
            <w:tcW w:w="796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0000FF"/>
              </w:rPr>
              <w:t>Second Lien Loan</w:t>
            </w:r>
          </w:p>
        </w:tc>
        <w:tc>
          <w:tcPr>
            <w:tcW w:w="24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125</w:t>
            </w:r>
          </w:p>
        </w:tc>
      </w:tr>
      <w:tr>
        <w:trPr>
          <w:trHeight w:val="282"/>
        </w:trPr>
        <w:tc>
          <w:tcPr>
            <w:tcW w:w="840" w:type="dxa"/>
            <w:vAlign w:val="bottom"/>
          </w:tcPr>
          <w:p>
            <w:pPr>
              <w:ind w:left="40"/>
              <w:spacing w:after="0"/>
              <w:rPr>
                <w:sz w:val="20"/>
                <w:szCs w:val="20"/>
                <w:color w:val="auto"/>
              </w:rPr>
            </w:pPr>
            <w:r>
              <w:rPr>
                <w:rFonts w:ascii="Times New Roman" w:cs="Times New Roman" w:eastAsia="Times New Roman" w:hAnsi="Times New Roman"/>
                <w:sz w:val="22"/>
                <w:szCs w:val="22"/>
                <w:color w:val="0000FF"/>
              </w:rPr>
              <w:t>7.19</w:t>
            </w:r>
          </w:p>
        </w:tc>
        <w:tc>
          <w:tcPr>
            <w:tcW w:w="7960" w:type="dxa"/>
            <w:vAlign w:val="bottom"/>
          </w:tcPr>
          <w:p>
            <w:pPr>
              <w:ind w:left="420"/>
              <w:spacing w:after="0"/>
              <w:rPr>
                <w:sz w:val="20"/>
                <w:szCs w:val="20"/>
                <w:color w:val="auto"/>
              </w:rPr>
            </w:pPr>
            <w:r>
              <w:rPr>
                <w:rFonts w:ascii="Times New Roman" w:cs="Times New Roman" w:eastAsia="Times New Roman" w:hAnsi="Times New Roman"/>
                <w:sz w:val="22"/>
                <w:szCs w:val="22"/>
                <w:color w:val="0000FF"/>
              </w:rPr>
              <w:t>Modifications to Second Lien Loan Documents</w:t>
            </w:r>
          </w:p>
        </w:tc>
        <w:tc>
          <w:tcPr>
            <w:tcW w:w="2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125</w:t>
            </w:r>
          </w:p>
        </w:tc>
      </w:tr>
      <w:tr>
        <w:trPr>
          <w:trHeight w:val="351"/>
        </w:trPr>
        <w:tc>
          <w:tcPr>
            <w:tcW w:w="840" w:type="dxa"/>
            <w:vAlign w:val="bottom"/>
          </w:tcPr>
          <w:p>
            <w:pPr>
              <w:spacing w:after="0"/>
              <w:rPr>
                <w:sz w:val="20"/>
                <w:szCs w:val="20"/>
                <w:color w:val="auto"/>
              </w:rPr>
            </w:pPr>
            <w:r>
              <w:rPr>
                <w:rFonts w:ascii="Times New Roman" w:cs="Times New Roman" w:eastAsia="Times New Roman" w:hAnsi="Times New Roman"/>
                <w:sz w:val="22"/>
                <w:szCs w:val="22"/>
                <w:color w:val="0000FF"/>
              </w:rPr>
              <w:t>VIII.</w:t>
            </w:r>
          </w:p>
        </w:tc>
        <w:tc>
          <w:tcPr>
            <w:tcW w:w="7960" w:type="dxa"/>
            <w:vAlign w:val="bottom"/>
          </w:tcPr>
          <w:p>
            <w:pPr>
              <w:ind w:left="420"/>
              <w:spacing w:after="0"/>
              <w:rPr>
                <w:sz w:val="20"/>
                <w:szCs w:val="20"/>
                <w:color w:val="auto"/>
              </w:rPr>
            </w:pPr>
            <w:r>
              <w:rPr>
                <w:rFonts w:ascii="Times New Roman" w:cs="Times New Roman" w:eastAsia="Times New Roman" w:hAnsi="Times New Roman"/>
                <w:sz w:val="22"/>
                <w:szCs w:val="22"/>
                <w:color w:val="0000FF"/>
              </w:rPr>
              <w:t>CONDITIONS PRECEDENT.</w:t>
            </w:r>
          </w:p>
        </w:tc>
        <w:tc>
          <w:tcPr>
            <w:tcW w:w="2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125</w:t>
            </w:r>
          </w:p>
        </w:tc>
      </w:tr>
      <w:tr>
        <w:trPr>
          <w:trHeight w:val="312"/>
        </w:trPr>
        <w:tc>
          <w:tcPr>
            <w:tcW w:w="840" w:type="dxa"/>
            <w:vAlign w:val="bottom"/>
          </w:tcPr>
          <w:p>
            <w:pPr>
              <w:ind w:left="40"/>
              <w:spacing w:after="0"/>
              <w:rPr>
                <w:sz w:val="20"/>
                <w:szCs w:val="20"/>
                <w:color w:val="auto"/>
              </w:rPr>
            </w:pPr>
            <w:r>
              <w:rPr>
                <w:rFonts w:ascii="Times New Roman" w:cs="Times New Roman" w:eastAsia="Times New Roman" w:hAnsi="Times New Roman"/>
                <w:sz w:val="22"/>
                <w:szCs w:val="22"/>
                <w:color w:val="0000FF"/>
              </w:rPr>
              <w:t>8.1</w:t>
            </w:r>
          </w:p>
        </w:tc>
        <w:tc>
          <w:tcPr>
            <w:tcW w:w="7960" w:type="dxa"/>
            <w:vAlign w:val="bottom"/>
          </w:tcPr>
          <w:p>
            <w:pPr>
              <w:ind w:left="420"/>
              <w:spacing w:after="0"/>
              <w:rPr>
                <w:sz w:val="20"/>
                <w:szCs w:val="20"/>
                <w:color w:val="auto"/>
              </w:rPr>
            </w:pPr>
            <w:r>
              <w:rPr>
                <w:rFonts w:ascii="Times New Roman" w:cs="Times New Roman" w:eastAsia="Times New Roman" w:hAnsi="Times New Roman"/>
                <w:sz w:val="22"/>
                <w:szCs w:val="22"/>
                <w:color w:val="0000FF"/>
              </w:rPr>
              <w:t>Conditions to Initial Advances</w:t>
            </w:r>
          </w:p>
        </w:tc>
        <w:tc>
          <w:tcPr>
            <w:tcW w:w="2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125</w:t>
            </w:r>
          </w:p>
        </w:tc>
      </w:tr>
      <w:tr>
        <w:trPr>
          <w:trHeight w:val="282"/>
        </w:trPr>
        <w:tc>
          <w:tcPr>
            <w:tcW w:w="840" w:type="dxa"/>
            <w:vAlign w:val="bottom"/>
          </w:tcPr>
          <w:p>
            <w:pPr>
              <w:ind w:left="40"/>
              <w:spacing w:after="0"/>
              <w:rPr>
                <w:sz w:val="20"/>
                <w:szCs w:val="20"/>
                <w:color w:val="auto"/>
              </w:rPr>
            </w:pPr>
            <w:r>
              <w:rPr>
                <w:rFonts w:ascii="Times New Roman" w:cs="Times New Roman" w:eastAsia="Times New Roman" w:hAnsi="Times New Roman"/>
                <w:sz w:val="22"/>
                <w:szCs w:val="22"/>
                <w:color w:val="0000FF"/>
              </w:rPr>
              <w:t>8.2</w:t>
            </w:r>
          </w:p>
        </w:tc>
        <w:tc>
          <w:tcPr>
            <w:tcW w:w="7960" w:type="dxa"/>
            <w:vAlign w:val="bottom"/>
          </w:tcPr>
          <w:p>
            <w:pPr>
              <w:ind w:left="420"/>
              <w:spacing w:after="0"/>
              <w:rPr>
                <w:sz w:val="20"/>
                <w:szCs w:val="20"/>
                <w:color w:val="auto"/>
              </w:rPr>
            </w:pPr>
            <w:r>
              <w:rPr>
                <w:rFonts w:ascii="Times New Roman" w:cs="Times New Roman" w:eastAsia="Times New Roman" w:hAnsi="Times New Roman"/>
                <w:sz w:val="22"/>
                <w:szCs w:val="22"/>
                <w:color w:val="0000FF"/>
              </w:rPr>
              <w:t>Conditions to Each Advance</w:t>
            </w:r>
          </w:p>
        </w:tc>
        <w:tc>
          <w:tcPr>
            <w:tcW w:w="2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128</w:t>
            </w:r>
          </w:p>
        </w:tc>
      </w:tr>
    </w:tbl>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8" w:right="339" w:bottom="1440" w:gutter="0" w:footer="0" w:header="0"/>
        </w:sectPr>
      </w:pPr>
    </w:p>
    <w:bookmarkStart w:id="46" w:name="page47"/>
    <w:bookmarkEnd w:id="46"/>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900" w:type="dxa"/>
            <w:vAlign w:val="bottom"/>
          </w:tcPr>
          <w:p>
            <w:pPr>
              <w:spacing w:after="0"/>
              <w:rPr>
                <w:sz w:val="20"/>
                <w:szCs w:val="20"/>
                <w:color w:val="auto"/>
              </w:rPr>
            </w:pPr>
            <w:r>
              <w:rPr>
                <w:rFonts w:ascii="Times New Roman" w:cs="Times New Roman" w:eastAsia="Times New Roman" w:hAnsi="Times New Roman"/>
                <w:sz w:val="22"/>
                <w:szCs w:val="22"/>
                <w:color w:val="0000FF"/>
              </w:rPr>
              <w:t>IX.</w:t>
            </w:r>
          </w:p>
        </w:tc>
        <w:tc>
          <w:tcPr>
            <w:tcW w:w="7840" w:type="dxa"/>
            <w:vAlign w:val="bottom"/>
          </w:tcPr>
          <w:p>
            <w:pPr>
              <w:ind w:left="360"/>
              <w:spacing w:after="0"/>
              <w:rPr>
                <w:sz w:val="20"/>
                <w:szCs w:val="20"/>
                <w:color w:val="auto"/>
              </w:rPr>
            </w:pPr>
            <w:r>
              <w:rPr>
                <w:rFonts w:ascii="Times New Roman" w:cs="Times New Roman" w:eastAsia="Times New Roman" w:hAnsi="Times New Roman"/>
                <w:sz w:val="22"/>
                <w:szCs w:val="22"/>
                <w:color w:val="0000FF"/>
              </w:rPr>
              <w:t>INFORMATION AS TO BORROWERS.</w:t>
            </w:r>
          </w:p>
        </w:tc>
        <w:tc>
          <w:tcPr>
            <w:tcW w:w="2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129</w:t>
            </w:r>
          </w:p>
        </w:tc>
      </w:tr>
      <w:tr>
        <w:trPr>
          <w:trHeight w:val="312"/>
        </w:trPr>
        <w:tc>
          <w:tcPr>
            <w:tcW w:w="900" w:type="dxa"/>
            <w:vAlign w:val="bottom"/>
          </w:tcPr>
          <w:p>
            <w:pPr>
              <w:ind w:left="40"/>
              <w:spacing w:after="0"/>
              <w:rPr>
                <w:sz w:val="20"/>
                <w:szCs w:val="20"/>
                <w:color w:val="auto"/>
              </w:rPr>
            </w:pPr>
            <w:r>
              <w:rPr>
                <w:rFonts w:ascii="Times New Roman" w:cs="Times New Roman" w:eastAsia="Times New Roman" w:hAnsi="Times New Roman"/>
                <w:sz w:val="22"/>
                <w:szCs w:val="22"/>
                <w:color w:val="0000FF"/>
              </w:rPr>
              <w:t>9.1</w:t>
            </w:r>
          </w:p>
        </w:tc>
        <w:tc>
          <w:tcPr>
            <w:tcW w:w="7840" w:type="dxa"/>
            <w:vAlign w:val="bottom"/>
          </w:tcPr>
          <w:p>
            <w:pPr>
              <w:ind w:left="360"/>
              <w:spacing w:after="0"/>
              <w:rPr>
                <w:sz w:val="20"/>
                <w:szCs w:val="20"/>
                <w:color w:val="auto"/>
              </w:rPr>
            </w:pPr>
            <w:r>
              <w:rPr>
                <w:rFonts w:ascii="Times New Roman" w:cs="Times New Roman" w:eastAsia="Times New Roman" w:hAnsi="Times New Roman"/>
                <w:sz w:val="22"/>
                <w:szCs w:val="22"/>
                <w:color w:val="0000FF"/>
              </w:rPr>
              <w:t>Disclosure of Material Matters</w:t>
            </w:r>
          </w:p>
        </w:tc>
        <w:tc>
          <w:tcPr>
            <w:tcW w:w="2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129</w:t>
            </w:r>
          </w:p>
        </w:tc>
      </w:tr>
      <w:tr>
        <w:trPr>
          <w:trHeight w:val="243"/>
        </w:trPr>
        <w:tc>
          <w:tcPr>
            <w:tcW w:w="9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0000FF"/>
              </w:rPr>
              <w:t>9.2</w:t>
            </w:r>
          </w:p>
        </w:tc>
        <w:tc>
          <w:tcPr>
            <w:tcW w:w="7840" w:type="dxa"/>
            <w:vAlign w:val="bottom"/>
          </w:tcPr>
          <w:p>
            <w:pPr>
              <w:ind w:left="360"/>
              <w:spacing w:after="0" w:line="243" w:lineRule="exact"/>
              <w:rPr>
                <w:sz w:val="20"/>
                <w:szCs w:val="20"/>
                <w:color w:val="auto"/>
              </w:rPr>
            </w:pPr>
            <w:r>
              <w:rPr>
                <w:rFonts w:ascii="Times New Roman" w:cs="Times New Roman" w:eastAsia="Times New Roman" w:hAnsi="Times New Roman"/>
                <w:sz w:val="22"/>
                <w:szCs w:val="22"/>
                <w:color w:val="0000FF"/>
              </w:rPr>
              <w:t>Schedules</w:t>
            </w:r>
          </w:p>
        </w:tc>
        <w:tc>
          <w:tcPr>
            <w:tcW w:w="25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129</w:t>
            </w:r>
          </w:p>
        </w:tc>
      </w:tr>
      <w:tr>
        <w:trPr>
          <w:trHeight w:val="243"/>
        </w:trPr>
        <w:tc>
          <w:tcPr>
            <w:tcW w:w="9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0000FF"/>
              </w:rPr>
              <w:t>9.3</w:t>
            </w:r>
          </w:p>
        </w:tc>
        <w:tc>
          <w:tcPr>
            <w:tcW w:w="7840" w:type="dxa"/>
            <w:vAlign w:val="bottom"/>
          </w:tcPr>
          <w:p>
            <w:pPr>
              <w:ind w:left="360"/>
              <w:spacing w:after="0" w:line="243" w:lineRule="exact"/>
              <w:rPr>
                <w:sz w:val="20"/>
                <w:szCs w:val="20"/>
                <w:color w:val="auto"/>
              </w:rPr>
            </w:pPr>
            <w:r>
              <w:rPr>
                <w:rFonts w:ascii="Times New Roman" w:cs="Times New Roman" w:eastAsia="Times New Roman" w:hAnsi="Times New Roman"/>
                <w:sz w:val="22"/>
                <w:szCs w:val="22"/>
                <w:color w:val="0000FF"/>
              </w:rPr>
              <w:t>Environmental Reports.</w:t>
            </w:r>
          </w:p>
        </w:tc>
        <w:tc>
          <w:tcPr>
            <w:tcW w:w="25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130</w:t>
            </w:r>
          </w:p>
        </w:tc>
      </w:tr>
      <w:tr>
        <w:trPr>
          <w:trHeight w:val="243"/>
        </w:trPr>
        <w:tc>
          <w:tcPr>
            <w:tcW w:w="9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0000FF"/>
              </w:rPr>
              <w:t>9.4</w:t>
            </w:r>
          </w:p>
        </w:tc>
        <w:tc>
          <w:tcPr>
            <w:tcW w:w="7840" w:type="dxa"/>
            <w:vAlign w:val="bottom"/>
          </w:tcPr>
          <w:p>
            <w:pPr>
              <w:ind w:left="360"/>
              <w:spacing w:after="0" w:line="243" w:lineRule="exact"/>
              <w:rPr>
                <w:sz w:val="20"/>
                <w:szCs w:val="20"/>
                <w:color w:val="auto"/>
              </w:rPr>
            </w:pPr>
            <w:r>
              <w:rPr>
                <w:rFonts w:ascii="Times New Roman" w:cs="Times New Roman" w:eastAsia="Times New Roman" w:hAnsi="Times New Roman"/>
                <w:sz w:val="22"/>
                <w:szCs w:val="22"/>
                <w:color w:val="0000FF"/>
              </w:rPr>
              <w:t>Litigation</w:t>
            </w:r>
          </w:p>
        </w:tc>
        <w:tc>
          <w:tcPr>
            <w:tcW w:w="25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131</w:t>
            </w:r>
          </w:p>
        </w:tc>
      </w:tr>
      <w:tr>
        <w:trPr>
          <w:trHeight w:val="239"/>
        </w:trPr>
        <w:tc>
          <w:tcPr>
            <w:tcW w:w="900" w:type="dxa"/>
            <w:vAlign w:val="bottom"/>
          </w:tcPr>
          <w:p>
            <w:pPr>
              <w:ind w:left="40"/>
              <w:spacing w:after="0" w:line="239" w:lineRule="exact"/>
              <w:rPr>
                <w:sz w:val="20"/>
                <w:szCs w:val="20"/>
                <w:color w:val="auto"/>
              </w:rPr>
            </w:pPr>
            <w:r>
              <w:rPr>
                <w:rFonts w:ascii="Times New Roman" w:cs="Times New Roman" w:eastAsia="Times New Roman" w:hAnsi="Times New Roman"/>
                <w:sz w:val="22"/>
                <w:szCs w:val="22"/>
                <w:color w:val="0000FF"/>
              </w:rPr>
              <w:t>9.5</w:t>
            </w:r>
          </w:p>
        </w:tc>
        <w:tc>
          <w:tcPr>
            <w:tcW w:w="7840" w:type="dxa"/>
            <w:vAlign w:val="bottom"/>
          </w:tcPr>
          <w:p>
            <w:pPr>
              <w:ind w:left="360"/>
              <w:spacing w:after="0" w:line="239" w:lineRule="exact"/>
              <w:rPr>
                <w:sz w:val="20"/>
                <w:szCs w:val="20"/>
                <w:color w:val="auto"/>
              </w:rPr>
            </w:pPr>
            <w:r>
              <w:rPr>
                <w:rFonts w:ascii="Times New Roman" w:cs="Times New Roman" w:eastAsia="Times New Roman" w:hAnsi="Times New Roman"/>
                <w:sz w:val="22"/>
                <w:szCs w:val="22"/>
                <w:color w:val="0000FF"/>
              </w:rPr>
              <w:t>Material Occurrences</w:t>
            </w:r>
          </w:p>
        </w:tc>
        <w:tc>
          <w:tcPr>
            <w:tcW w:w="2500" w:type="dxa"/>
            <w:vAlign w:val="bottom"/>
          </w:tcPr>
          <w:p>
            <w:pPr>
              <w:jc w:val="right"/>
              <w:spacing w:after="0" w:line="239" w:lineRule="exact"/>
              <w:rPr>
                <w:sz w:val="20"/>
                <w:szCs w:val="20"/>
                <w:color w:val="auto"/>
              </w:rPr>
            </w:pPr>
            <w:r>
              <w:rPr>
                <w:rFonts w:ascii="Times New Roman" w:cs="Times New Roman" w:eastAsia="Times New Roman" w:hAnsi="Times New Roman"/>
                <w:sz w:val="22"/>
                <w:szCs w:val="22"/>
                <w:color w:val="auto"/>
              </w:rPr>
              <w:t>131</w:t>
            </w:r>
          </w:p>
        </w:tc>
      </w:tr>
      <w:tr>
        <w:trPr>
          <w:trHeight w:val="247"/>
        </w:trPr>
        <w:tc>
          <w:tcPr>
            <w:tcW w:w="900" w:type="dxa"/>
            <w:vAlign w:val="bottom"/>
          </w:tcPr>
          <w:p>
            <w:pPr>
              <w:ind w:left="40"/>
              <w:spacing w:after="0" w:line="247" w:lineRule="exact"/>
              <w:rPr>
                <w:sz w:val="20"/>
                <w:szCs w:val="20"/>
                <w:color w:val="auto"/>
              </w:rPr>
            </w:pPr>
            <w:r>
              <w:rPr>
                <w:rFonts w:ascii="Times New Roman" w:cs="Times New Roman" w:eastAsia="Times New Roman" w:hAnsi="Times New Roman"/>
                <w:sz w:val="22"/>
                <w:szCs w:val="22"/>
                <w:color w:val="0000FF"/>
              </w:rPr>
              <w:t>9.6</w:t>
            </w:r>
          </w:p>
        </w:tc>
        <w:tc>
          <w:tcPr>
            <w:tcW w:w="7840" w:type="dxa"/>
            <w:vAlign w:val="bottom"/>
          </w:tcPr>
          <w:p>
            <w:pPr>
              <w:ind w:left="360"/>
              <w:spacing w:after="0" w:line="247" w:lineRule="exact"/>
              <w:rPr>
                <w:sz w:val="20"/>
                <w:szCs w:val="20"/>
                <w:color w:val="auto"/>
              </w:rPr>
            </w:pPr>
            <w:r>
              <w:rPr>
                <w:rFonts w:ascii="Times New Roman" w:cs="Times New Roman" w:eastAsia="Times New Roman" w:hAnsi="Times New Roman"/>
                <w:sz w:val="22"/>
                <w:szCs w:val="22"/>
                <w:color w:val="0000FF"/>
              </w:rPr>
              <w:t>[</w:t>
            </w:r>
            <w:r>
              <w:rPr>
                <w:rFonts w:ascii="Times New Roman" w:cs="Times New Roman" w:eastAsia="Times New Roman" w:hAnsi="Times New Roman"/>
                <w:sz w:val="22"/>
                <w:szCs w:val="22"/>
                <w:i w:val="1"/>
                <w:iCs w:val="1"/>
                <w:color w:val="0000FF"/>
              </w:rPr>
              <w:t>Intentionally Omitted.</w:t>
            </w:r>
            <w:r>
              <w:rPr>
                <w:rFonts w:ascii="Times New Roman" w:cs="Times New Roman" w:eastAsia="Times New Roman" w:hAnsi="Times New Roman"/>
                <w:sz w:val="22"/>
                <w:szCs w:val="22"/>
                <w:color w:val="0000FF"/>
              </w:rPr>
              <w:t>].</w:t>
            </w:r>
          </w:p>
        </w:tc>
        <w:tc>
          <w:tcPr>
            <w:tcW w:w="2500" w:type="dxa"/>
            <w:vAlign w:val="bottom"/>
          </w:tcPr>
          <w:p>
            <w:pPr>
              <w:jc w:val="right"/>
              <w:spacing w:after="0" w:line="247" w:lineRule="exact"/>
              <w:rPr>
                <w:sz w:val="20"/>
                <w:szCs w:val="20"/>
                <w:color w:val="auto"/>
              </w:rPr>
            </w:pPr>
            <w:r>
              <w:rPr>
                <w:rFonts w:ascii="Times New Roman" w:cs="Times New Roman" w:eastAsia="Times New Roman" w:hAnsi="Times New Roman"/>
                <w:sz w:val="22"/>
                <w:szCs w:val="22"/>
                <w:color w:val="auto"/>
              </w:rPr>
              <w:t>131</w:t>
            </w:r>
          </w:p>
        </w:tc>
      </w:tr>
      <w:tr>
        <w:trPr>
          <w:trHeight w:val="243"/>
        </w:trPr>
        <w:tc>
          <w:tcPr>
            <w:tcW w:w="9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0000FF"/>
              </w:rPr>
              <w:t>9.7</w:t>
            </w:r>
          </w:p>
        </w:tc>
        <w:tc>
          <w:tcPr>
            <w:tcW w:w="7840" w:type="dxa"/>
            <w:vAlign w:val="bottom"/>
          </w:tcPr>
          <w:p>
            <w:pPr>
              <w:ind w:left="360"/>
              <w:spacing w:after="0" w:line="243" w:lineRule="exact"/>
              <w:rPr>
                <w:sz w:val="20"/>
                <w:szCs w:val="20"/>
                <w:color w:val="auto"/>
              </w:rPr>
            </w:pPr>
            <w:r>
              <w:rPr>
                <w:rFonts w:ascii="Times New Roman" w:cs="Times New Roman" w:eastAsia="Times New Roman" w:hAnsi="Times New Roman"/>
                <w:sz w:val="22"/>
                <w:szCs w:val="22"/>
                <w:color w:val="0000FF"/>
              </w:rPr>
              <w:t>Annual Financial Statements</w:t>
            </w:r>
          </w:p>
        </w:tc>
        <w:tc>
          <w:tcPr>
            <w:tcW w:w="25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131</w:t>
            </w:r>
          </w:p>
        </w:tc>
      </w:tr>
      <w:tr>
        <w:trPr>
          <w:trHeight w:val="243"/>
        </w:trPr>
        <w:tc>
          <w:tcPr>
            <w:tcW w:w="9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0000FF"/>
              </w:rPr>
              <w:t>9.8</w:t>
            </w:r>
          </w:p>
        </w:tc>
        <w:tc>
          <w:tcPr>
            <w:tcW w:w="7840" w:type="dxa"/>
            <w:vAlign w:val="bottom"/>
          </w:tcPr>
          <w:p>
            <w:pPr>
              <w:ind w:left="360"/>
              <w:spacing w:after="0" w:line="243" w:lineRule="exact"/>
              <w:rPr>
                <w:sz w:val="20"/>
                <w:szCs w:val="20"/>
                <w:color w:val="auto"/>
              </w:rPr>
            </w:pPr>
            <w:r>
              <w:rPr>
                <w:rFonts w:ascii="Times New Roman" w:cs="Times New Roman" w:eastAsia="Times New Roman" w:hAnsi="Times New Roman"/>
                <w:sz w:val="22"/>
                <w:szCs w:val="22"/>
                <w:color w:val="0000FF"/>
              </w:rPr>
              <w:t>Quarterly Financial Statements</w:t>
            </w:r>
          </w:p>
        </w:tc>
        <w:tc>
          <w:tcPr>
            <w:tcW w:w="25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131</w:t>
            </w:r>
          </w:p>
        </w:tc>
      </w:tr>
      <w:tr>
        <w:trPr>
          <w:trHeight w:val="243"/>
        </w:trPr>
        <w:tc>
          <w:tcPr>
            <w:tcW w:w="9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0000FF"/>
              </w:rPr>
              <w:t>9.9</w:t>
            </w:r>
          </w:p>
        </w:tc>
        <w:tc>
          <w:tcPr>
            <w:tcW w:w="7840" w:type="dxa"/>
            <w:vAlign w:val="bottom"/>
          </w:tcPr>
          <w:p>
            <w:pPr>
              <w:ind w:left="360"/>
              <w:spacing w:after="0" w:line="243" w:lineRule="exact"/>
              <w:rPr>
                <w:sz w:val="20"/>
                <w:szCs w:val="20"/>
                <w:color w:val="auto"/>
              </w:rPr>
            </w:pPr>
            <w:r>
              <w:rPr>
                <w:rFonts w:ascii="Times New Roman" w:cs="Times New Roman" w:eastAsia="Times New Roman" w:hAnsi="Times New Roman"/>
                <w:sz w:val="22"/>
                <w:szCs w:val="22"/>
                <w:color w:val="0000FF"/>
              </w:rPr>
              <w:t>Monthly Financial Statements</w:t>
            </w:r>
          </w:p>
        </w:tc>
        <w:tc>
          <w:tcPr>
            <w:tcW w:w="25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132</w:t>
            </w:r>
          </w:p>
        </w:tc>
      </w:tr>
      <w:tr>
        <w:trPr>
          <w:trHeight w:val="243"/>
        </w:trPr>
        <w:tc>
          <w:tcPr>
            <w:tcW w:w="9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0000FF"/>
              </w:rPr>
              <w:t>9.10</w:t>
            </w:r>
          </w:p>
        </w:tc>
        <w:tc>
          <w:tcPr>
            <w:tcW w:w="7840" w:type="dxa"/>
            <w:vAlign w:val="bottom"/>
          </w:tcPr>
          <w:p>
            <w:pPr>
              <w:ind w:left="360"/>
              <w:spacing w:after="0" w:line="243" w:lineRule="exact"/>
              <w:rPr>
                <w:sz w:val="20"/>
                <w:szCs w:val="20"/>
                <w:color w:val="auto"/>
              </w:rPr>
            </w:pPr>
            <w:r>
              <w:rPr>
                <w:rFonts w:ascii="Times New Roman" w:cs="Times New Roman" w:eastAsia="Times New Roman" w:hAnsi="Times New Roman"/>
                <w:sz w:val="22"/>
                <w:szCs w:val="22"/>
                <w:color w:val="0000FF"/>
              </w:rPr>
              <w:t>Other Reports</w:t>
            </w:r>
          </w:p>
        </w:tc>
        <w:tc>
          <w:tcPr>
            <w:tcW w:w="25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133</w:t>
            </w:r>
          </w:p>
        </w:tc>
      </w:tr>
      <w:tr>
        <w:trPr>
          <w:trHeight w:val="243"/>
        </w:trPr>
        <w:tc>
          <w:tcPr>
            <w:tcW w:w="9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0000FF"/>
              </w:rPr>
              <w:t>9.11</w:t>
            </w:r>
          </w:p>
        </w:tc>
        <w:tc>
          <w:tcPr>
            <w:tcW w:w="7840" w:type="dxa"/>
            <w:vAlign w:val="bottom"/>
          </w:tcPr>
          <w:p>
            <w:pPr>
              <w:ind w:left="360"/>
              <w:spacing w:after="0" w:line="243" w:lineRule="exact"/>
              <w:rPr>
                <w:sz w:val="20"/>
                <w:szCs w:val="20"/>
                <w:color w:val="auto"/>
              </w:rPr>
            </w:pPr>
            <w:r>
              <w:rPr>
                <w:rFonts w:ascii="Times New Roman" w:cs="Times New Roman" w:eastAsia="Times New Roman" w:hAnsi="Times New Roman"/>
                <w:sz w:val="22"/>
                <w:szCs w:val="22"/>
                <w:color w:val="0000FF"/>
              </w:rPr>
              <w:t>Additional Information</w:t>
            </w:r>
          </w:p>
        </w:tc>
        <w:tc>
          <w:tcPr>
            <w:tcW w:w="25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133</w:t>
            </w:r>
          </w:p>
        </w:tc>
      </w:tr>
      <w:tr>
        <w:trPr>
          <w:trHeight w:val="243"/>
        </w:trPr>
        <w:tc>
          <w:tcPr>
            <w:tcW w:w="9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0000FF"/>
              </w:rPr>
              <w:t>9.12</w:t>
            </w:r>
          </w:p>
        </w:tc>
        <w:tc>
          <w:tcPr>
            <w:tcW w:w="7840" w:type="dxa"/>
            <w:vAlign w:val="bottom"/>
          </w:tcPr>
          <w:p>
            <w:pPr>
              <w:ind w:left="360"/>
              <w:spacing w:after="0" w:line="243" w:lineRule="exact"/>
              <w:rPr>
                <w:sz w:val="20"/>
                <w:szCs w:val="20"/>
                <w:color w:val="auto"/>
              </w:rPr>
            </w:pPr>
            <w:r>
              <w:rPr>
                <w:rFonts w:ascii="Times New Roman" w:cs="Times New Roman" w:eastAsia="Times New Roman" w:hAnsi="Times New Roman"/>
                <w:sz w:val="22"/>
                <w:szCs w:val="22"/>
                <w:color w:val="0000FF"/>
              </w:rPr>
              <w:t>Projected Operating Budget</w:t>
            </w:r>
          </w:p>
        </w:tc>
        <w:tc>
          <w:tcPr>
            <w:tcW w:w="25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133</w:t>
            </w:r>
          </w:p>
        </w:tc>
      </w:tr>
      <w:tr>
        <w:trPr>
          <w:trHeight w:val="243"/>
        </w:trPr>
        <w:tc>
          <w:tcPr>
            <w:tcW w:w="9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0000FF"/>
              </w:rPr>
              <w:t>9.13</w:t>
            </w:r>
          </w:p>
        </w:tc>
        <w:tc>
          <w:tcPr>
            <w:tcW w:w="7840" w:type="dxa"/>
            <w:vAlign w:val="bottom"/>
          </w:tcPr>
          <w:p>
            <w:pPr>
              <w:ind w:left="360"/>
              <w:spacing w:after="0" w:line="243" w:lineRule="exact"/>
              <w:rPr>
                <w:sz w:val="20"/>
                <w:szCs w:val="20"/>
                <w:color w:val="auto"/>
              </w:rPr>
            </w:pPr>
            <w:r>
              <w:rPr>
                <w:rFonts w:ascii="Times New Roman" w:cs="Times New Roman" w:eastAsia="Times New Roman" w:hAnsi="Times New Roman"/>
                <w:sz w:val="22"/>
                <w:szCs w:val="22"/>
                <w:color w:val="0000FF"/>
              </w:rPr>
              <w:t>Variances From Operating Budget</w:t>
            </w:r>
          </w:p>
        </w:tc>
        <w:tc>
          <w:tcPr>
            <w:tcW w:w="25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133</w:t>
            </w:r>
          </w:p>
        </w:tc>
      </w:tr>
      <w:tr>
        <w:trPr>
          <w:trHeight w:val="243"/>
        </w:trPr>
        <w:tc>
          <w:tcPr>
            <w:tcW w:w="9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0000FF"/>
              </w:rPr>
              <w:t>9.14</w:t>
            </w:r>
          </w:p>
        </w:tc>
        <w:tc>
          <w:tcPr>
            <w:tcW w:w="7840" w:type="dxa"/>
            <w:vAlign w:val="bottom"/>
          </w:tcPr>
          <w:p>
            <w:pPr>
              <w:ind w:left="360"/>
              <w:spacing w:after="0" w:line="243" w:lineRule="exact"/>
              <w:rPr>
                <w:sz w:val="20"/>
                <w:szCs w:val="20"/>
                <w:color w:val="auto"/>
              </w:rPr>
            </w:pPr>
            <w:r>
              <w:rPr>
                <w:rFonts w:ascii="Times New Roman" w:cs="Times New Roman" w:eastAsia="Times New Roman" w:hAnsi="Times New Roman"/>
                <w:sz w:val="22"/>
                <w:szCs w:val="22"/>
                <w:color w:val="0000FF"/>
              </w:rPr>
              <w:t>Notice of Suits, Adverse Events</w:t>
            </w:r>
          </w:p>
        </w:tc>
        <w:tc>
          <w:tcPr>
            <w:tcW w:w="25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133</w:t>
            </w:r>
          </w:p>
        </w:tc>
      </w:tr>
      <w:tr>
        <w:trPr>
          <w:trHeight w:val="243"/>
        </w:trPr>
        <w:tc>
          <w:tcPr>
            <w:tcW w:w="9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0000FF"/>
              </w:rPr>
              <w:t>9.15</w:t>
            </w:r>
          </w:p>
        </w:tc>
        <w:tc>
          <w:tcPr>
            <w:tcW w:w="7840" w:type="dxa"/>
            <w:vAlign w:val="bottom"/>
          </w:tcPr>
          <w:p>
            <w:pPr>
              <w:ind w:left="360"/>
              <w:spacing w:after="0" w:line="243" w:lineRule="exact"/>
              <w:rPr>
                <w:sz w:val="20"/>
                <w:szCs w:val="20"/>
                <w:color w:val="auto"/>
              </w:rPr>
            </w:pPr>
            <w:r>
              <w:rPr>
                <w:rFonts w:ascii="Times New Roman" w:cs="Times New Roman" w:eastAsia="Times New Roman" w:hAnsi="Times New Roman"/>
                <w:sz w:val="22"/>
                <w:szCs w:val="22"/>
                <w:color w:val="0000FF"/>
              </w:rPr>
              <w:t>ERISA Notices and Requests</w:t>
            </w:r>
          </w:p>
        </w:tc>
        <w:tc>
          <w:tcPr>
            <w:tcW w:w="25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134</w:t>
            </w:r>
          </w:p>
        </w:tc>
      </w:tr>
      <w:tr>
        <w:trPr>
          <w:trHeight w:val="243"/>
        </w:trPr>
        <w:tc>
          <w:tcPr>
            <w:tcW w:w="9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0000FF"/>
              </w:rPr>
              <w:t>9.16</w:t>
            </w:r>
          </w:p>
        </w:tc>
        <w:tc>
          <w:tcPr>
            <w:tcW w:w="7840" w:type="dxa"/>
            <w:vAlign w:val="bottom"/>
          </w:tcPr>
          <w:p>
            <w:pPr>
              <w:ind w:left="360"/>
              <w:spacing w:after="0" w:line="243" w:lineRule="exact"/>
              <w:rPr>
                <w:sz w:val="20"/>
                <w:szCs w:val="20"/>
                <w:color w:val="auto"/>
              </w:rPr>
            </w:pPr>
            <w:r>
              <w:rPr>
                <w:rFonts w:ascii="Times New Roman" w:cs="Times New Roman" w:eastAsia="Times New Roman" w:hAnsi="Times New Roman"/>
                <w:sz w:val="22"/>
                <w:szCs w:val="22"/>
                <w:color w:val="0000FF"/>
              </w:rPr>
              <w:t>Additional Documents</w:t>
            </w:r>
          </w:p>
        </w:tc>
        <w:tc>
          <w:tcPr>
            <w:tcW w:w="25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134</w:t>
            </w:r>
          </w:p>
        </w:tc>
      </w:tr>
      <w:tr>
        <w:trPr>
          <w:trHeight w:val="243"/>
        </w:trPr>
        <w:tc>
          <w:tcPr>
            <w:tcW w:w="9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0000FF"/>
              </w:rPr>
              <w:t>9.17</w:t>
            </w:r>
          </w:p>
        </w:tc>
        <w:tc>
          <w:tcPr>
            <w:tcW w:w="7840" w:type="dxa"/>
            <w:vAlign w:val="bottom"/>
          </w:tcPr>
          <w:p>
            <w:pPr>
              <w:ind w:left="360"/>
              <w:spacing w:after="0" w:line="243" w:lineRule="exact"/>
              <w:rPr>
                <w:sz w:val="20"/>
                <w:szCs w:val="20"/>
                <w:color w:val="auto"/>
              </w:rPr>
            </w:pPr>
            <w:r>
              <w:rPr>
                <w:rFonts w:ascii="Times New Roman" w:cs="Times New Roman" w:eastAsia="Times New Roman" w:hAnsi="Times New Roman"/>
                <w:sz w:val="22"/>
                <w:szCs w:val="22"/>
                <w:color w:val="0000FF"/>
              </w:rPr>
              <w:t>Updates to Certain Schedules</w:t>
            </w:r>
          </w:p>
        </w:tc>
        <w:tc>
          <w:tcPr>
            <w:tcW w:w="25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134</w:t>
            </w:r>
          </w:p>
        </w:tc>
      </w:tr>
      <w:tr>
        <w:trPr>
          <w:trHeight w:val="282"/>
        </w:trPr>
        <w:tc>
          <w:tcPr>
            <w:tcW w:w="900" w:type="dxa"/>
            <w:vAlign w:val="bottom"/>
          </w:tcPr>
          <w:p>
            <w:pPr>
              <w:ind w:left="40"/>
              <w:spacing w:after="0"/>
              <w:rPr>
                <w:sz w:val="20"/>
                <w:szCs w:val="20"/>
                <w:color w:val="auto"/>
              </w:rPr>
            </w:pPr>
            <w:r>
              <w:rPr>
                <w:rFonts w:ascii="Times New Roman" w:cs="Times New Roman" w:eastAsia="Times New Roman" w:hAnsi="Times New Roman"/>
                <w:sz w:val="22"/>
                <w:szCs w:val="22"/>
                <w:color w:val="0000FF"/>
              </w:rPr>
              <w:t>9.18</w:t>
            </w:r>
          </w:p>
        </w:tc>
        <w:tc>
          <w:tcPr>
            <w:tcW w:w="7840" w:type="dxa"/>
            <w:vAlign w:val="bottom"/>
          </w:tcPr>
          <w:p>
            <w:pPr>
              <w:ind w:left="360"/>
              <w:spacing w:after="0"/>
              <w:rPr>
                <w:sz w:val="20"/>
                <w:szCs w:val="20"/>
                <w:color w:val="auto"/>
              </w:rPr>
            </w:pPr>
            <w:r>
              <w:rPr>
                <w:rFonts w:ascii="Times New Roman" w:cs="Times New Roman" w:eastAsia="Times New Roman" w:hAnsi="Times New Roman"/>
                <w:sz w:val="22"/>
                <w:szCs w:val="22"/>
                <w:color w:val="0000FF"/>
              </w:rPr>
              <w:t>Financial Disclosure</w:t>
            </w:r>
          </w:p>
        </w:tc>
        <w:tc>
          <w:tcPr>
            <w:tcW w:w="2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134</w:t>
            </w:r>
          </w:p>
        </w:tc>
      </w:tr>
      <w:tr>
        <w:trPr>
          <w:trHeight w:val="351"/>
        </w:trPr>
        <w:tc>
          <w:tcPr>
            <w:tcW w:w="900" w:type="dxa"/>
            <w:vAlign w:val="bottom"/>
          </w:tcPr>
          <w:p>
            <w:pPr>
              <w:spacing w:after="0"/>
              <w:rPr>
                <w:sz w:val="20"/>
                <w:szCs w:val="20"/>
                <w:color w:val="auto"/>
              </w:rPr>
            </w:pPr>
            <w:r>
              <w:rPr>
                <w:rFonts w:ascii="Times New Roman" w:cs="Times New Roman" w:eastAsia="Times New Roman" w:hAnsi="Times New Roman"/>
                <w:sz w:val="22"/>
                <w:szCs w:val="22"/>
                <w:color w:val="0000FF"/>
              </w:rPr>
              <w:t>X.</w:t>
            </w:r>
          </w:p>
        </w:tc>
        <w:tc>
          <w:tcPr>
            <w:tcW w:w="7840" w:type="dxa"/>
            <w:vAlign w:val="bottom"/>
          </w:tcPr>
          <w:p>
            <w:pPr>
              <w:ind w:left="360"/>
              <w:spacing w:after="0"/>
              <w:rPr>
                <w:sz w:val="20"/>
                <w:szCs w:val="20"/>
                <w:color w:val="auto"/>
              </w:rPr>
            </w:pPr>
            <w:r>
              <w:rPr>
                <w:rFonts w:ascii="Times New Roman" w:cs="Times New Roman" w:eastAsia="Times New Roman" w:hAnsi="Times New Roman"/>
                <w:sz w:val="22"/>
                <w:szCs w:val="22"/>
                <w:color w:val="0000FF"/>
              </w:rPr>
              <w:t>EVENTS OF DEFAULT.</w:t>
            </w:r>
          </w:p>
        </w:tc>
        <w:tc>
          <w:tcPr>
            <w:tcW w:w="2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135</w:t>
            </w:r>
          </w:p>
        </w:tc>
      </w:tr>
      <w:tr>
        <w:trPr>
          <w:trHeight w:val="312"/>
        </w:trPr>
        <w:tc>
          <w:tcPr>
            <w:tcW w:w="900" w:type="dxa"/>
            <w:vAlign w:val="bottom"/>
          </w:tcPr>
          <w:p>
            <w:pPr>
              <w:ind w:left="40"/>
              <w:spacing w:after="0"/>
              <w:rPr>
                <w:sz w:val="20"/>
                <w:szCs w:val="20"/>
                <w:color w:val="auto"/>
              </w:rPr>
            </w:pPr>
            <w:r>
              <w:rPr>
                <w:rFonts w:ascii="Times New Roman" w:cs="Times New Roman" w:eastAsia="Times New Roman" w:hAnsi="Times New Roman"/>
                <w:sz w:val="22"/>
                <w:szCs w:val="22"/>
                <w:color w:val="0000FF"/>
              </w:rPr>
              <w:t>10.1</w:t>
            </w:r>
          </w:p>
        </w:tc>
        <w:tc>
          <w:tcPr>
            <w:tcW w:w="7840" w:type="dxa"/>
            <w:vAlign w:val="bottom"/>
          </w:tcPr>
          <w:p>
            <w:pPr>
              <w:ind w:left="360"/>
              <w:spacing w:after="0"/>
              <w:rPr>
                <w:sz w:val="20"/>
                <w:szCs w:val="20"/>
                <w:color w:val="auto"/>
              </w:rPr>
            </w:pPr>
            <w:r>
              <w:rPr>
                <w:rFonts w:ascii="Times New Roman" w:cs="Times New Roman" w:eastAsia="Times New Roman" w:hAnsi="Times New Roman"/>
                <w:sz w:val="22"/>
                <w:szCs w:val="22"/>
                <w:color w:val="0000FF"/>
              </w:rPr>
              <w:t>Nonpayment</w:t>
            </w:r>
          </w:p>
        </w:tc>
        <w:tc>
          <w:tcPr>
            <w:tcW w:w="2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135</w:t>
            </w:r>
          </w:p>
        </w:tc>
      </w:tr>
      <w:tr>
        <w:trPr>
          <w:trHeight w:val="243"/>
        </w:trPr>
        <w:tc>
          <w:tcPr>
            <w:tcW w:w="9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0000FF"/>
              </w:rPr>
              <w:t>10.2</w:t>
            </w:r>
          </w:p>
        </w:tc>
        <w:tc>
          <w:tcPr>
            <w:tcW w:w="7840" w:type="dxa"/>
            <w:vAlign w:val="bottom"/>
          </w:tcPr>
          <w:p>
            <w:pPr>
              <w:ind w:left="360"/>
              <w:spacing w:after="0" w:line="243" w:lineRule="exact"/>
              <w:rPr>
                <w:sz w:val="20"/>
                <w:szCs w:val="20"/>
                <w:color w:val="auto"/>
              </w:rPr>
            </w:pPr>
            <w:r>
              <w:rPr>
                <w:rFonts w:ascii="Times New Roman" w:cs="Times New Roman" w:eastAsia="Times New Roman" w:hAnsi="Times New Roman"/>
                <w:sz w:val="22"/>
                <w:szCs w:val="22"/>
                <w:color w:val="0000FF"/>
              </w:rPr>
              <w:t>Breach of Representation</w:t>
            </w:r>
          </w:p>
        </w:tc>
        <w:tc>
          <w:tcPr>
            <w:tcW w:w="25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135</w:t>
            </w:r>
          </w:p>
        </w:tc>
      </w:tr>
      <w:tr>
        <w:trPr>
          <w:trHeight w:val="243"/>
        </w:trPr>
        <w:tc>
          <w:tcPr>
            <w:tcW w:w="9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0000FF"/>
              </w:rPr>
              <w:t>10.3</w:t>
            </w:r>
          </w:p>
        </w:tc>
        <w:tc>
          <w:tcPr>
            <w:tcW w:w="7840" w:type="dxa"/>
            <w:vAlign w:val="bottom"/>
          </w:tcPr>
          <w:p>
            <w:pPr>
              <w:ind w:left="360"/>
              <w:spacing w:after="0" w:line="243" w:lineRule="exact"/>
              <w:rPr>
                <w:sz w:val="20"/>
                <w:szCs w:val="20"/>
                <w:color w:val="auto"/>
              </w:rPr>
            </w:pPr>
            <w:r>
              <w:rPr>
                <w:rFonts w:ascii="Times New Roman" w:cs="Times New Roman" w:eastAsia="Times New Roman" w:hAnsi="Times New Roman"/>
                <w:sz w:val="22"/>
                <w:szCs w:val="22"/>
                <w:color w:val="0000FF"/>
              </w:rPr>
              <w:t>Financial Information</w:t>
            </w:r>
          </w:p>
        </w:tc>
        <w:tc>
          <w:tcPr>
            <w:tcW w:w="25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135</w:t>
            </w:r>
          </w:p>
        </w:tc>
      </w:tr>
      <w:tr>
        <w:trPr>
          <w:trHeight w:val="243"/>
        </w:trPr>
        <w:tc>
          <w:tcPr>
            <w:tcW w:w="9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0000FF"/>
              </w:rPr>
              <w:t>10.4</w:t>
            </w:r>
          </w:p>
        </w:tc>
        <w:tc>
          <w:tcPr>
            <w:tcW w:w="7840" w:type="dxa"/>
            <w:vAlign w:val="bottom"/>
          </w:tcPr>
          <w:p>
            <w:pPr>
              <w:ind w:left="360"/>
              <w:spacing w:after="0" w:line="243" w:lineRule="exact"/>
              <w:rPr>
                <w:sz w:val="20"/>
                <w:szCs w:val="20"/>
                <w:color w:val="auto"/>
              </w:rPr>
            </w:pPr>
            <w:r>
              <w:rPr>
                <w:rFonts w:ascii="Times New Roman" w:cs="Times New Roman" w:eastAsia="Times New Roman" w:hAnsi="Times New Roman"/>
                <w:sz w:val="22"/>
                <w:szCs w:val="22"/>
                <w:color w:val="0000FF"/>
              </w:rPr>
              <w:t>Judicial Actions</w:t>
            </w:r>
          </w:p>
        </w:tc>
        <w:tc>
          <w:tcPr>
            <w:tcW w:w="25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135</w:t>
            </w:r>
          </w:p>
        </w:tc>
      </w:tr>
      <w:tr>
        <w:trPr>
          <w:trHeight w:val="243"/>
        </w:trPr>
        <w:tc>
          <w:tcPr>
            <w:tcW w:w="9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0000FF"/>
              </w:rPr>
              <w:t>10.5</w:t>
            </w:r>
          </w:p>
        </w:tc>
        <w:tc>
          <w:tcPr>
            <w:tcW w:w="7840" w:type="dxa"/>
            <w:vAlign w:val="bottom"/>
          </w:tcPr>
          <w:p>
            <w:pPr>
              <w:ind w:left="360"/>
              <w:spacing w:after="0" w:line="243" w:lineRule="exact"/>
              <w:rPr>
                <w:sz w:val="20"/>
                <w:szCs w:val="20"/>
                <w:color w:val="auto"/>
              </w:rPr>
            </w:pPr>
            <w:r>
              <w:rPr>
                <w:rFonts w:ascii="Times New Roman" w:cs="Times New Roman" w:eastAsia="Times New Roman" w:hAnsi="Times New Roman"/>
                <w:sz w:val="22"/>
                <w:szCs w:val="22"/>
                <w:color w:val="0000FF"/>
              </w:rPr>
              <w:t>Noncompliance</w:t>
            </w:r>
          </w:p>
        </w:tc>
        <w:tc>
          <w:tcPr>
            <w:tcW w:w="25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135</w:t>
            </w:r>
          </w:p>
        </w:tc>
      </w:tr>
      <w:tr>
        <w:trPr>
          <w:trHeight w:val="243"/>
        </w:trPr>
        <w:tc>
          <w:tcPr>
            <w:tcW w:w="9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0000FF"/>
              </w:rPr>
              <w:t>10.6</w:t>
            </w:r>
          </w:p>
        </w:tc>
        <w:tc>
          <w:tcPr>
            <w:tcW w:w="7840" w:type="dxa"/>
            <w:vAlign w:val="bottom"/>
          </w:tcPr>
          <w:p>
            <w:pPr>
              <w:ind w:left="360"/>
              <w:spacing w:after="0" w:line="243" w:lineRule="exact"/>
              <w:rPr>
                <w:sz w:val="20"/>
                <w:szCs w:val="20"/>
                <w:color w:val="auto"/>
              </w:rPr>
            </w:pPr>
            <w:r>
              <w:rPr>
                <w:rFonts w:ascii="Times New Roman" w:cs="Times New Roman" w:eastAsia="Times New Roman" w:hAnsi="Times New Roman"/>
                <w:sz w:val="22"/>
                <w:szCs w:val="22"/>
                <w:color w:val="0000FF"/>
              </w:rPr>
              <w:t>Judgments</w:t>
            </w:r>
          </w:p>
        </w:tc>
        <w:tc>
          <w:tcPr>
            <w:tcW w:w="25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135</w:t>
            </w:r>
          </w:p>
        </w:tc>
      </w:tr>
      <w:tr>
        <w:trPr>
          <w:trHeight w:val="239"/>
        </w:trPr>
        <w:tc>
          <w:tcPr>
            <w:tcW w:w="900" w:type="dxa"/>
            <w:vAlign w:val="bottom"/>
          </w:tcPr>
          <w:p>
            <w:pPr>
              <w:ind w:left="40"/>
              <w:spacing w:after="0" w:line="239" w:lineRule="exact"/>
              <w:rPr>
                <w:sz w:val="20"/>
                <w:szCs w:val="20"/>
                <w:color w:val="auto"/>
              </w:rPr>
            </w:pPr>
            <w:r>
              <w:rPr>
                <w:rFonts w:ascii="Times New Roman" w:cs="Times New Roman" w:eastAsia="Times New Roman" w:hAnsi="Times New Roman"/>
                <w:sz w:val="22"/>
                <w:szCs w:val="22"/>
                <w:color w:val="0000FF"/>
              </w:rPr>
              <w:t>10.7</w:t>
            </w:r>
          </w:p>
        </w:tc>
        <w:tc>
          <w:tcPr>
            <w:tcW w:w="7840" w:type="dxa"/>
            <w:vAlign w:val="bottom"/>
          </w:tcPr>
          <w:p>
            <w:pPr>
              <w:ind w:left="360"/>
              <w:spacing w:after="0" w:line="239" w:lineRule="exact"/>
              <w:rPr>
                <w:sz w:val="20"/>
                <w:szCs w:val="20"/>
                <w:color w:val="auto"/>
              </w:rPr>
            </w:pPr>
            <w:r>
              <w:rPr>
                <w:rFonts w:ascii="Times New Roman" w:cs="Times New Roman" w:eastAsia="Times New Roman" w:hAnsi="Times New Roman"/>
                <w:sz w:val="22"/>
                <w:szCs w:val="22"/>
                <w:color w:val="0000FF"/>
              </w:rPr>
              <w:t>Bankruptcy</w:t>
            </w:r>
          </w:p>
        </w:tc>
        <w:tc>
          <w:tcPr>
            <w:tcW w:w="2500" w:type="dxa"/>
            <w:vAlign w:val="bottom"/>
          </w:tcPr>
          <w:p>
            <w:pPr>
              <w:jc w:val="right"/>
              <w:spacing w:after="0" w:line="239" w:lineRule="exact"/>
              <w:rPr>
                <w:sz w:val="20"/>
                <w:szCs w:val="20"/>
                <w:color w:val="auto"/>
              </w:rPr>
            </w:pPr>
            <w:r>
              <w:rPr>
                <w:rFonts w:ascii="Times New Roman" w:cs="Times New Roman" w:eastAsia="Times New Roman" w:hAnsi="Times New Roman"/>
                <w:sz w:val="22"/>
                <w:szCs w:val="22"/>
                <w:color w:val="auto"/>
              </w:rPr>
              <w:t>136</w:t>
            </w:r>
          </w:p>
        </w:tc>
      </w:tr>
      <w:tr>
        <w:trPr>
          <w:trHeight w:val="247"/>
        </w:trPr>
        <w:tc>
          <w:tcPr>
            <w:tcW w:w="900" w:type="dxa"/>
            <w:vAlign w:val="bottom"/>
          </w:tcPr>
          <w:p>
            <w:pPr>
              <w:ind w:left="40"/>
              <w:spacing w:after="0" w:line="247" w:lineRule="exact"/>
              <w:rPr>
                <w:sz w:val="20"/>
                <w:szCs w:val="20"/>
                <w:color w:val="auto"/>
              </w:rPr>
            </w:pPr>
            <w:r>
              <w:rPr>
                <w:rFonts w:ascii="Times New Roman" w:cs="Times New Roman" w:eastAsia="Times New Roman" w:hAnsi="Times New Roman"/>
                <w:sz w:val="22"/>
                <w:szCs w:val="22"/>
                <w:color w:val="0000FF"/>
              </w:rPr>
              <w:t>10.8</w:t>
            </w:r>
          </w:p>
        </w:tc>
        <w:tc>
          <w:tcPr>
            <w:tcW w:w="7840" w:type="dxa"/>
            <w:vAlign w:val="bottom"/>
          </w:tcPr>
          <w:p>
            <w:pPr>
              <w:ind w:left="360"/>
              <w:spacing w:after="0" w:line="247" w:lineRule="exact"/>
              <w:rPr>
                <w:sz w:val="20"/>
                <w:szCs w:val="20"/>
                <w:color w:val="auto"/>
              </w:rPr>
            </w:pPr>
            <w:r>
              <w:rPr>
                <w:rFonts w:ascii="Times New Roman" w:cs="Times New Roman" w:eastAsia="Times New Roman" w:hAnsi="Times New Roman"/>
                <w:sz w:val="22"/>
                <w:szCs w:val="22"/>
                <w:color w:val="0000FF"/>
              </w:rPr>
              <w:t>[</w:t>
            </w:r>
            <w:r>
              <w:rPr>
                <w:rFonts w:ascii="Times New Roman" w:cs="Times New Roman" w:eastAsia="Times New Roman" w:hAnsi="Times New Roman"/>
                <w:sz w:val="22"/>
                <w:szCs w:val="22"/>
                <w:i w:val="1"/>
                <w:iCs w:val="1"/>
                <w:color w:val="0000FF"/>
              </w:rPr>
              <w:t>Intentionally Omitted</w:t>
            </w:r>
            <w:r>
              <w:rPr>
                <w:rFonts w:ascii="Times New Roman" w:cs="Times New Roman" w:eastAsia="Times New Roman" w:hAnsi="Times New Roman"/>
                <w:sz w:val="22"/>
                <w:szCs w:val="22"/>
                <w:color w:val="0000FF"/>
              </w:rPr>
              <w:t>].</w:t>
            </w:r>
          </w:p>
        </w:tc>
        <w:tc>
          <w:tcPr>
            <w:tcW w:w="2500" w:type="dxa"/>
            <w:vAlign w:val="bottom"/>
          </w:tcPr>
          <w:p>
            <w:pPr>
              <w:jc w:val="right"/>
              <w:spacing w:after="0" w:line="247" w:lineRule="exact"/>
              <w:rPr>
                <w:sz w:val="20"/>
                <w:szCs w:val="20"/>
                <w:color w:val="auto"/>
              </w:rPr>
            </w:pPr>
            <w:r>
              <w:rPr>
                <w:rFonts w:ascii="Times New Roman" w:cs="Times New Roman" w:eastAsia="Times New Roman" w:hAnsi="Times New Roman"/>
                <w:sz w:val="22"/>
                <w:szCs w:val="22"/>
                <w:color w:val="auto"/>
              </w:rPr>
              <w:t>136</w:t>
            </w:r>
          </w:p>
        </w:tc>
      </w:tr>
      <w:tr>
        <w:trPr>
          <w:trHeight w:val="243"/>
        </w:trPr>
        <w:tc>
          <w:tcPr>
            <w:tcW w:w="9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0000FF"/>
              </w:rPr>
              <w:t>10.9</w:t>
            </w:r>
          </w:p>
        </w:tc>
        <w:tc>
          <w:tcPr>
            <w:tcW w:w="7840" w:type="dxa"/>
            <w:vAlign w:val="bottom"/>
          </w:tcPr>
          <w:p>
            <w:pPr>
              <w:ind w:left="360"/>
              <w:spacing w:after="0" w:line="243" w:lineRule="exact"/>
              <w:rPr>
                <w:sz w:val="20"/>
                <w:szCs w:val="20"/>
                <w:color w:val="auto"/>
              </w:rPr>
            </w:pPr>
            <w:r>
              <w:rPr>
                <w:rFonts w:ascii="Times New Roman" w:cs="Times New Roman" w:eastAsia="Times New Roman" w:hAnsi="Times New Roman"/>
                <w:sz w:val="22"/>
                <w:szCs w:val="22"/>
                <w:color w:val="0000FF"/>
              </w:rPr>
              <w:t>Lien Priority</w:t>
            </w:r>
          </w:p>
        </w:tc>
        <w:tc>
          <w:tcPr>
            <w:tcW w:w="25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136</w:t>
            </w:r>
          </w:p>
        </w:tc>
      </w:tr>
      <w:tr>
        <w:trPr>
          <w:trHeight w:val="243"/>
        </w:trPr>
        <w:tc>
          <w:tcPr>
            <w:tcW w:w="9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0000FF"/>
              </w:rPr>
              <w:t>10.10</w:t>
            </w:r>
          </w:p>
        </w:tc>
        <w:tc>
          <w:tcPr>
            <w:tcW w:w="7840" w:type="dxa"/>
            <w:vAlign w:val="bottom"/>
          </w:tcPr>
          <w:p>
            <w:pPr>
              <w:ind w:left="360"/>
              <w:spacing w:after="0" w:line="243" w:lineRule="exact"/>
              <w:rPr>
                <w:sz w:val="20"/>
                <w:szCs w:val="20"/>
                <w:color w:val="auto"/>
              </w:rPr>
            </w:pPr>
            <w:r>
              <w:rPr>
                <w:rFonts w:ascii="Times New Roman" w:cs="Times New Roman" w:eastAsia="Times New Roman" w:hAnsi="Times New Roman"/>
                <w:sz w:val="22"/>
                <w:szCs w:val="22"/>
                <w:color w:val="0000FF"/>
              </w:rPr>
              <w:t>Bonding Agreement.</w:t>
            </w:r>
          </w:p>
        </w:tc>
        <w:tc>
          <w:tcPr>
            <w:tcW w:w="25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136</w:t>
            </w:r>
          </w:p>
        </w:tc>
      </w:tr>
      <w:tr>
        <w:trPr>
          <w:trHeight w:val="243"/>
        </w:trPr>
        <w:tc>
          <w:tcPr>
            <w:tcW w:w="9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0000FF"/>
              </w:rPr>
              <w:t>10.11</w:t>
            </w:r>
          </w:p>
        </w:tc>
        <w:tc>
          <w:tcPr>
            <w:tcW w:w="7840" w:type="dxa"/>
            <w:vAlign w:val="bottom"/>
          </w:tcPr>
          <w:p>
            <w:pPr>
              <w:ind w:left="360"/>
              <w:spacing w:after="0" w:line="243" w:lineRule="exact"/>
              <w:rPr>
                <w:sz w:val="20"/>
                <w:szCs w:val="20"/>
                <w:color w:val="auto"/>
              </w:rPr>
            </w:pPr>
            <w:r>
              <w:rPr>
                <w:rFonts w:ascii="Times New Roman" w:cs="Times New Roman" w:eastAsia="Times New Roman" w:hAnsi="Times New Roman"/>
                <w:sz w:val="22"/>
                <w:szCs w:val="22"/>
                <w:color w:val="0000FF"/>
              </w:rPr>
              <w:t>Cross Default</w:t>
            </w:r>
          </w:p>
        </w:tc>
        <w:tc>
          <w:tcPr>
            <w:tcW w:w="25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137</w:t>
            </w:r>
          </w:p>
        </w:tc>
      </w:tr>
      <w:tr>
        <w:trPr>
          <w:trHeight w:val="243"/>
        </w:trPr>
        <w:tc>
          <w:tcPr>
            <w:tcW w:w="9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0000FF"/>
              </w:rPr>
              <w:t>10.12</w:t>
            </w:r>
          </w:p>
        </w:tc>
        <w:tc>
          <w:tcPr>
            <w:tcW w:w="7840" w:type="dxa"/>
            <w:vAlign w:val="bottom"/>
          </w:tcPr>
          <w:p>
            <w:pPr>
              <w:ind w:left="360"/>
              <w:spacing w:after="0" w:line="243" w:lineRule="exact"/>
              <w:rPr>
                <w:sz w:val="20"/>
                <w:szCs w:val="20"/>
                <w:color w:val="auto"/>
              </w:rPr>
            </w:pPr>
            <w:r>
              <w:rPr>
                <w:rFonts w:ascii="Times New Roman" w:cs="Times New Roman" w:eastAsia="Times New Roman" w:hAnsi="Times New Roman"/>
                <w:sz w:val="22"/>
                <w:szCs w:val="22"/>
                <w:color w:val="0000FF"/>
              </w:rPr>
              <w:t>Breach of Guaranty or Pledge Agreement</w:t>
            </w:r>
          </w:p>
        </w:tc>
        <w:tc>
          <w:tcPr>
            <w:tcW w:w="25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137</w:t>
            </w:r>
          </w:p>
        </w:tc>
      </w:tr>
      <w:tr>
        <w:trPr>
          <w:trHeight w:val="243"/>
        </w:trPr>
        <w:tc>
          <w:tcPr>
            <w:tcW w:w="9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0000FF"/>
              </w:rPr>
              <w:t>10.13</w:t>
            </w:r>
          </w:p>
        </w:tc>
        <w:tc>
          <w:tcPr>
            <w:tcW w:w="7840" w:type="dxa"/>
            <w:vAlign w:val="bottom"/>
          </w:tcPr>
          <w:p>
            <w:pPr>
              <w:ind w:left="360"/>
              <w:spacing w:after="0" w:line="243" w:lineRule="exact"/>
              <w:rPr>
                <w:sz w:val="20"/>
                <w:szCs w:val="20"/>
                <w:color w:val="auto"/>
              </w:rPr>
            </w:pPr>
            <w:r>
              <w:rPr>
                <w:rFonts w:ascii="Times New Roman" w:cs="Times New Roman" w:eastAsia="Times New Roman" w:hAnsi="Times New Roman"/>
                <w:sz w:val="22"/>
                <w:szCs w:val="22"/>
                <w:color w:val="0000FF"/>
              </w:rPr>
              <w:t>Change of Control</w:t>
            </w:r>
          </w:p>
        </w:tc>
        <w:tc>
          <w:tcPr>
            <w:tcW w:w="25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137</w:t>
            </w:r>
          </w:p>
        </w:tc>
      </w:tr>
      <w:tr>
        <w:trPr>
          <w:trHeight w:val="243"/>
        </w:trPr>
        <w:tc>
          <w:tcPr>
            <w:tcW w:w="9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0000FF"/>
              </w:rPr>
              <w:t>10.14</w:t>
            </w:r>
          </w:p>
        </w:tc>
        <w:tc>
          <w:tcPr>
            <w:tcW w:w="7840" w:type="dxa"/>
            <w:vAlign w:val="bottom"/>
          </w:tcPr>
          <w:p>
            <w:pPr>
              <w:ind w:left="360"/>
              <w:spacing w:after="0" w:line="243" w:lineRule="exact"/>
              <w:rPr>
                <w:sz w:val="20"/>
                <w:szCs w:val="20"/>
                <w:color w:val="auto"/>
              </w:rPr>
            </w:pPr>
            <w:r>
              <w:rPr>
                <w:rFonts w:ascii="Times New Roman" w:cs="Times New Roman" w:eastAsia="Times New Roman" w:hAnsi="Times New Roman"/>
                <w:sz w:val="22"/>
                <w:szCs w:val="22"/>
                <w:color w:val="0000FF"/>
              </w:rPr>
              <w:t>Invalidity</w:t>
            </w:r>
          </w:p>
        </w:tc>
        <w:tc>
          <w:tcPr>
            <w:tcW w:w="25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137</w:t>
            </w:r>
          </w:p>
        </w:tc>
      </w:tr>
      <w:tr>
        <w:trPr>
          <w:trHeight w:val="243"/>
        </w:trPr>
        <w:tc>
          <w:tcPr>
            <w:tcW w:w="9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0000FF"/>
              </w:rPr>
              <w:t>10.15</w:t>
            </w:r>
          </w:p>
        </w:tc>
        <w:tc>
          <w:tcPr>
            <w:tcW w:w="7840" w:type="dxa"/>
            <w:vAlign w:val="bottom"/>
          </w:tcPr>
          <w:p>
            <w:pPr>
              <w:ind w:left="360"/>
              <w:spacing w:after="0" w:line="243" w:lineRule="exact"/>
              <w:rPr>
                <w:sz w:val="20"/>
                <w:szCs w:val="20"/>
                <w:color w:val="auto"/>
              </w:rPr>
            </w:pPr>
            <w:r>
              <w:rPr>
                <w:rFonts w:ascii="Times New Roman" w:cs="Times New Roman" w:eastAsia="Times New Roman" w:hAnsi="Times New Roman"/>
                <w:sz w:val="22"/>
                <w:szCs w:val="22"/>
                <w:color w:val="0000FF"/>
              </w:rPr>
              <w:t>Seizures</w:t>
            </w:r>
          </w:p>
        </w:tc>
        <w:tc>
          <w:tcPr>
            <w:tcW w:w="25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137</w:t>
            </w:r>
          </w:p>
        </w:tc>
      </w:tr>
      <w:tr>
        <w:trPr>
          <w:trHeight w:val="243"/>
        </w:trPr>
        <w:tc>
          <w:tcPr>
            <w:tcW w:w="9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0000FF"/>
              </w:rPr>
              <w:t>10.16</w:t>
            </w:r>
          </w:p>
        </w:tc>
        <w:tc>
          <w:tcPr>
            <w:tcW w:w="7840" w:type="dxa"/>
            <w:vAlign w:val="bottom"/>
          </w:tcPr>
          <w:p>
            <w:pPr>
              <w:ind w:left="360"/>
              <w:spacing w:after="0" w:line="243" w:lineRule="exact"/>
              <w:rPr>
                <w:sz w:val="20"/>
                <w:szCs w:val="20"/>
                <w:color w:val="auto"/>
              </w:rPr>
            </w:pPr>
            <w:r>
              <w:rPr>
                <w:rFonts w:ascii="Times New Roman" w:cs="Times New Roman" w:eastAsia="Times New Roman" w:hAnsi="Times New Roman"/>
                <w:sz w:val="22"/>
                <w:szCs w:val="22"/>
                <w:color w:val="0000FF"/>
              </w:rPr>
              <w:t>Second Lien Loan Default</w:t>
            </w:r>
          </w:p>
        </w:tc>
        <w:tc>
          <w:tcPr>
            <w:tcW w:w="25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138</w:t>
            </w:r>
          </w:p>
        </w:tc>
      </w:tr>
      <w:tr>
        <w:trPr>
          <w:trHeight w:val="282"/>
        </w:trPr>
        <w:tc>
          <w:tcPr>
            <w:tcW w:w="900" w:type="dxa"/>
            <w:vAlign w:val="bottom"/>
          </w:tcPr>
          <w:p>
            <w:pPr>
              <w:ind w:left="40"/>
              <w:spacing w:after="0"/>
              <w:rPr>
                <w:sz w:val="20"/>
                <w:szCs w:val="20"/>
                <w:color w:val="auto"/>
              </w:rPr>
            </w:pPr>
            <w:r>
              <w:rPr>
                <w:rFonts w:ascii="Times New Roman" w:cs="Times New Roman" w:eastAsia="Times New Roman" w:hAnsi="Times New Roman"/>
                <w:sz w:val="22"/>
                <w:szCs w:val="22"/>
                <w:color w:val="0000FF"/>
              </w:rPr>
              <w:t>10.17</w:t>
            </w:r>
          </w:p>
        </w:tc>
        <w:tc>
          <w:tcPr>
            <w:tcW w:w="7840" w:type="dxa"/>
            <w:vAlign w:val="bottom"/>
          </w:tcPr>
          <w:p>
            <w:pPr>
              <w:ind w:left="360"/>
              <w:spacing w:after="0"/>
              <w:rPr>
                <w:sz w:val="20"/>
                <w:szCs w:val="20"/>
                <w:color w:val="auto"/>
              </w:rPr>
            </w:pPr>
            <w:r>
              <w:rPr>
                <w:rFonts w:ascii="Times New Roman" w:cs="Times New Roman" w:eastAsia="Times New Roman" w:hAnsi="Times New Roman"/>
                <w:sz w:val="22"/>
                <w:szCs w:val="22"/>
                <w:color w:val="0000FF"/>
              </w:rPr>
              <w:t>ERISA Events</w:t>
            </w:r>
          </w:p>
        </w:tc>
        <w:tc>
          <w:tcPr>
            <w:tcW w:w="2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138</w:t>
            </w:r>
          </w:p>
        </w:tc>
      </w:tr>
      <w:tr>
        <w:trPr>
          <w:trHeight w:val="351"/>
        </w:trPr>
        <w:tc>
          <w:tcPr>
            <w:tcW w:w="900" w:type="dxa"/>
            <w:vAlign w:val="bottom"/>
          </w:tcPr>
          <w:p>
            <w:pPr>
              <w:spacing w:after="0"/>
              <w:rPr>
                <w:sz w:val="20"/>
                <w:szCs w:val="20"/>
                <w:color w:val="auto"/>
              </w:rPr>
            </w:pPr>
            <w:r>
              <w:rPr>
                <w:rFonts w:ascii="Times New Roman" w:cs="Times New Roman" w:eastAsia="Times New Roman" w:hAnsi="Times New Roman"/>
                <w:sz w:val="22"/>
                <w:szCs w:val="22"/>
                <w:color w:val="0000FF"/>
              </w:rPr>
              <w:t>XI.</w:t>
            </w:r>
          </w:p>
        </w:tc>
        <w:tc>
          <w:tcPr>
            <w:tcW w:w="7840" w:type="dxa"/>
            <w:vAlign w:val="bottom"/>
          </w:tcPr>
          <w:p>
            <w:pPr>
              <w:ind w:left="360"/>
              <w:spacing w:after="0"/>
              <w:rPr>
                <w:sz w:val="20"/>
                <w:szCs w:val="20"/>
                <w:color w:val="auto"/>
              </w:rPr>
            </w:pPr>
            <w:r>
              <w:rPr>
                <w:rFonts w:ascii="Times New Roman" w:cs="Times New Roman" w:eastAsia="Times New Roman" w:hAnsi="Times New Roman"/>
                <w:sz w:val="22"/>
                <w:szCs w:val="22"/>
                <w:color w:val="0000FF"/>
              </w:rPr>
              <w:t>LENDERS' RIGHTS AND REMEDIES AFTER DEFAULT.</w:t>
            </w:r>
          </w:p>
        </w:tc>
        <w:tc>
          <w:tcPr>
            <w:tcW w:w="2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138</w:t>
            </w:r>
          </w:p>
        </w:tc>
      </w:tr>
      <w:tr>
        <w:trPr>
          <w:trHeight w:val="312"/>
        </w:trPr>
        <w:tc>
          <w:tcPr>
            <w:tcW w:w="900" w:type="dxa"/>
            <w:vAlign w:val="bottom"/>
          </w:tcPr>
          <w:p>
            <w:pPr>
              <w:ind w:left="40"/>
              <w:spacing w:after="0"/>
              <w:rPr>
                <w:sz w:val="20"/>
                <w:szCs w:val="20"/>
                <w:color w:val="auto"/>
              </w:rPr>
            </w:pPr>
            <w:r>
              <w:rPr>
                <w:rFonts w:ascii="Times New Roman" w:cs="Times New Roman" w:eastAsia="Times New Roman" w:hAnsi="Times New Roman"/>
                <w:sz w:val="22"/>
                <w:szCs w:val="22"/>
                <w:color w:val="0000FF"/>
              </w:rPr>
              <w:t>11.1</w:t>
            </w:r>
          </w:p>
        </w:tc>
        <w:tc>
          <w:tcPr>
            <w:tcW w:w="7840" w:type="dxa"/>
            <w:vAlign w:val="bottom"/>
          </w:tcPr>
          <w:p>
            <w:pPr>
              <w:ind w:left="360"/>
              <w:spacing w:after="0"/>
              <w:rPr>
                <w:sz w:val="20"/>
                <w:szCs w:val="20"/>
                <w:color w:val="auto"/>
              </w:rPr>
            </w:pPr>
            <w:r>
              <w:rPr>
                <w:rFonts w:ascii="Times New Roman" w:cs="Times New Roman" w:eastAsia="Times New Roman" w:hAnsi="Times New Roman"/>
                <w:sz w:val="22"/>
                <w:szCs w:val="22"/>
                <w:color w:val="0000FF"/>
              </w:rPr>
              <w:t>Rights and Remedies.</w:t>
            </w:r>
          </w:p>
        </w:tc>
        <w:tc>
          <w:tcPr>
            <w:tcW w:w="2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138</w:t>
            </w:r>
          </w:p>
        </w:tc>
      </w:tr>
      <w:tr>
        <w:trPr>
          <w:trHeight w:val="243"/>
        </w:trPr>
        <w:tc>
          <w:tcPr>
            <w:tcW w:w="9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0000FF"/>
              </w:rPr>
              <w:t>11.2</w:t>
            </w:r>
          </w:p>
        </w:tc>
        <w:tc>
          <w:tcPr>
            <w:tcW w:w="7840" w:type="dxa"/>
            <w:vAlign w:val="bottom"/>
          </w:tcPr>
          <w:p>
            <w:pPr>
              <w:ind w:left="360"/>
              <w:spacing w:after="0" w:line="243" w:lineRule="exact"/>
              <w:rPr>
                <w:sz w:val="20"/>
                <w:szCs w:val="20"/>
                <w:color w:val="auto"/>
              </w:rPr>
            </w:pPr>
            <w:r>
              <w:rPr>
                <w:rFonts w:ascii="Times New Roman" w:cs="Times New Roman" w:eastAsia="Times New Roman" w:hAnsi="Times New Roman"/>
                <w:sz w:val="22"/>
                <w:szCs w:val="22"/>
                <w:color w:val="0000FF"/>
              </w:rPr>
              <w:t>Agent's Discretion</w:t>
            </w:r>
          </w:p>
        </w:tc>
        <w:tc>
          <w:tcPr>
            <w:tcW w:w="25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140</w:t>
            </w:r>
          </w:p>
        </w:tc>
      </w:tr>
      <w:tr>
        <w:trPr>
          <w:trHeight w:val="243"/>
        </w:trPr>
        <w:tc>
          <w:tcPr>
            <w:tcW w:w="9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0000FF"/>
              </w:rPr>
              <w:t>11.3</w:t>
            </w:r>
          </w:p>
        </w:tc>
        <w:tc>
          <w:tcPr>
            <w:tcW w:w="7840" w:type="dxa"/>
            <w:vAlign w:val="bottom"/>
          </w:tcPr>
          <w:p>
            <w:pPr>
              <w:ind w:left="360"/>
              <w:spacing w:after="0" w:line="243" w:lineRule="exact"/>
              <w:rPr>
                <w:sz w:val="20"/>
                <w:szCs w:val="20"/>
                <w:color w:val="auto"/>
              </w:rPr>
            </w:pPr>
            <w:r>
              <w:rPr>
                <w:rFonts w:ascii="Times New Roman" w:cs="Times New Roman" w:eastAsia="Times New Roman" w:hAnsi="Times New Roman"/>
                <w:sz w:val="22"/>
                <w:szCs w:val="22"/>
                <w:color w:val="0000FF"/>
              </w:rPr>
              <w:t>Setoff</w:t>
            </w:r>
          </w:p>
        </w:tc>
        <w:tc>
          <w:tcPr>
            <w:tcW w:w="25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140</w:t>
            </w:r>
          </w:p>
        </w:tc>
      </w:tr>
      <w:tr>
        <w:trPr>
          <w:trHeight w:val="243"/>
        </w:trPr>
        <w:tc>
          <w:tcPr>
            <w:tcW w:w="9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0000FF"/>
              </w:rPr>
              <w:t>11.4</w:t>
            </w:r>
          </w:p>
        </w:tc>
        <w:tc>
          <w:tcPr>
            <w:tcW w:w="7840" w:type="dxa"/>
            <w:vAlign w:val="bottom"/>
          </w:tcPr>
          <w:p>
            <w:pPr>
              <w:ind w:left="360"/>
              <w:spacing w:after="0" w:line="243" w:lineRule="exact"/>
              <w:rPr>
                <w:sz w:val="20"/>
                <w:szCs w:val="20"/>
                <w:color w:val="auto"/>
              </w:rPr>
            </w:pPr>
            <w:r>
              <w:rPr>
                <w:rFonts w:ascii="Times New Roman" w:cs="Times New Roman" w:eastAsia="Times New Roman" w:hAnsi="Times New Roman"/>
                <w:sz w:val="22"/>
                <w:szCs w:val="22"/>
                <w:color w:val="0000FF"/>
              </w:rPr>
              <w:t>Rights and Remedies not Exclusive</w:t>
            </w:r>
          </w:p>
        </w:tc>
        <w:tc>
          <w:tcPr>
            <w:tcW w:w="25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140</w:t>
            </w:r>
          </w:p>
        </w:tc>
      </w:tr>
      <w:tr>
        <w:trPr>
          <w:trHeight w:val="282"/>
        </w:trPr>
        <w:tc>
          <w:tcPr>
            <w:tcW w:w="900" w:type="dxa"/>
            <w:vAlign w:val="bottom"/>
          </w:tcPr>
          <w:p>
            <w:pPr>
              <w:ind w:left="40"/>
              <w:spacing w:after="0"/>
              <w:rPr>
                <w:sz w:val="20"/>
                <w:szCs w:val="20"/>
                <w:color w:val="auto"/>
              </w:rPr>
            </w:pPr>
            <w:r>
              <w:rPr>
                <w:rFonts w:ascii="Times New Roman" w:cs="Times New Roman" w:eastAsia="Times New Roman" w:hAnsi="Times New Roman"/>
                <w:sz w:val="22"/>
                <w:szCs w:val="22"/>
                <w:color w:val="0000FF"/>
              </w:rPr>
              <w:t>11.5</w:t>
            </w:r>
          </w:p>
        </w:tc>
        <w:tc>
          <w:tcPr>
            <w:tcW w:w="7840" w:type="dxa"/>
            <w:vAlign w:val="bottom"/>
          </w:tcPr>
          <w:p>
            <w:pPr>
              <w:ind w:left="360"/>
              <w:spacing w:after="0"/>
              <w:rPr>
                <w:sz w:val="20"/>
                <w:szCs w:val="20"/>
                <w:color w:val="auto"/>
              </w:rPr>
            </w:pPr>
            <w:r>
              <w:rPr>
                <w:rFonts w:ascii="Times New Roman" w:cs="Times New Roman" w:eastAsia="Times New Roman" w:hAnsi="Times New Roman"/>
                <w:sz w:val="22"/>
                <w:szCs w:val="22"/>
                <w:color w:val="0000FF"/>
              </w:rPr>
              <w:t>Allocation of Payments After Event of Default</w:t>
            </w:r>
          </w:p>
        </w:tc>
        <w:tc>
          <w:tcPr>
            <w:tcW w:w="2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140</w:t>
            </w:r>
          </w:p>
        </w:tc>
      </w:tr>
    </w:tbl>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7" w:name="page48"/>
    <w:bookmarkEnd w:id="47"/>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900" w:type="dxa"/>
            <w:vAlign w:val="bottom"/>
          </w:tcPr>
          <w:p>
            <w:pPr>
              <w:spacing w:after="0"/>
              <w:rPr>
                <w:sz w:val="20"/>
                <w:szCs w:val="20"/>
                <w:color w:val="auto"/>
              </w:rPr>
            </w:pPr>
            <w:r>
              <w:rPr>
                <w:rFonts w:ascii="Times New Roman" w:cs="Times New Roman" w:eastAsia="Times New Roman" w:hAnsi="Times New Roman"/>
                <w:sz w:val="22"/>
                <w:szCs w:val="22"/>
                <w:color w:val="0000FF"/>
              </w:rPr>
              <w:t>XII.</w:t>
            </w:r>
          </w:p>
        </w:tc>
        <w:tc>
          <w:tcPr>
            <w:tcW w:w="9540" w:type="dxa"/>
            <w:vAlign w:val="bottom"/>
          </w:tcPr>
          <w:p>
            <w:pPr>
              <w:ind w:left="360"/>
              <w:spacing w:after="0"/>
              <w:rPr>
                <w:sz w:val="20"/>
                <w:szCs w:val="20"/>
                <w:color w:val="auto"/>
              </w:rPr>
            </w:pPr>
            <w:r>
              <w:rPr>
                <w:rFonts w:ascii="Times New Roman" w:cs="Times New Roman" w:eastAsia="Times New Roman" w:hAnsi="Times New Roman"/>
                <w:sz w:val="22"/>
                <w:szCs w:val="22"/>
                <w:color w:val="0000FF"/>
              </w:rPr>
              <w:t>WAIVERS AND JUDICIAL PROCEEDINGS.</w:t>
            </w:r>
          </w:p>
        </w:tc>
        <w:tc>
          <w:tcPr>
            <w:tcW w:w="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142</w:t>
            </w:r>
          </w:p>
        </w:tc>
      </w:tr>
      <w:tr>
        <w:trPr>
          <w:trHeight w:val="312"/>
        </w:trPr>
        <w:tc>
          <w:tcPr>
            <w:tcW w:w="900" w:type="dxa"/>
            <w:vAlign w:val="bottom"/>
          </w:tcPr>
          <w:p>
            <w:pPr>
              <w:ind w:left="40"/>
              <w:spacing w:after="0"/>
              <w:rPr>
                <w:sz w:val="20"/>
                <w:szCs w:val="20"/>
                <w:color w:val="auto"/>
              </w:rPr>
            </w:pPr>
            <w:r>
              <w:rPr>
                <w:rFonts w:ascii="Times New Roman" w:cs="Times New Roman" w:eastAsia="Times New Roman" w:hAnsi="Times New Roman"/>
                <w:sz w:val="22"/>
                <w:szCs w:val="22"/>
                <w:color w:val="0000FF"/>
              </w:rPr>
              <w:t>12.1</w:t>
            </w:r>
          </w:p>
        </w:tc>
        <w:tc>
          <w:tcPr>
            <w:tcW w:w="9540" w:type="dxa"/>
            <w:vAlign w:val="bottom"/>
          </w:tcPr>
          <w:p>
            <w:pPr>
              <w:ind w:left="360"/>
              <w:spacing w:after="0"/>
              <w:rPr>
                <w:sz w:val="20"/>
                <w:szCs w:val="20"/>
                <w:color w:val="auto"/>
              </w:rPr>
            </w:pPr>
            <w:r>
              <w:rPr>
                <w:rFonts w:ascii="Times New Roman" w:cs="Times New Roman" w:eastAsia="Times New Roman" w:hAnsi="Times New Roman"/>
                <w:sz w:val="22"/>
                <w:szCs w:val="22"/>
                <w:color w:val="0000FF"/>
              </w:rPr>
              <w:t>Waiver of Notice</w:t>
            </w:r>
          </w:p>
        </w:tc>
        <w:tc>
          <w:tcPr>
            <w:tcW w:w="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142</w:t>
            </w:r>
          </w:p>
        </w:tc>
      </w:tr>
      <w:tr>
        <w:trPr>
          <w:trHeight w:val="243"/>
        </w:trPr>
        <w:tc>
          <w:tcPr>
            <w:tcW w:w="9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0000FF"/>
              </w:rPr>
              <w:t>12.2</w:t>
            </w:r>
          </w:p>
        </w:tc>
        <w:tc>
          <w:tcPr>
            <w:tcW w:w="9540" w:type="dxa"/>
            <w:vAlign w:val="bottom"/>
          </w:tcPr>
          <w:p>
            <w:pPr>
              <w:ind w:left="360"/>
              <w:spacing w:after="0" w:line="243" w:lineRule="exact"/>
              <w:rPr>
                <w:sz w:val="20"/>
                <w:szCs w:val="20"/>
                <w:color w:val="auto"/>
              </w:rPr>
            </w:pPr>
            <w:r>
              <w:rPr>
                <w:rFonts w:ascii="Times New Roman" w:cs="Times New Roman" w:eastAsia="Times New Roman" w:hAnsi="Times New Roman"/>
                <w:sz w:val="22"/>
                <w:szCs w:val="22"/>
                <w:color w:val="0000FF"/>
              </w:rPr>
              <w:t>Delay</w:t>
            </w:r>
          </w:p>
        </w:tc>
        <w:tc>
          <w:tcPr>
            <w:tcW w:w="8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142</w:t>
            </w:r>
          </w:p>
        </w:tc>
      </w:tr>
      <w:tr>
        <w:trPr>
          <w:trHeight w:val="282"/>
        </w:trPr>
        <w:tc>
          <w:tcPr>
            <w:tcW w:w="900" w:type="dxa"/>
            <w:vAlign w:val="bottom"/>
          </w:tcPr>
          <w:p>
            <w:pPr>
              <w:ind w:left="40"/>
              <w:spacing w:after="0"/>
              <w:rPr>
                <w:sz w:val="20"/>
                <w:szCs w:val="20"/>
                <w:color w:val="auto"/>
              </w:rPr>
            </w:pPr>
            <w:r>
              <w:rPr>
                <w:rFonts w:ascii="Times New Roman" w:cs="Times New Roman" w:eastAsia="Times New Roman" w:hAnsi="Times New Roman"/>
                <w:sz w:val="22"/>
                <w:szCs w:val="22"/>
                <w:color w:val="0000FF"/>
              </w:rPr>
              <w:t>12.3</w:t>
            </w:r>
          </w:p>
        </w:tc>
        <w:tc>
          <w:tcPr>
            <w:tcW w:w="9540" w:type="dxa"/>
            <w:vAlign w:val="bottom"/>
          </w:tcPr>
          <w:p>
            <w:pPr>
              <w:ind w:left="360"/>
              <w:spacing w:after="0"/>
              <w:rPr>
                <w:sz w:val="20"/>
                <w:szCs w:val="20"/>
                <w:color w:val="auto"/>
              </w:rPr>
            </w:pPr>
            <w:r>
              <w:rPr>
                <w:rFonts w:ascii="Times New Roman" w:cs="Times New Roman" w:eastAsia="Times New Roman" w:hAnsi="Times New Roman"/>
                <w:sz w:val="22"/>
                <w:szCs w:val="22"/>
                <w:color w:val="0000FF"/>
              </w:rPr>
              <w:t>Jury Waiver</w:t>
            </w:r>
          </w:p>
        </w:tc>
        <w:tc>
          <w:tcPr>
            <w:tcW w:w="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142</w:t>
            </w:r>
          </w:p>
        </w:tc>
      </w:tr>
      <w:tr>
        <w:trPr>
          <w:trHeight w:val="351"/>
        </w:trPr>
        <w:tc>
          <w:tcPr>
            <w:tcW w:w="900" w:type="dxa"/>
            <w:vAlign w:val="bottom"/>
          </w:tcPr>
          <w:p>
            <w:pPr>
              <w:spacing w:after="0"/>
              <w:rPr>
                <w:sz w:val="20"/>
                <w:szCs w:val="20"/>
                <w:color w:val="auto"/>
              </w:rPr>
            </w:pPr>
            <w:r>
              <w:rPr>
                <w:rFonts w:ascii="Times New Roman" w:cs="Times New Roman" w:eastAsia="Times New Roman" w:hAnsi="Times New Roman"/>
                <w:sz w:val="22"/>
                <w:szCs w:val="22"/>
                <w:color w:val="0000FF"/>
              </w:rPr>
              <w:t>XIII.</w:t>
            </w:r>
          </w:p>
        </w:tc>
        <w:tc>
          <w:tcPr>
            <w:tcW w:w="9540" w:type="dxa"/>
            <w:vAlign w:val="bottom"/>
          </w:tcPr>
          <w:p>
            <w:pPr>
              <w:ind w:left="360"/>
              <w:spacing w:after="0"/>
              <w:rPr>
                <w:sz w:val="20"/>
                <w:szCs w:val="20"/>
                <w:color w:val="auto"/>
              </w:rPr>
            </w:pPr>
            <w:r>
              <w:rPr>
                <w:rFonts w:ascii="Times New Roman" w:cs="Times New Roman" w:eastAsia="Times New Roman" w:hAnsi="Times New Roman"/>
                <w:sz w:val="22"/>
                <w:szCs w:val="22"/>
                <w:color w:val="0000FF"/>
              </w:rPr>
              <w:t>EFFECTIVE DATE AND TERMINATION.</w:t>
            </w:r>
          </w:p>
        </w:tc>
        <w:tc>
          <w:tcPr>
            <w:tcW w:w="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142</w:t>
            </w:r>
          </w:p>
        </w:tc>
      </w:tr>
      <w:tr>
        <w:trPr>
          <w:trHeight w:val="312"/>
        </w:trPr>
        <w:tc>
          <w:tcPr>
            <w:tcW w:w="900" w:type="dxa"/>
            <w:vAlign w:val="bottom"/>
          </w:tcPr>
          <w:p>
            <w:pPr>
              <w:ind w:left="40"/>
              <w:spacing w:after="0"/>
              <w:rPr>
                <w:sz w:val="20"/>
                <w:szCs w:val="20"/>
                <w:color w:val="auto"/>
              </w:rPr>
            </w:pPr>
            <w:r>
              <w:rPr>
                <w:rFonts w:ascii="Times New Roman" w:cs="Times New Roman" w:eastAsia="Times New Roman" w:hAnsi="Times New Roman"/>
                <w:sz w:val="22"/>
                <w:szCs w:val="22"/>
                <w:color w:val="0000FF"/>
              </w:rPr>
              <w:t>13.1</w:t>
            </w:r>
          </w:p>
        </w:tc>
        <w:tc>
          <w:tcPr>
            <w:tcW w:w="9540" w:type="dxa"/>
            <w:vAlign w:val="bottom"/>
          </w:tcPr>
          <w:p>
            <w:pPr>
              <w:ind w:left="360"/>
              <w:spacing w:after="0"/>
              <w:rPr>
                <w:sz w:val="20"/>
                <w:szCs w:val="20"/>
                <w:color w:val="auto"/>
              </w:rPr>
            </w:pPr>
            <w:r>
              <w:rPr>
                <w:rFonts w:ascii="Times New Roman" w:cs="Times New Roman" w:eastAsia="Times New Roman" w:hAnsi="Times New Roman"/>
                <w:sz w:val="22"/>
                <w:szCs w:val="22"/>
                <w:color w:val="0000FF"/>
              </w:rPr>
              <w:t>Term</w:t>
            </w:r>
          </w:p>
        </w:tc>
        <w:tc>
          <w:tcPr>
            <w:tcW w:w="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142</w:t>
            </w:r>
          </w:p>
        </w:tc>
      </w:tr>
      <w:tr>
        <w:trPr>
          <w:trHeight w:val="282"/>
        </w:trPr>
        <w:tc>
          <w:tcPr>
            <w:tcW w:w="900" w:type="dxa"/>
            <w:vAlign w:val="bottom"/>
          </w:tcPr>
          <w:p>
            <w:pPr>
              <w:ind w:left="40"/>
              <w:spacing w:after="0"/>
              <w:rPr>
                <w:sz w:val="20"/>
                <w:szCs w:val="20"/>
                <w:color w:val="auto"/>
              </w:rPr>
            </w:pPr>
            <w:r>
              <w:rPr>
                <w:rFonts w:ascii="Times New Roman" w:cs="Times New Roman" w:eastAsia="Times New Roman" w:hAnsi="Times New Roman"/>
                <w:sz w:val="22"/>
                <w:szCs w:val="22"/>
                <w:color w:val="0000FF"/>
              </w:rPr>
              <w:t>13.2</w:t>
            </w:r>
          </w:p>
        </w:tc>
        <w:tc>
          <w:tcPr>
            <w:tcW w:w="9540" w:type="dxa"/>
            <w:vAlign w:val="bottom"/>
          </w:tcPr>
          <w:p>
            <w:pPr>
              <w:ind w:left="360"/>
              <w:spacing w:after="0"/>
              <w:rPr>
                <w:sz w:val="20"/>
                <w:szCs w:val="20"/>
                <w:color w:val="auto"/>
              </w:rPr>
            </w:pPr>
            <w:r>
              <w:rPr>
                <w:rFonts w:ascii="Times New Roman" w:cs="Times New Roman" w:eastAsia="Times New Roman" w:hAnsi="Times New Roman"/>
                <w:sz w:val="22"/>
                <w:szCs w:val="22"/>
                <w:color w:val="0000FF"/>
              </w:rPr>
              <w:t>Termination</w:t>
            </w:r>
          </w:p>
        </w:tc>
        <w:tc>
          <w:tcPr>
            <w:tcW w:w="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143</w:t>
            </w:r>
          </w:p>
        </w:tc>
      </w:tr>
      <w:tr>
        <w:trPr>
          <w:trHeight w:val="351"/>
        </w:trPr>
        <w:tc>
          <w:tcPr>
            <w:tcW w:w="900" w:type="dxa"/>
            <w:vAlign w:val="bottom"/>
          </w:tcPr>
          <w:p>
            <w:pPr>
              <w:spacing w:after="0"/>
              <w:rPr>
                <w:sz w:val="20"/>
                <w:szCs w:val="20"/>
                <w:color w:val="auto"/>
              </w:rPr>
            </w:pPr>
            <w:r>
              <w:rPr>
                <w:rFonts w:ascii="Times New Roman" w:cs="Times New Roman" w:eastAsia="Times New Roman" w:hAnsi="Times New Roman"/>
                <w:sz w:val="22"/>
                <w:szCs w:val="22"/>
                <w:color w:val="0000FF"/>
              </w:rPr>
              <w:t>XIV.</w:t>
            </w:r>
          </w:p>
        </w:tc>
        <w:tc>
          <w:tcPr>
            <w:tcW w:w="9540" w:type="dxa"/>
            <w:vAlign w:val="bottom"/>
          </w:tcPr>
          <w:p>
            <w:pPr>
              <w:ind w:left="360"/>
              <w:spacing w:after="0"/>
              <w:rPr>
                <w:sz w:val="20"/>
                <w:szCs w:val="20"/>
                <w:color w:val="auto"/>
              </w:rPr>
            </w:pPr>
            <w:r>
              <w:rPr>
                <w:rFonts w:ascii="Times New Roman" w:cs="Times New Roman" w:eastAsia="Times New Roman" w:hAnsi="Times New Roman"/>
                <w:sz w:val="22"/>
                <w:szCs w:val="22"/>
                <w:color w:val="0000FF"/>
              </w:rPr>
              <w:t>REGARDING AGENT .</w:t>
            </w:r>
          </w:p>
        </w:tc>
        <w:tc>
          <w:tcPr>
            <w:tcW w:w="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143</w:t>
            </w:r>
          </w:p>
        </w:tc>
      </w:tr>
      <w:tr>
        <w:trPr>
          <w:trHeight w:val="312"/>
        </w:trPr>
        <w:tc>
          <w:tcPr>
            <w:tcW w:w="900" w:type="dxa"/>
            <w:vAlign w:val="bottom"/>
          </w:tcPr>
          <w:p>
            <w:pPr>
              <w:ind w:left="40"/>
              <w:spacing w:after="0"/>
              <w:rPr>
                <w:sz w:val="20"/>
                <w:szCs w:val="20"/>
                <w:color w:val="auto"/>
              </w:rPr>
            </w:pPr>
            <w:r>
              <w:rPr>
                <w:rFonts w:ascii="Times New Roman" w:cs="Times New Roman" w:eastAsia="Times New Roman" w:hAnsi="Times New Roman"/>
                <w:sz w:val="22"/>
                <w:szCs w:val="22"/>
                <w:color w:val="0000FF"/>
              </w:rPr>
              <w:t>14.1</w:t>
            </w:r>
          </w:p>
        </w:tc>
        <w:tc>
          <w:tcPr>
            <w:tcW w:w="9540" w:type="dxa"/>
            <w:vAlign w:val="bottom"/>
          </w:tcPr>
          <w:p>
            <w:pPr>
              <w:ind w:left="360"/>
              <w:spacing w:after="0"/>
              <w:rPr>
                <w:sz w:val="20"/>
                <w:szCs w:val="20"/>
                <w:color w:val="auto"/>
              </w:rPr>
            </w:pPr>
            <w:r>
              <w:rPr>
                <w:rFonts w:ascii="Times New Roman" w:cs="Times New Roman" w:eastAsia="Times New Roman" w:hAnsi="Times New Roman"/>
                <w:sz w:val="22"/>
                <w:szCs w:val="22"/>
                <w:color w:val="0000FF"/>
              </w:rPr>
              <w:t>Appointment</w:t>
            </w:r>
          </w:p>
        </w:tc>
        <w:tc>
          <w:tcPr>
            <w:tcW w:w="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143</w:t>
            </w:r>
          </w:p>
        </w:tc>
      </w:tr>
      <w:tr>
        <w:trPr>
          <w:trHeight w:val="243"/>
        </w:trPr>
        <w:tc>
          <w:tcPr>
            <w:tcW w:w="9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0000FF"/>
              </w:rPr>
              <w:t>14.2</w:t>
            </w:r>
          </w:p>
        </w:tc>
        <w:tc>
          <w:tcPr>
            <w:tcW w:w="9540" w:type="dxa"/>
            <w:vAlign w:val="bottom"/>
          </w:tcPr>
          <w:p>
            <w:pPr>
              <w:ind w:left="360"/>
              <w:spacing w:after="0" w:line="243" w:lineRule="exact"/>
              <w:rPr>
                <w:sz w:val="20"/>
                <w:szCs w:val="20"/>
                <w:color w:val="auto"/>
              </w:rPr>
            </w:pPr>
            <w:r>
              <w:rPr>
                <w:rFonts w:ascii="Times New Roman" w:cs="Times New Roman" w:eastAsia="Times New Roman" w:hAnsi="Times New Roman"/>
                <w:sz w:val="22"/>
                <w:szCs w:val="22"/>
                <w:color w:val="0000FF"/>
              </w:rPr>
              <w:t>Nature of Duties</w:t>
            </w:r>
          </w:p>
        </w:tc>
        <w:tc>
          <w:tcPr>
            <w:tcW w:w="8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143</w:t>
            </w:r>
          </w:p>
        </w:tc>
      </w:tr>
      <w:tr>
        <w:trPr>
          <w:trHeight w:val="243"/>
        </w:trPr>
        <w:tc>
          <w:tcPr>
            <w:tcW w:w="9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0000FF"/>
              </w:rPr>
              <w:t>14.3</w:t>
            </w:r>
          </w:p>
        </w:tc>
        <w:tc>
          <w:tcPr>
            <w:tcW w:w="9540" w:type="dxa"/>
            <w:vAlign w:val="bottom"/>
          </w:tcPr>
          <w:p>
            <w:pPr>
              <w:ind w:left="360"/>
              <w:spacing w:after="0" w:line="243" w:lineRule="exact"/>
              <w:rPr>
                <w:sz w:val="20"/>
                <w:szCs w:val="20"/>
                <w:color w:val="auto"/>
              </w:rPr>
            </w:pPr>
            <w:r>
              <w:rPr>
                <w:rFonts w:ascii="Times New Roman" w:cs="Times New Roman" w:eastAsia="Times New Roman" w:hAnsi="Times New Roman"/>
                <w:sz w:val="22"/>
                <w:szCs w:val="22"/>
                <w:color w:val="0000FF"/>
              </w:rPr>
              <w:t>Lack of Reliance on Agent and Green Loan Coordinator</w:t>
            </w:r>
          </w:p>
        </w:tc>
        <w:tc>
          <w:tcPr>
            <w:tcW w:w="8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144</w:t>
            </w:r>
          </w:p>
        </w:tc>
      </w:tr>
      <w:tr>
        <w:trPr>
          <w:trHeight w:val="243"/>
        </w:trPr>
        <w:tc>
          <w:tcPr>
            <w:tcW w:w="9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0000FF"/>
              </w:rPr>
              <w:t>14.4</w:t>
            </w:r>
          </w:p>
        </w:tc>
        <w:tc>
          <w:tcPr>
            <w:tcW w:w="9540" w:type="dxa"/>
            <w:vAlign w:val="bottom"/>
          </w:tcPr>
          <w:p>
            <w:pPr>
              <w:ind w:left="360"/>
              <w:spacing w:after="0" w:line="243" w:lineRule="exact"/>
              <w:rPr>
                <w:sz w:val="20"/>
                <w:szCs w:val="20"/>
                <w:color w:val="auto"/>
              </w:rPr>
            </w:pPr>
            <w:r>
              <w:rPr>
                <w:rFonts w:ascii="Times New Roman" w:cs="Times New Roman" w:eastAsia="Times New Roman" w:hAnsi="Times New Roman"/>
                <w:sz w:val="22"/>
                <w:szCs w:val="22"/>
                <w:color w:val="0000FF"/>
              </w:rPr>
              <w:t>Resignation of Agent; Successor Agent</w:t>
            </w:r>
          </w:p>
        </w:tc>
        <w:tc>
          <w:tcPr>
            <w:tcW w:w="8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145</w:t>
            </w:r>
          </w:p>
        </w:tc>
      </w:tr>
      <w:tr>
        <w:trPr>
          <w:trHeight w:val="243"/>
        </w:trPr>
        <w:tc>
          <w:tcPr>
            <w:tcW w:w="9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0000FF"/>
              </w:rPr>
              <w:t>14.5</w:t>
            </w:r>
          </w:p>
        </w:tc>
        <w:tc>
          <w:tcPr>
            <w:tcW w:w="9540" w:type="dxa"/>
            <w:vAlign w:val="bottom"/>
          </w:tcPr>
          <w:p>
            <w:pPr>
              <w:ind w:left="360"/>
              <w:spacing w:after="0" w:line="243" w:lineRule="exact"/>
              <w:rPr>
                <w:sz w:val="20"/>
                <w:szCs w:val="20"/>
                <w:color w:val="auto"/>
              </w:rPr>
            </w:pPr>
            <w:r>
              <w:rPr>
                <w:rFonts w:ascii="Times New Roman" w:cs="Times New Roman" w:eastAsia="Times New Roman" w:hAnsi="Times New Roman"/>
                <w:sz w:val="22"/>
                <w:szCs w:val="22"/>
                <w:color w:val="0000FF"/>
              </w:rPr>
              <w:t>Certain Rights of Agent</w:t>
            </w:r>
          </w:p>
        </w:tc>
        <w:tc>
          <w:tcPr>
            <w:tcW w:w="8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145</w:t>
            </w:r>
          </w:p>
        </w:tc>
      </w:tr>
      <w:tr>
        <w:trPr>
          <w:trHeight w:val="243"/>
        </w:trPr>
        <w:tc>
          <w:tcPr>
            <w:tcW w:w="9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0000FF"/>
              </w:rPr>
              <w:t>14.6</w:t>
            </w:r>
          </w:p>
        </w:tc>
        <w:tc>
          <w:tcPr>
            <w:tcW w:w="9540" w:type="dxa"/>
            <w:vAlign w:val="bottom"/>
          </w:tcPr>
          <w:p>
            <w:pPr>
              <w:ind w:left="360"/>
              <w:spacing w:after="0" w:line="243" w:lineRule="exact"/>
              <w:rPr>
                <w:sz w:val="20"/>
                <w:szCs w:val="20"/>
                <w:color w:val="auto"/>
              </w:rPr>
            </w:pPr>
            <w:r>
              <w:rPr>
                <w:rFonts w:ascii="Times New Roman" w:cs="Times New Roman" w:eastAsia="Times New Roman" w:hAnsi="Times New Roman"/>
                <w:sz w:val="22"/>
                <w:szCs w:val="22"/>
                <w:color w:val="0000FF"/>
              </w:rPr>
              <w:t>Reliance</w:t>
            </w:r>
          </w:p>
        </w:tc>
        <w:tc>
          <w:tcPr>
            <w:tcW w:w="8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145</w:t>
            </w:r>
          </w:p>
        </w:tc>
      </w:tr>
      <w:tr>
        <w:trPr>
          <w:trHeight w:val="243"/>
        </w:trPr>
        <w:tc>
          <w:tcPr>
            <w:tcW w:w="9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0000FF"/>
              </w:rPr>
              <w:t>14.7</w:t>
            </w:r>
          </w:p>
        </w:tc>
        <w:tc>
          <w:tcPr>
            <w:tcW w:w="9540" w:type="dxa"/>
            <w:vAlign w:val="bottom"/>
          </w:tcPr>
          <w:p>
            <w:pPr>
              <w:ind w:left="360"/>
              <w:spacing w:after="0" w:line="243" w:lineRule="exact"/>
              <w:rPr>
                <w:sz w:val="20"/>
                <w:szCs w:val="20"/>
                <w:color w:val="auto"/>
              </w:rPr>
            </w:pPr>
            <w:r>
              <w:rPr>
                <w:rFonts w:ascii="Times New Roman" w:cs="Times New Roman" w:eastAsia="Times New Roman" w:hAnsi="Times New Roman"/>
                <w:sz w:val="22"/>
                <w:szCs w:val="22"/>
                <w:color w:val="0000FF"/>
              </w:rPr>
              <w:t>Notice of Default</w:t>
            </w:r>
          </w:p>
        </w:tc>
        <w:tc>
          <w:tcPr>
            <w:tcW w:w="8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146</w:t>
            </w:r>
          </w:p>
        </w:tc>
      </w:tr>
      <w:tr>
        <w:trPr>
          <w:trHeight w:val="243"/>
        </w:trPr>
        <w:tc>
          <w:tcPr>
            <w:tcW w:w="9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0000FF"/>
              </w:rPr>
              <w:t>14.8</w:t>
            </w:r>
          </w:p>
        </w:tc>
        <w:tc>
          <w:tcPr>
            <w:tcW w:w="9540" w:type="dxa"/>
            <w:vAlign w:val="bottom"/>
          </w:tcPr>
          <w:p>
            <w:pPr>
              <w:ind w:left="360"/>
              <w:spacing w:after="0" w:line="243" w:lineRule="exact"/>
              <w:rPr>
                <w:sz w:val="20"/>
                <w:szCs w:val="20"/>
                <w:color w:val="auto"/>
              </w:rPr>
            </w:pPr>
            <w:r>
              <w:rPr>
                <w:rFonts w:ascii="Times New Roman" w:cs="Times New Roman" w:eastAsia="Times New Roman" w:hAnsi="Times New Roman"/>
                <w:sz w:val="22"/>
                <w:szCs w:val="22"/>
                <w:color w:val="0000FF"/>
              </w:rPr>
              <w:t>Indemnification</w:t>
            </w:r>
          </w:p>
        </w:tc>
        <w:tc>
          <w:tcPr>
            <w:tcW w:w="8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146</w:t>
            </w:r>
          </w:p>
        </w:tc>
      </w:tr>
      <w:tr>
        <w:trPr>
          <w:trHeight w:val="243"/>
        </w:trPr>
        <w:tc>
          <w:tcPr>
            <w:tcW w:w="9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0000FF"/>
              </w:rPr>
              <w:t>14.9</w:t>
            </w:r>
          </w:p>
        </w:tc>
        <w:tc>
          <w:tcPr>
            <w:tcW w:w="9540" w:type="dxa"/>
            <w:vAlign w:val="bottom"/>
          </w:tcPr>
          <w:p>
            <w:pPr>
              <w:ind w:left="360"/>
              <w:spacing w:after="0" w:line="243" w:lineRule="exact"/>
              <w:rPr>
                <w:sz w:val="20"/>
                <w:szCs w:val="20"/>
                <w:color w:val="auto"/>
              </w:rPr>
            </w:pPr>
            <w:r>
              <w:rPr>
                <w:rFonts w:ascii="Times New Roman" w:cs="Times New Roman" w:eastAsia="Times New Roman" w:hAnsi="Times New Roman"/>
                <w:sz w:val="22"/>
                <w:szCs w:val="22"/>
                <w:color w:val="0000FF"/>
              </w:rPr>
              <w:t>Agent in its Individual Capacity</w:t>
            </w:r>
          </w:p>
        </w:tc>
        <w:tc>
          <w:tcPr>
            <w:tcW w:w="8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146</w:t>
            </w:r>
          </w:p>
        </w:tc>
      </w:tr>
      <w:tr>
        <w:trPr>
          <w:trHeight w:val="243"/>
        </w:trPr>
        <w:tc>
          <w:tcPr>
            <w:tcW w:w="9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0000FF"/>
              </w:rPr>
              <w:t>14.10</w:t>
            </w:r>
          </w:p>
        </w:tc>
        <w:tc>
          <w:tcPr>
            <w:tcW w:w="9540" w:type="dxa"/>
            <w:vAlign w:val="bottom"/>
          </w:tcPr>
          <w:p>
            <w:pPr>
              <w:ind w:left="360"/>
              <w:spacing w:after="0" w:line="243" w:lineRule="exact"/>
              <w:rPr>
                <w:sz w:val="20"/>
                <w:szCs w:val="20"/>
                <w:color w:val="auto"/>
              </w:rPr>
            </w:pPr>
            <w:r>
              <w:rPr>
                <w:rFonts w:ascii="Times New Roman" w:cs="Times New Roman" w:eastAsia="Times New Roman" w:hAnsi="Times New Roman"/>
                <w:sz w:val="22"/>
                <w:szCs w:val="22"/>
                <w:color w:val="0000FF"/>
              </w:rPr>
              <w:t>Delivery of Documents</w:t>
            </w:r>
          </w:p>
        </w:tc>
        <w:tc>
          <w:tcPr>
            <w:tcW w:w="8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146</w:t>
            </w:r>
          </w:p>
        </w:tc>
      </w:tr>
      <w:tr>
        <w:trPr>
          <w:trHeight w:val="243"/>
        </w:trPr>
        <w:tc>
          <w:tcPr>
            <w:tcW w:w="9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0000FF"/>
              </w:rPr>
              <w:t>14.11</w:t>
            </w:r>
          </w:p>
        </w:tc>
        <w:tc>
          <w:tcPr>
            <w:tcW w:w="9540" w:type="dxa"/>
            <w:vAlign w:val="bottom"/>
          </w:tcPr>
          <w:p>
            <w:pPr>
              <w:ind w:left="360"/>
              <w:spacing w:after="0" w:line="243" w:lineRule="exact"/>
              <w:rPr>
                <w:sz w:val="20"/>
                <w:szCs w:val="20"/>
                <w:color w:val="auto"/>
              </w:rPr>
            </w:pPr>
            <w:r>
              <w:rPr>
                <w:rFonts w:ascii="Times New Roman" w:cs="Times New Roman" w:eastAsia="Times New Roman" w:hAnsi="Times New Roman"/>
                <w:sz w:val="22"/>
                <w:szCs w:val="22"/>
                <w:color w:val="0000FF"/>
              </w:rPr>
              <w:t>Borrowers' Undertaking to Agent</w:t>
            </w:r>
          </w:p>
        </w:tc>
        <w:tc>
          <w:tcPr>
            <w:tcW w:w="8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147</w:t>
            </w:r>
          </w:p>
        </w:tc>
      </w:tr>
      <w:tr>
        <w:trPr>
          <w:trHeight w:val="243"/>
        </w:trPr>
        <w:tc>
          <w:tcPr>
            <w:tcW w:w="9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0000FF"/>
              </w:rPr>
              <w:t>14.12</w:t>
            </w:r>
          </w:p>
        </w:tc>
        <w:tc>
          <w:tcPr>
            <w:tcW w:w="9540" w:type="dxa"/>
            <w:vAlign w:val="bottom"/>
          </w:tcPr>
          <w:p>
            <w:pPr>
              <w:ind w:left="360"/>
              <w:spacing w:after="0" w:line="243" w:lineRule="exact"/>
              <w:rPr>
                <w:sz w:val="20"/>
                <w:szCs w:val="20"/>
                <w:color w:val="auto"/>
              </w:rPr>
            </w:pPr>
            <w:r>
              <w:rPr>
                <w:rFonts w:ascii="Times New Roman" w:cs="Times New Roman" w:eastAsia="Times New Roman" w:hAnsi="Times New Roman"/>
                <w:sz w:val="22"/>
                <w:szCs w:val="22"/>
                <w:color w:val="0000FF"/>
              </w:rPr>
              <w:t>No Reliance on Agent's Customer Identification Program</w:t>
            </w:r>
          </w:p>
        </w:tc>
        <w:tc>
          <w:tcPr>
            <w:tcW w:w="8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147</w:t>
            </w:r>
          </w:p>
        </w:tc>
      </w:tr>
      <w:tr>
        <w:trPr>
          <w:trHeight w:val="243"/>
        </w:trPr>
        <w:tc>
          <w:tcPr>
            <w:tcW w:w="9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0000FF"/>
              </w:rPr>
              <w:t>14.13</w:t>
            </w:r>
          </w:p>
        </w:tc>
        <w:tc>
          <w:tcPr>
            <w:tcW w:w="9540" w:type="dxa"/>
            <w:vAlign w:val="bottom"/>
          </w:tcPr>
          <w:p>
            <w:pPr>
              <w:ind w:left="360"/>
              <w:spacing w:after="0" w:line="243" w:lineRule="exact"/>
              <w:rPr>
                <w:sz w:val="20"/>
                <w:szCs w:val="20"/>
                <w:color w:val="auto"/>
              </w:rPr>
            </w:pPr>
            <w:r>
              <w:rPr>
                <w:rFonts w:ascii="Times New Roman" w:cs="Times New Roman" w:eastAsia="Times New Roman" w:hAnsi="Times New Roman"/>
                <w:sz w:val="22"/>
                <w:szCs w:val="22"/>
                <w:color w:val="0000FF"/>
              </w:rPr>
              <w:t>Other Agreements</w:t>
            </w:r>
          </w:p>
        </w:tc>
        <w:tc>
          <w:tcPr>
            <w:tcW w:w="8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147</w:t>
            </w:r>
          </w:p>
        </w:tc>
      </w:tr>
      <w:tr>
        <w:trPr>
          <w:trHeight w:val="243"/>
        </w:trPr>
        <w:tc>
          <w:tcPr>
            <w:tcW w:w="9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0000FF"/>
              </w:rPr>
              <w:t>14.14</w:t>
            </w:r>
          </w:p>
        </w:tc>
        <w:tc>
          <w:tcPr>
            <w:tcW w:w="9540" w:type="dxa"/>
            <w:vAlign w:val="bottom"/>
          </w:tcPr>
          <w:p>
            <w:pPr>
              <w:ind w:left="360"/>
              <w:spacing w:after="0" w:line="243" w:lineRule="exact"/>
              <w:rPr>
                <w:sz w:val="20"/>
                <w:szCs w:val="20"/>
                <w:color w:val="auto"/>
              </w:rPr>
            </w:pPr>
            <w:r>
              <w:rPr>
                <w:rFonts w:ascii="Times New Roman" w:cs="Times New Roman" w:eastAsia="Times New Roman" w:hAnsi="Times New Roman"/>
                <w:sz w:val="22"/>
                <w:szCs w:val="22"/>
                <w:color w:val="0000FF"/>
              </w:rPr>
              <w:t>Collateral Matters.</w:t>
            </w:r>
          </w:p>
        </w:tc>
        <w:tc>
          <w:tcPr>
            <w:tcW w:w="8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147</w:t>
            </w:r>
          </w:p>
        </w:tc>
      </w:tr>
      <w:tr>
        <w:trPr>
          <w:trHeight w:val="243"/>
        </w:trPr>
        <w:tc>
          <w:tcPr>
            <w:tcW w:w="9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0000FF"/>
              </w:rPr>
              <w:t>14.15</w:t>
            </w:r>
          </w:p>
        </w:tc>
        <w:tc>
          <w:tcPr>
            <w:tcW w:w="9540" w:type="dxa"/>
            <w:vAlign w:val="bottom"/>
          </w:tcPr>
          <w:p>
            <w:pPr>
              <w:ind w:left="360"/>
              <w:spacing w:after="0" w:line="243" w:lineRule="exact"/>
              <w:rPr>
                <w:sz w:val="20"/>
                <w:szCs w:val="20"/>
                <w:color w:val="auto"/>
              </w:rPr>
            </w:pPr>
            <w:r>
              <w:rPr>
                <w:rFonts w:ascii="Times New Roman" w:cs="Times New Roman" w:eastAsia="Times New Roman" w:hAnsi="Times New Roman"/>
                <w:sz w:val="22"/>
                <w:szCs w:val="22"/>
                <w:color w:val="0000FF"/>
              </w:rPr>
              <w:t>Field Examination Reports; Confidentiality; Disclaimers by Lenders; Other Reports and Information</w:t>
            </w:r>
          </w:p>
        </w:tc>
        <w:tc>
          <w:tcPr>
            <w:tcW w:w="8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149</w:t>
            </w:r>
          </w:p>
        </w:tc>
      </w:tr>
      <w:tr>
        <w:trPr>
          <w:trHeight w:val="243"/>
        </w:trPr>
        <w:tc>
          <w:tcPr>
            <w:tcW w:w="9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0000FF"/>
              </w:rPr>
              <w:t>14.16</w:t>
            </w:r>
          </w:p>
        </w:tc>
        <w:tc>
          <w:tcPr>
            <w:tcW w:w="9540" w:type="dxa"/>
            <w:vAlign w:val="bottom"/>
          </w:tcPr>
          <w:p>
            <w:pPr>
              <w:ind w:left="360"/>
              <w:spacing w:after="0" w:line="243" w:lineRule="exact"/>
              <w:rPr>
                <w:sz w:val="20"/>
                <w:szCs w:val="20"/>
                <w:color w:val="auto"/>
              </w:rPr>
            </w:pPr>
            <w:r>
              <w:rPr>
                <w:rFonts w:ascii="Times New Roman" w:cs="Times New Roman" w:eastAsia="Times New Roman" w:hAnsi="Times New Roman"/>
                <w:sz w:val="22"/>
                <w:szCs w:val="22"/>
                <w:color w:val="0000FF"/>
              </w:rPr>
              <w:t>Several Obligations; No Liability</w:t>
            </w:r>
          </w:p>
        </w:tc>
        <w:tc>
          <w:tcPr>
            <w:tcW w:w="8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150</w:t>
            </w:r>
          </w:p>
        </w:tc>
      </w:tr>
      <w:tr>
        <w:trPr>
          <w:trHeight w:val="243"/>
        </w:trPr>
        <w:tc>
          <w:tcPr>
            <w:tcW w:w="9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0000FF"/>
              </w:rPr>
              <w:t>14.17</w:t>
            </w:r>
          </w:p>
        </w:tc>
        <w:tc>
          <w:tcPr>
            <w:tcW w:w="9540" w:type="dxa"/>
            <w:vAlign w:val="bottom"/>
          </w:tcPr>
          <w:p>
            <w:pPr>
              <w:ind w:left="360"/>
              <w:spacing w:after="0" w:line="243" w:lineRule="exact"/>
              <w:rPr>
                <w:sz w:val="20"/>
                <w:szCs w:val="20"/>
                <w:color w:val="auto"/>
              </w:rPr>
            </w:pPr>
            <w:r>
              <w:rPr>
                <w:rFonts w:ascii="Times New Roman" w:cs="Times New Roman" w:eastAsia="Times New Roman" w:hAnsi="Times New Roman"/>
                <w:sz w:val="22"/>
                <w:szCs w:val="22"/>
                <w:color w:val="0000FF"/>
              </w:rPr>
              <w:t>Bank Product Providers</w:t>
            </w:r>
          </w:p>
        </w:tc>
        <w:tc>
          <w:tcPr>
            <w:tcW w:w="8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150</w:t>
            </w:r>
          </w:p>
        </w:tc>
      </w:tr>
      <w:tr>
        <w:trPr>
          <w:trHeight w:val="282"/>
        </w:trPr>
        <w:tc>
          <w:tcPr>
            <w:tcW w:w="900" w:type="dxa"/>
            <w:vAlign w:val="bottom"/>
          </w:tcPr>
          <w:p>
            <w:pPr>
              <w:ind w:left="40"/>
              <w:spacing w:after="0"/>
              <w:rPr>
                <w:sz w:val="20"/>
                <w:szCs w:val="20"/>
                <w:color w:val="auto"/>
              </w:rPr>
            </w:pPr>
            <w:r>
              <w:rPr>
                <w:rFonts w:ascii="Times New Roman" w:cs="Times New Roman" w:eastAsia="Times New Roman" w:hAnsi="Times New Roman"/>
                <w:sz w:val="22"/>
                <w:szCs w:val="22"/>
                <w:color w:val="0000FF"/>
              </w:rPr>
              <w:t>14.18</w:t>
            </w:r>
          </w:p>
        </w:tc>
        <w:tc>
          <w:tcPr>
            <w:tcW w:w="9540" w:type="dxa"/>
            <w:vAlign w:val="bottom"/>
          </w:tcPr>
          <w:p>
            <w:pPr>
              <w:ind w:left="360"/>
              <w:spacing w:after="0"/>
              <w:rPr>
                <w:sz w:val="20"/>
                <w:szCs w:val="20"/>
                <w:color w:val="auto"/>
              </w:rPr>
            </w:pPr>
            <w:r>
              <w:rPr>
                <w:rFonts w:ascii="Times New Roman" w:cs="Times New Roman" w:eastAsia="Times New Roman" w:hAnsi="Times New Roman"/>
                <w:sz w:val="22"/>
                <w:szCs w:val="22"/>
                <w:color w:val="0000FF"/>
              </w:rPr>
              <w:t>Intercreditor Agreements and Equipment Utilization Agreements</w:t>
            </w:r>
          </w:p>
        </w:tc>
        <w:tc>
          <w:tcPr>
            <w:tcW w:w="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151</w:t>
            </w:r>
          </w:p>
        </w:tc>
      </w:tr>
      <w:tr>
        <w:trPr>
          <w:trHeight w:val="351"/>
        </w:trPr>
        <w:tc>
          <w:tcPr>
            <w:tcW w:w="900" w:type="dxa"/>
            <w:vAlign w:val="bottom"/>
          </w:tcPr>
          <w:p>
            <w:pPr>
              <w:spacing w:after="0"/>
              <w:rPr>
                <w:sz w:val="20"/>
                <w:szCs w:val="20"/>
                <w:color w:val="auto"/>
              </w:rPr>
            </w:pPr>
            <w:r>
              <w:rPr>
                <w:rFonts w:ascii="Times New Roman" w:cs="Times New Roman" w:eastAsia="Times New Roman" w:hAnsi="Times New Roman"/>
                <w:sz w:val="22"/>
                <w:szCs w:val="22"/>
                <w:color w:val="0000FF"/>
              </w:rPr>
              <w:t>XV.</w:t>
            </w:r>
          </w:p>
        </w:tc>
        <w:tc>
          <w:tcPr>
            <w:tcW w:w="9540" w:type="dxa"/>
            <w:vAlign w:val="bottom"/>
          </w:tcPr>
          <w:p>
            <w:pPr>
              <w:ind w:left="360"/>
              <w:spacing w:after="0"/>
              <w:rPr>
                <w:sz w:val="20"/>
                <w:szCs w:val="20"/>
                <w:color w:val="auto"/>
              </w:rPr>
            </w:pPr>
            <w:r>
              <w:rPr>
                <w:rFonts w:ascii="Times New Roman" w:cs="Times New Roman" w:eastAsia="Times New Roman" w:hAnsi="Times New Roman"/>
                <w:sz w:val="22"/>
                <w:szCs w:val="22"/>
                <w:color w:val="0000FF"/>
              </w:rPr>
              <w:t>BORROWING AGENCY.</w:t>
            </w:r>
          </w:p>
        </w:tc>
        <w:tc>
          <w:tcPr>
            <w:tcW w:w="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151</w:t>
            </w:r>
          </w:p>
        </w:tc>
      </w:tr>
      <w:tr>
        <w:trPr>
          <w:trHeight w:val="312"/>
        </w:trPr>
        <w:tc>
          <w:tcPr>
            <w:tcW w:w="900" w:type="dxa"/>
            <w:vAlign w:val="bottom"/>
          </w:tcPr>
          <w:p>
            <w:pPr>
              <w:ind w:left="40"/>
              <w:spacing w:after="0"/>
              <w:rPr>
                <w:sz w:val="20"/>
                <w:szCs w:val="20"/>
                <w:color w:val="auto"/>
              </w:rPr>
            </w:pPr>
            <w:r>
              <w:rPr>
                <w:rFonts w:ascii="Times New Roman" w:cs="Times New Roman" w:eastAsia="Times New Roman" w:hAnsi="Times New Roman"/>
                <w:sz w:val="22"/>
                <w:szCs w:val="22"/>
                <w:color w:val="0000FF"/>
              </w:rPr>
              <w:t>15.1</w:t>
            </w:r>
          </w:p>
        </w:tc>
        <w:tc>
          <w:tcPr>
            <w:tcW w:w="9540" w:type="dxa"/>
            <w:vAlign w:val="bottom"/>
          </w:tcPr>
          <w:p>
            <w:pPr>
              <w:ind w:left="360"/>
              <w:spacing w:after="0"/>
              <w:rPr>
                <w:sz w:val="20"/>
                <w:szCs w:val="20"/>
                <w:color w:val="auto"/>
              </w:rPr>
            </w:pPr>
            <w:r>
              <w:rPr>
                <w:rFonts w:ascii="Times New Roman" w:cs="Times New Roman" w:eastAsia="Times New Roman" w:hAnsi="Times New Roman"/>
                <w:sz w:val="22"/>
                <w:szCs w:val="22"/>
                <w:color w:val="0000FF"/>
              </w:rPr>
              <w:t>Borrowing Agency Provisions; Joint and Several Liability.</w:t>
            </w:r>
          </w:p>
        </w:tc>
        <w:tc>
          <w:tcPr>
            <w:tcW w:w="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151</w:t>
            </w:r>
          </w:p>
        </w:tc>
      </w:tr>
      <w:tr>
        <w:trPr>
          <w:trHeight w:val="282"/>
        </w:trPr>
        <w:tc>
          <w:tcPr>
            <w:tcW w:w="900" w:type="dxa"/>
            <w:vAlign w:val="bottom"/>
          </w:tcPr>
          <w:p>
            <w:pPr>
              <w:ind w:left="40"/>
              <w:spacing w:after="0"/>
              <w:rPr>
                <w:sz w:val="20"/>
                <w:szCs w:val="20"/>
                <w:color w:val="auto"/>
              </w:rPr>
            </w:pPr>
            <w:r>
              <w:rPr>
                <w:rFonts w:ascii="Times New Roman" w:cs="Times New Roman" w:eastAsia="Times New Roman" w:hAnsi="Times New Roman"/>
                <w:sz w:val="22"/>
                <w:szCs w:val="22"/>
                <w:color w:val="0000FF"/>
              </w:rPr>
              <w:t>15.2</w:t>
            </w:r>
          </w:p>
        </w:tc>
        <w:tc>
          <w:tcPr>
            <w:tcW w:w="9540" w:type="dxa"/>
            <w:vAlign w:val="bottom"/>
          </w:tcPr>
          <w:p>
            <w:pPr>
              <w:ind w:left="360"/>
              <w:spacing w:after="0"/>
              <w:rPr>
                <w:sz w:val="20"/>
                <w:szCs w:val="20"/>
                <w:color w:val="auto"/>
              </w:rPr>
            </w:pPr>
            <w:r>
              <w:rPr>
                <w:rFonts w:ascii="Times New Roman" w:cs="Times New Roman" w:eastAsia="Times New Roman" w:hAnsi="Times New Roman"/>
                <w:sz w:val="22"/>
                <w:szCs w:val="22"/>
                <w:color w:val="0000FF"/>
              </w:rPr>
              <w:t>Waiver of Subrogation</w:t>
            </w:r>
          </w:p>
        </w:tc>
        <w:tc>
          <w:tcPr>
            <w:tcW w:w="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154</w:t>
            </w:r>
          </w:p>
        </w:tc>
      </w:tr>
      <w:tr>
        <w:trPr>
          <w:trHeight w:val="351"/>
        </w:trPr>
        <w:tc>
          <w:tcPr>
            <w:tcW w:w="900" w:type="dxa"/>
            <w:vAlign w:val="bottom"/>
          </w:tcPr>
          <w:p>
            <w:pPr>
              <w:spacing w:after="0"/>
              <w:rPr>
                <w:sz w:val="20"/>
                <w:szCs w:val="20"/>
                <w:color w:val="auto"/>
              </w:rPr>
            </w:pPr>
            <w:r>
              <w:rPr>
                <w:rFonts w:ascii="Times New Roman" w:cs="Times New Roman" w:eastAsia="Times New Roman" w:hAnsi="Times New Roman"/>
                <w:sz w:val="22"/>
                <w:szCs w:val="22"/>
                <w:color w:val="0000FF"/>
              </w:rPr>
              <w:t>XVI.</w:t>
            </w:r>
          </w:p>
        </w:tc>
        <w:tc>
          <w:tcPr>
            <w:tcW w:w="9540" w:type="dxa"/>
            <w:vAlign w:val="bottom"/>
          </w:tcPr>
          <w:p>
            <w:pPr>
              <w:ind w:left="360"/>
              <w:spacing w:after="0"/>
              <w:rPr>
                <w:sz w:val="20"/>
                <w:szCs w:val="20"/>
                <w:color w:val="auto"/>
              </w:rPr>
            </w:pPr>
            <w:r>
              <w:rPr>
                <w:rFonts w:ascii="Times New Roman" w:cs="Times New Roman" w:eastAsia="Times New Roman" w:hAnsi="Times New Roman"/>
                <w:sz w:val="22"/>
                <w:szCs w:val="22"/>
                <w:color w:val="0000FF"/>
              </w:rPr>
              <w:t>MISCELLANEOUS.</w:t>
            </w:r>
          </w:p>
        </w:tc>
        <w:tc>
          <w:tcPr>
            <w:tcW w:w="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154</w:t>
            </w:r>
          </w:p>
        </w:tc>
      </w:tr>
      <w:tr>
        <w:trPr>
          <w:trHeight w:val="312"/>
        </w:trPr>
        <w:tc>
          <w:tcPr>
            <w:tcW w:w="900" w:type="dxa"/>
            <w:vAlign w:val="bottom"/>
          </w:tcPr>
          <w:p>
            <w:pPr>
              <w:ind w:left="40"/>
              <w:spacing w:after="0"/>
              <w:rPr>
                <w:sz w:val="20"/>
                <w:szCs w:val="20"/>
                <w:color w:val="auto"/>
              </w:rPr>
            </w:pPr>
            <w:r>
              <w:rPr>
                <w:rFonts w:ascii="Times New Roman" w:cs="Times New Roman" w:eastAsia="Times New Roman" w:hAnsi="Times New Roman"/>
                <w:sz w:val="22"/>
                <w:szCs w:val="22"/>
                <w:color w:val="0000FF"/>
              </w:rPr>
              <w:t>16.1</w:t>
            </w:r>
          </w:p>
        </w:tc>
        <w:tc>
          <w:tcPr>
            <w:tcW w:w="9540" w:type="dxa"/>
            <w:vAlign w:val="bottom"/>
          </w:tcPr>
          <w:p>
            <w:pPr>
              <w:ind w:left="360"/>
              <w:spacing w:after="0"/>
              <w:rPr>
                <w:sz w:val="20"/>
                <w:szCs w:val="20"/>
                <w:color w:val="auto"/>
              </w:rPr>
            </w:pPr>
            <w:r>
              <w:rPr>
                <w:rFonts w:ascii="Times New Roman" w:cs="Times New Roman" w:eastAsia="Times New Roman" w:hAnsi="Times New Roman"/>
                <w:sz w:val="22"/>
                <w:szCs w:val="22"/>
                <w:color w:val="0000FF"/>
              </w:rPr>
              <w:t>Governing Law</w:t>
            </w:r>
          </w:p>
        </w:tc>
        <w:tc>
          <w:tcPr>
            <w:tcW w:w="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154</w:t>
            </w:r>
          </w:p>
        </w:tc>
      </w:tr>
      <w:tr>
        <w:trPr>
          <w:trHeight w:val="243"/>
        </w:trPr>
        <w:tc>
          <w:tcPr>
            <w:tcW w:w="9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0000FF"/>
              </w:rPr>
              <w:t>16.2</w:t>
            </w:r>
          </w:p>
        </w:tc>
        <w:tc>
          <w:tcPr>
            <w:tcW w:w="9540" w:type="dxa"/>
            <w:vAlign w:val="bottom"/>
          </w:tcPr>
          <w:p>
            <w:pPr>
              <w:ind w:left="360"/>
              <w:spacing w:after="0" w:line="243" w:lineRule="exact"/>
              <w:rPr>
                <w:sz w:val="20"/>
                <w:szCs w:val="20"/>
                <w:color w:val="auto"/>
              </w:rPr>
            </w:pPr>
            <w:r>
              <w:rPr>
                <w:rFonts w:ascii="Times New Roman" w:cs="Times New Roman" w:eastAsia="Times New Roman" w:hAnsi="Times New Roman"/>
                <w:sz w:val="22"/>
                <w:szCs w:val="22"/>
                <w:color w:val="0000FF"/>
              </w:rPr>
              <w:t>Entire Understanding.</w:t>
            </w:r>
          </w:p>
        </w:tc>
        <w:tc>
          <w:tcPr>
            <w:tcW w:w="8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154</w:t>
            </w:r>
          </w:p>
        </w:tc>
      </w:tr>
      <w:tr>
        <w:trPr>
          <w:trHeight w:val="243"/>
        </w:trPr>
        <w:tc>
          <w:tcPr>
            <w:tcW w:w="9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0000FF"/>
              </w:rPr>
              <w:t>16.3</w:t>
            </w:r>
          </w:p>
        </w:tc>
        <w:tc>
          <w:tcPr>
            <w:tcW w:w="9540" w:type="dxa"/>
            <w:vAlign w:val="bottom"/>
          </w:tcPr>
          <w:p>
            <w:pPr>
              <w:ind w:left="360"/>
              <w:spacing w:after="0" w:line="243" w:lineRule="exact"/>
              <w:rPr>
                <w:sz w:val="20"/>
                <w:szCs w:val="20"/>
                <w:color w:val="auto"/>
              </w:rPr>
            </w:pPr>
            <w:r>
              <w:rPr>
                <w:rFonts w:ascii="Times New Roman" w:cs="Times New Roman" w:eastAsia="Times New Roman" w:hAnsi="Times New Roman"/>
                <w:sz w:val="22"/>
                <w:szCs w:val="22"/>
                <w:color w:val="0000FF"/>
              </w:rPr>
              <w:t>Successors and Assigns; Participations; New Lenders.</w:t>
            </w:r>
          </w:p>
        </w:tc>
        <w:tc>
          <w:tcPr>
            <w:tcW w:w="8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158</w:t>
            </w:r>
          </w:p>
        </w:tc>
      </w:tr>
      <w:tr>
        <w:trPr>
          <w:trHeight w:val="243"/>
        </w:trPr>
        <w:tc>
          <w:tcPr>
            <w:tcW w:w="9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0000FF"/>
              </w:rPr>
              <w:t>16.4</w:t>
            </w:r>
          </w:p>
        </w:tc>
        <w:tc>
          <w:tcPr>
            <w:tcW w:w="9540" w:type="dxa"/>
            <w:vAlign w:val="bottom"/>
          </w:tcPr>
          <w:p>
            <w:pPr>
              <w:ind w:left="360"/>
              <w:spacing w:after="0" w:line="243" w:lineRule="exact"/>
              <w:rPr>
                <w:sz w:val="20"/>
                <w:szCs w:val="20"/>
                <w:color w:val="auto"/>
              </w:rPr>
            </w:pPr>
            <w:r>
              <w:rPr>
                <w:rFonts w:ascii="Times New Roman" w:cs="Times New Roman" w:eastAsia="Times New Roman" w:hAnsi="Times New Roman"/>
                <w:sz w:val="22"/>
                <w:szCs w:val="22"/>
                <w:color w:val="0000FF"/>
              </w:rPr>
              <w:t>Application of Payments</w:t>
            </w:r>
          </w:p>
        </w:tc>
        <w:tc>
          <w:tcPr>
            <w:tcW w:w="8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161</w:t>
            </w:r>
          </w:p>
        </w:tc>
      </w:tr>
      <w:tr>
        <w:trPr>
          <w:trHeight w:val="243"/>
        </w:trPr>
        <w:tc>
          <w:tcPr>
            <w:tcW w:w="9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0000FF"/>
              </w:rPr>
              <w:t>16.5</w:t>
            </w:r>
          </w:p>
        </w:tc>
        <w:tc>
          <w:tcPr>
            <w:tcW w:w="9540" w:type="dxa"/>
            <w:vAlign w:val="bottom"/>
          </w:tcPr>
          <w:p>
            <w:pPr>
              <w:ind w:left="360"/>
              <w:spacing w:after="0" w:line="243" w:lineRule="exact"/>
              <w:rPr>
                <w:sz w:val="20"/>
                <w:szCs w:val="20"/>
                <w:color w:val="auto"/>
              </w:rPr>
            </w:pPr>
            <w:r>
              <w:rPr>
                <w:rFonts w:ascii="Times New Roman" w:cs="Times New Roman" w:eastAsia="Times New Roman" w:hAnsi="Times New Roman"/>
                <w:sz w:val="22"/>
                <w:szCs w:val="22"/>
                <w:color w:val="0000FF"/>
              </w:rPr>
              <w:t>Indemnity</w:t>
            </w:r>
          </w:p>
        </w:tc>
        <w:tc>
          <w:tcPr>
            <w:tcW w:w="8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161</w:t>
            </w:r>
          </w:p>
        </w:tc>
      </w:tr>
      <w:tr>
        <w:trPr>
          <w:trHeight w:val="243"/>
        </w:trPr>
        <w:tc>
          <w:tcPr>
            <w:tcW w:w="9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0000FF"/>
              </w:rPr>
              <w:t>16.6</w:t>
            </w:r>
          </w:p>
        </w:tc>
        <w:tc>
          <w:tcPr>
            <w:tcW w:w="9540" w:type="dxa"/>
            <w:vAlign w:val="bottom"/>
          </w:tcPr>
          <w:p>
            <w:pPr>
              <w:ind w:left="360"/>
              <w:spacing w:after="0" w:line="243" w:lineRule="exact"/>
              <w:rPr>
                <w:sz w:val="20"/>
                <w:szCs w:val="20"/>
                <w:color w:val="auto"/>
              </w:rPr>
            </w:pPr>
            <w:r>
              <w:rPr>
                <w:rFonts w:ascii="Times New Roman" w:cs="Times New Roman" w:eastAsia="Times New Roman" w:hAnsi="Times New Roman"/>
                <w:sz w:val="22"/>
                <w:szCs w:val="22"/>
                <w:color w:val="0000FF"/>
              </w:rPr>
              <w:t>Notice</w:t>
            </w:r>
          </w:p>
        </w:tc>
        <w:tc>
          <w:tcPr>
            <w:tcW w:w="8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163</w:t>
            </w:r>
          </w:p>
        </w:tc>
      </w:tr>
      <w:tr>
        <w:trPr>
          <w:trHeight w:val="243"/>
        </w:trPr>
        <w:tc>
          <w:tcPr>
            <w:tcW w:w="9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0000FF"/>
              </w:rPr>
              <w:t>16.7</w:t>
            </w:r>
          </w:p>
        </w:tc>
        <w:tc>
          <w:tcPr>
            <w:tcW w:w="9540" w:type="dxa"/>
            <w:vAlign w:val="bottom"/>
          </w:tcPr>
          <w:p>
            <w:pPr>
              <w:ind w:left="360"/>
              <w:spacing w:after="0" w:line="243" w:lineRule="exact"/>
              <w:rPr>
                <w:sz w:val="20"/>
                <w:szCs w:val="20"/>
                <w:color w:val="auto"/>
              </w:rPr>
            </w:pPr>
            <w:r>
              <w:rPr>
                <w:rFonts w:ascii="Times New Roman" w:cs="Times New Roman" w:eastAsia="Times New Roman" w:hAnsi="Times New Roman"/>
                <w:sz w:val="22"/>
                <w:szCs w:val="22"/>
                <w:color w:val="0000FF"/>
              </w:rPr>
              <w:t>Survival</w:t>
            </w:r>
          </w:p>
        </w:tc>
        <w:tc>
          <w:tcPr>
            <w:tcW w:w="8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165</w:t>
            </w:r>
          </w:p>
        </w:tc>
      </w:tr>
      <w:tr>
        <w:trPr>
          <w:trHeight w:val="243"/>
        </w:trPr>
        <w:tc>
          <w:tcPr>
            <w:tcW w:w="9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0000FF"/>
              </w:rPr>
              <w:t>16.8</w:t>
            </w:r>
          </w:p>
        </w:tc>
        <w:tc>
          <w:tcPr>
            <w:tcW w:w="9540" w:type="dxa"/>
            <w:vAlign w:val="bottom"/>
          </w:tcPr>
          <w:p>
            <w:pPr>
              <w:ind w:left="360"/>
              <w:spacing w:after="0" w:line="243" w:lineRule="exact"/>
              <w:rPr>
                <w:sz w:val="20"/>
                <w:szCs w:val="20"/>
                <w:color w:val="auto"/>
              </w:rPr>
            </w:pPr>
            <w:r>
              <w:rPr>
                <w:rFonts w:ascii="Times New Roman" w:cs="Times New Roman" w:eastAsia="Times New Roman" w:hAnsi="Times New Roman"/>
                <w:sz w:val="22"/>
                <w:szCs w:val="22"/>
                <w:color w:val="0000FF"/>
              </w:rPr>
              <w:t>Severability</w:t>
            </w:r>
          </w:p>
        </w:tc>
        <w:tc>
          <w:tcPr>
            <w:tcW w:w="8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165</w:t>
            </w:r>
          </w:p>
        </w:tc>
      </w:tr>
      <w:tr>
        <w:trPr>
          <w:trHeight w:val="243"/>
        </w:trPr>
        <w:tc>
          <w:tcPr>
            <w:tcW w:w="9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0000FF"/>
              </w:rPr>
              <w:t>16.9</w:t>
            </w:r>
          </w:p>
        </w:tc>
        <w:tc>
          <w:tcPr>
            <w:tcW w:w="9540" w:type="dxa"/>
            <w:vAlign w:val="bottom"/>
          </w:tcPr>
          <w:p>
            <w:pPr>
              <w:ind w:left="360"/>
              <w:spacing w:after="0" w:line="243" w:lineRule="exact"/>
              <w:rPr>
                <w:sz w:val="20"/>
                <w:szCs w:val="20"/>
                <w:color w:val="auto"/>
              </w:rPr>
            </w:pPr>
            <w:r>
              <w:rPr>
                <w:rFonts w:ascii="Times New Roman" w:cs="Times New Roman" w:eastAsia="Times New Roman" w:hAnsi="Times New Roman"/>
                <w:sz w:val="22"/>
                <w:szCs w:val="22"/>
                <w:color w:val="0000FF"/>
              </w:rPr>
              <w:t>Expenses</w:t>
            </w:r>
          </w:p>
        </w:tc>
        <w:tc>
          <w:tcPr>
            <w:tcW w:w="8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165</w:t>
            </w:r>
          </w:p>
        </w:tc>
      </w:tr>
      <w:tr>
        <w:trPr>
          <w:trHeight w:val="243"/>
        </w:trPr>
        <w:tc>
          <w:tcPr>
            <w:tcW w:w="9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0000FF"/>
              </w:rPr>
              <w:t>16.10</w:t>
            </w:r>
          </w:p>
        </w:tc>
        <w:tc>
          <w:tcPr>
            <w:tcW w:w="9540" w:type="dxa"/>
            <w:vAlign w:val="bottom"/>
          </w:tcPr>
          <w:p>
            <w:pPr>
              <w:ind w:left="360"/>
              <w:spacing w:after="0" w:line="243" w:lineRule="exact"/>
              <w:rPr>
                <w:sz w:val="20"/>
                <w:szCs w:val="20"/>
                <w:color w:val="auto"/>
              </w:rPr>
            </w:pPr>
            <w:r>
              <w:rPr>
                <w:rFonts w:ascii="Times New Roman" w:cs="Times New Roman" w:eastAsia="Times New Roman" w:hAnsi="Times New Roman"/>
                <w:sz w:val="22"/>
                <w:szCs w:val="22"/>
                <w:color w:val="0000FF"/>
              </w:rPr>
              <w:t>Injunctive Relief</w:t>
            </w:r>
          </w:p>
        </w:tc>
        <w:tc>
          <w:tcPr>
            <w:tcW w:w="8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166</w:t>
            </w:r>
          </w:p>
        </w:tc>
      </w:tr>
      <w:tr>
        <w:trPr>
          <w:trHeight w:val="282"/>
        </w:trPr>
        <w:tc>
          <w:tcPr>
            <w:tcW w:w="900" w:type="dxa"/>
            <w:vAlign w:val="bottom"/>
          </w:tcPr>
          <w:p>
            <w:pPr>
              <w:ind w:left="40"/>
              <w:spacing w:after="0"/>
              <w:rPr>
                <w:sz w:val="20"/>
                <w:szCs w:val="20"/>
                <w:color w:val="auto"/>
              </w:rPr>
            </w:pPr>
            <w:r>
              <w:rPr>
                <w:rFonts w:ascii="Times New Roman" w:cs="Times New Roman" w:eastAsia="Times New Roman" w:hAnsi="Times New Roman"/>
                <w:sz w:val="22"/>
                <w:szCs w:val="22"/>
                <w:color w:val="0000FF"/>
              </w:rPr>
              <w:t>16.11</w:t>
            </w:r>
          </w:p>
        </w:tc>
        <w:tc>
          <w:tcPr>
            <w:tcW w:w="9540" w:type="dxa"/>
            <w:vAlign w:val="bottom"/>
          </w:tcPr>
          <w:p>
            <w:pPr>
              <w:ind w:left="360"/>
              <w:spacing w:after="0"/>
              <w:rPr>
                <w:sz w:val="20"/>
                <w:szCs w:val="20"/>
                <w:color w:val="auto"/>
              </w:rPr>
            </w:pPr>
            <w:r>
              <w:rPr>
                <w:rFonts w:ascii="Times New Roman" w:cs="Times New Roman" w:eastAsia="Times New Roman" w:hAnsi="Times New Roman"/>
                <w:sz w:val="22"/>
                <w:szCs w:val="22"/>
                <w:color w:val="0000FF"/>
              </w:rPr>
              <w:t>Consequential Damages</w:t>
            </w:r>
          </w:p>
        </w:tc>
        <w:tc>
          <w:tcPr>
            <w:tcW w:w="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166</w:t>
            </w:r>
          </w:p>
        </w:tc>
      </w:tr>
    </w:tbl>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253"/>
        </w:trPr>
        <w:tc>
          <w:tcPr>
            <w:tcW w:w="860" w:type="dxa"/>
            <w:vAlign w:val="bottom"/>
          </w:tcPr>
          <w:p>
            <w:pPr>
              <w:jc w:val="right"/>
              <w:ind w:right="252"/>
              <w:spacing w:after="0"/>
              <w:rPr>
                <w:sz w:val="20"/>
                <w:szCs w:val="20"/>
                <w:color w:val="auto"/>
              </w:rPr>
            </w:pPr>
            <w:r>
              <w:rPr>
                <w:rFonts w:ascii="Times New Roman" w:cs="Times New Roman" w:eastAsia="Times New Roman" w:hAnsi="Times New Roman"/>
                <w:sz w:val="22"/>
                <w:szCs w:val="22"/>
                <w:color w:val="0000FF"/>
                <w:w w:val="96"/>
              </w:rPr>
              <w:t>16.12</w:t>
            </w:r>
          </w:p>
        </w:tc>
        <w:tc>
          <w:tcPr>
            <w:tcW w:w="8420" w:type="dxa"/>
            <w:vAlign w:val="bottom"/>
          </w:tcPr>
          <w:p>
            <w:pPr>
              <w:ind w:left="360"/>
              <w:spacing w:after="0"/>
              <w:rPr>
                <w:sz w:val="20"/>
                <w:szCs w:val="20"/>
                <w:color w:val="auto"/>
              </w:rPr>
            </w:pPr>
            <w:r>
              <w:rPr>
                <w:rFonts w:ascii="Times New Roman" w:cs="Times New Roman" w:eastAsia="Times New Roman" w:hAnsi="Times New Roman"/>
                <w:sz w:val="22"/>
                <w:szCs w:val="22"/>
                <w:color w:val="0000FF"/>
              </w:rPr>
              <w:t>Captions</w:t>
            </w:r>
          </w:p>
        </w:tc>
        <w:tc>
          <w:tcPr>
            <w:tcW w:w="19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166</w:t>
            </w:r>
          </w:p>
        </w:tc>
      </w:tr>
      <w:tr>
        <w:trPr>
          <w:trHeight w:val="243"/>
        </w:trPr>
        <w:tc>
          <w:tcPr>
            <w:tcW w:w="860" w:type="dxa"/>
            <w:vAlign w:val="bottom"/>
          </w:tcPr>
          <w:p>
            <w:pPr>
              <w:jc w:val="right"/>
              <w:ind w:right="252"/>
              <w:spacing w:after="0" w:line="243" w:lineRule="exact"/>
              <w:rPr>
                <w:sz w:val="20"/>
                <w:szCs w:val="20"/>
                <w:color w:val="auto"/>
              </w:rPr>
            </w:pPr>
            <w:r>
              <w:rPr>
                <w:rFonts w:ascii="Times New Roman" w:cs="Times New Roman" w:eastAsia="Times New Roman" w:hAnsi="Times New Roman"/>
                <w:sz w:val="22"/>
                <w:szCs w:val="22"/>
                <w:color w:val="0000FF"/>
                <w:w w:val="96"/>
              </w:rPr>
              <w:t>16.13</w:t>
            </w:r>
          </w:p>
        </w:tc>
        <w:tc>
          <w:tcPr>
            <w:tcW w:w="8420" w:type="dxa"/>
            <w:vAlign w:val="bottom"/>
          </w:tcPr>
          <w:p>
            <w:pPr>
              <w:ind w:left="360"/>
              <w:spacing w:after="0" w:line="243" w:lineRule="exact"/>
              <w:rPr>
                <w:sz w:val="20"/>
                <w:szCs w:val="20"/>
                <w:color w:val="auto"/>
              </w:rPr>
            </w:pPr>
            <w:r>
              <w:rPr>
                <w:rFonts w:ascii="Times New Roman" w:cs="Times New Roman" w:eastAsia="Times New Roman" w:hAnsi="Times New Roman"/>
                <w:sz w:val="22"/>
                <w:szCs w:val="22"/>
                <w:color w:val="0000FF"/>
              </w:rPr>
              <w:t>Counterparts; Facsimile Signatures</w:t>
            </w:r>
          </w:p>
        </w:tc>
        <w:tc>
          <w:tcPr>
            <w:tcW w:w="19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166</w:t>
            </w:r>
          </w:p>
        </w:tc>
      </w:tr>
      <w:tr>
        <w:trPr>
          <w:trHeight w:val="243"/>
        </w:trPr>
        <w:tc>
          <w:tcPr>
            <w:tcW w:w="860" w:type="dxa"/>
            <w:vAlign w:val="bottom"/>
          </w:tcPr>
          <w:p>
            <w:pPr>
              <w:jc w:val="right"/>
              <w:ind w:right="252"/>
              <w:spacing w:after="0" w:line="243" w:lineRule="exact"/>
              <w:rPr>
                <w:sz w:val="20"/>
                <w:szCs w:val="20"/>
                <w:color w:val="auto"/>
              </w:rPr>
            </w:pPr>
            <w:r>
              <w:rPr>
                <w:rFonts w:ascii="Times New Roman" w:cs="Times New Roman" w:eastAsia="Times New Roman" w:hAnsi="Times New Roman"/>
                <w:sz w:val="22"/>
                <w:szCs w:val="22"/>
                <w:color w:val="0000FF"/>
                <w:w w:val="96"/>
              </w:rPr>
              <w:t>16.14</w:t>
            </w:r>
          </w:p>
        </w:tc>
        <w:tc>
          <w:tcPr>
            <w:tcW w:w="8420" w:type="dxa"/>
            <w:vAlign w:val="bottom"/>
          </w:tcPr>
          <w:p>
            <w:pPr>
              <w:ind w:left="360"/>
              <w:spacing w:after="0" w:line="243" w:lineRule="exact"/>
              <w:rPr>
                <w:sz w:val="20"/>
                <w:szCs w:val="20"/>
                <w:color w:val="auto"/>
              </w:rPr>
            </w:pPr>
            <w:r>
              <w:rPr>
                <w:rFonts w:ascii="Times New Roman" w:cs="Times New Roman" w:eastAsia="Times New Roman" w:hAnsi="Times New Roman"/>
                <w:sz w:val="22"/>
                <w:szCs w:val="22"/>
                <w:color w:val="0000FF"/>
              </w:rPr>
              <w:t>Construction</w:t>
            </w:r>
          </w:p>
        </w:tc>
        <w:tc>
          <w:tcPr>
            <w:tcW w:w="19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166</w:t>
            </w:r>
          </w:p>
        </w:tc>
      </w:tr>
      <w:tr>
        <w:trPr>
          <w:trHeight w:val="243"/>
        </w:trPr>
        <w:tc>
          <w:tcPr>
            <w:tcW w:w="860" w:type="dxa"/>
            <w:vAlign w:val="bottom"/>
          </w:tcPr>
          <w:p>
            <w:pPr>
              <w:jc w:val="right"/>
              <w:ind w:right="252"/>
              <w:spacing w:after="0" w:line="243" w:lineRule="exact"/>
              <w:rPr>
                <w:sz w:val="20"/>
                <w:szCs w:val="20"/>
                <w:color w:val="auto"/>
              </w:rPr>
            </w:pPr>
            <w:r>
              <w:rPr>
                <w:rFonts w:ascii="Times New Roman" w:cs="Times New Roman" w:eastAsia="Times New Roman" w:hAnsi="Times New Roman"/>
                <w:sz w:val="22"/>
                <w:szCs w:val="22"/>
                <w:color w:val="0000FF"/>
                <w:w w:val="96"/>
              </w:rPr>
              <w:t>16.15</w:t>
            </w:r>
          </w:p>
        </w:tc>
        <w:tc>
          <w:tcPr>
            <w:tcW w:w="8420" w:type="dxa"/>
            <w:vAlign w:val="bottom"/>
          </w:tcPr>
          <w:p>
            <w:pPr>
              <w:ind w:left="360"/>
              <w:spacing w:after="0" w:line="243" w:lineRule="exact"/>
              <w:rPr>
                <w:sz w:val="20"/>
                <w:szCs w:val="20"/>
                <w:color w:val="auto"/>
              </w:rPr>
            </w:pPr>
            <w:r>
              <w:rPr>
                <w:rFonts w:ascii="Times New Roman" w:cs="Times New Roman" w:eastAsia="Times New Roman" w:hAnsi="Times New Roman"/>
                <w:sz w:val="22"/>
                <w:szCs w:val="22"/>
                <w:color w:val="0000FF"/>
              </w:rPr>
              <w:t>Confidentiality; Sharing Information</w:t>
            </w:r>
          </w:p>
        </w:tc>
        <w:tc>
          <w:tcPr>
            <w:tcW w:w="19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166</w:t>
            </w:r>
          </w:p>
        </w:tc>
      </w:tr>
      <w:tr>
        <w:trPr>
          <w:trHeight w:val="243"/>
        </w:trPr>
        <w:tc>
          <w:tcPr>
            <w:tcW w:w="860" w:type="dxa"/>
            <w:vAlign w:val="bottom"/>
          </w:tcPr>
          <w:p>
            <w:pPr>
              <w:jc w:val="right"/>
              <w:ind w:right="252"/>
              <w:spacing w:after="0" w:line="243" w:lineRule="exact"/>
              <w:rPr>
                <w:sz w:val="20"/>
                <w:szCs w:val="20"/>
                <w:color w:val="auto"/>
              </w:rPr>
            </w:pPr>
            <w:r>
              <w:rPr>
                <w:rFonts w:ascii="Times New Roman" w:cs="Times New Roman" w:eastAsia="Times New Roman" w:hAnsi="Times New Roman"/>
                <w:sz w:val="22"/>
                <w:szCs w:val="22"/>
                <w:color w:val="0000FF"/>
                <w:w w:val="96"/>
              </w:rPr>
              <w:t>16.16</w:t>
            </w:r>
          </w:p>
        </w:tc>
        <w:tc>
          <w:tcPr>
            <w:tcW w:w="8420" w:type="dxa"/>
            <w:vAlign w:val="bottom"/>
          </w:tcPr>
          <w:p>
            <w:pPr>
              <w:ind w:left="360"/>
              <w:spacing w:after="0" w:line="243" w:lineRule="exact"/>
              <w:rPr>
                <w:sz w:val="20"/>
                <w:szCs w:val="20"/>
                <w:color w:val="auto"/>
              </w:rPr>
            </w:pPr>
            <w:r>
              <w:rPr>
                <w:rFonts w:ascii="Times New Roman" w:cs="Times New Roman" w:eastAsia="Times New Roman" w:hAnsi="Times New Roman"/>
                <w:sz w:val="22"/>
                <w:szCs w:val="22"/>
                <w:color w:val="0000FF"/>
              </w:rPr>
              <w:t>Publicity</w:t>
            </w:r>
          </w:p>
        </w:tc>
        <w:tc>
          <w:tcPr>
            <w:tcW w:w="19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167</w:t>
            </w:r>
          </w:p>
        </w:tc>
      </w:tr>
      <w:tr>
        <w:trPr>
          <w:trHeight w:val="243"/>
        </w:trPr>
        <w:tc>
          <w:tcPr>
            <w:tcW w:w="860" w:type="dxa"/>
            <w:vAlign w:val="bottom"/>
          </w:tcPr>
          <w:p>
            <w:pPr>
              <w:jc w:val="right"/>
              <w:ind w:right="252"/>
              <w:spacing w:after="0" w:line="243" w:lineRule="exact"/>
              <w:rPr>
                <w:sz w:val="20"/>
                <w:szCs w:val="20"/>
                <w:color w:val="auto"/>
              </w:rPr>
            </w:pPr>
            <w:r>
              <w:rPr>
                <w:rFonts w:ascii="Times New Roman" w:cs="Times New Roman" w:eastAsia="Times New Roman" w:hAnsi="Times New Roman"/>
                <w:sz w:val="22"/>
                <w:szCs w:val="22"/>
                <w:color w:val="0000FF"/>
                <w:w w:val="96"/>
              </w:rPr>
              <w:t>16.17</w:t>
            </w:r>
          </w:p>
        </w:tc>
        <w:tc>
          <w:tcPr>
            <w:tcW w:w="8420" w:type="dxa"/>
            <w:vAlign w:val="bottom"/>
          </w:tcPr>
          <w:p>
            <w:pPr>
              <w:ind w:left="360"/>
              <w:spacing w:after="0" w:line="243" w:lineRule="exact"/>
              <w:rPr>
                <w:sz w:val="20"/>
                <w:szCs w:val="20"/>
                <w:color w:val="auto"/>
              </w:rPr>
            </w:pPr>
            <w:r>
              <w:rPr>
                <w:rFonts w:ascii="Times New Roman" w:cs="Times New Roman" w:eastAsia="Times New Roman" w:hAnsi="Times New Roman"/>
                <w:sz w:val="22"/>
                <w:szCs w:val="22"/>
                <w:color w:val="0000FF"/>
              </w:rPr>
              <w:t>Certifications From Banks and Participants; USA PATRIOT Act.</w:t>
            </w:r>
          </w:p>
        </w:tc>
        <w:tc>
          <w:tcPr>
            <w:tcW w:w="19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167</w:t>
            </w:r>
          </w:p>
        </w:tc>
      </w:tr>
      <w:tr>
        <w:trPr>
          <w:trHeight w:val="216"/>
        </w:trPr>
        <w:tc>
          <w:tcPr>
            <w:tcW w:w="860" w:type="dxa"/>
            <w:vAlign w:val="bottom"/>
          </w:tcPr>
          <w:p>
            <w:pPr>
              <w:jc w:val="right"/>
              <w:ind w:right="252"/>
              <w:spacing w:after="0" w:line="217" w:lineRule="exact"/>
              <w:rPr>
                <w:sz w:val="20"/>
                <w:szCs w:val="20"/>
                <w:color w:val="auto"/>
              </w:rPr>
            </w:pPr>
            <w:r>
              <w:rPr>
                <w:rFonts w:ascii="Times New Roman" w:cs="Times New Roman" w:eastAsia="Times New Roman" w:hAnsi="Times New Roman"/>
                <w:sz w:val="22"/>
                <w:szCs w:val="22"/>
                <w:color w:val="0000FF"/>
                <w:w w:val="96"/>
              </w:rPr>
              <w:t>16.18</w:t>
            </w:r>
          </w:p>
        </w:tc>
        <w:tc>
          <w:tcPr>
            <w:tcW w:w="8420" w:type="dxa"/>
            <w:vAlign w:val="bottom"/>
          </w:tcPr>
          <w:p>
            <w:pPr>
              <w:ind w:left="360"/>
              <w:spacing w:after="0" w:line="217" w:lineRule="exact"/>
              <w:rPr>
                <w:sz w:val="20"/>
                <w:szCs w:val="20"/>
                <w:color w:val="auto"/>
              </w:rPr>
            </w:pPr>
            <w:r>
              <w:rPr>
                <w:rFonts w:ascii="Times New Roman" w:cs="Times New Roman" w:eastAsia="Times New Roman" w:hAnsi="Times New Roman"/>
                <w:sz w:val="22"/>
                <w:szCs w:val="22"/>
                <w:color w:val="0000FF"/>
              </w:rPr>
              <w:t>Anti-Terrorism Laws; Anti-Corruption Laws.</w:t>
            </w:r>
          </w:p>
        </w:tc>
        <w:tc>
          <w:tcPr>
            <w:tcW w:w="1920" w:type="dxa"/>
            <w:vAlign w:val="bottom"/>
          </w:tcPr>
          <w:p>
            <w:pPr>
              <w:jc w:val="right"/>
              <w:spacing w:after="0" w:line="217" w:lineRule="exact"/>
              <w:rPr>
                <w:sz w:val="20"/>
                <w:szCs w:val="20"/>
                <w:color w:val="auto"/>
              </w:rPr>
            </w:pPr>
            <w:r>
              <w:rPr>
                <w:rFonts w:ascii="Times New Roman" w:cs="Times New Roman" w:eastAsia="Times New Roman" w:hAnsi="Times New Roman"/>
                <w:sz w:val="22"/>
                <w:szCs w:val="22"/>
                <w:color w:val="auto"/>
              </w:rPr>
              <w:t>168</w:t>
            </w:r>
          </w:p>
        </w:tc>
      </w:tr>
      <w:tr>
        <w:trPr>
          <w:trHeight w:val="283"/>
        </w:trPr>
        <w:tc>
          <w:tcPr>
            <w:tcW w:w="860" w:type="dxa"/>
            <w:vAlign w:val="bottom"/>
          </w:tcPr>
          <w:p>
            <w:pPr>
              <w:jc w:val="right"/>
              <w:ind w:right="252"/>
              <w:spacing w:after="0"/>
              <w:rPr>
                <w:sz w:val="20"/>
                <w:szCs w:val="20"/>
                <w:color w:val="auto"/>
              </w:rPr>
            </w:pPr>
            <w:r>
              <w:rPr>
                <w:rFonts w:ascii="Times New Roman" w:cs="Times New Roman" w:eastAsia="Times New Roman" w:hAnsi="Times New Roman"/>
                <w:sz w:val="22"/>
                <w:szCs w:val="22"/>
                <w:color w:val="0000FF"/>
                <w:w w:val="96"/>
              </w:rPr>
              <w:t>16.19</w:t>
            </w:r>
          </w:p>
        </w:tc>
        <w:tc>
          <w:tcPr>
            <w:tcW w:w="8420" w:type="dxa"/>
            <w:vAlign w:val="bottom"/>
          </w:tcPr>
          <w:p>
            <w:pPr>
              <w:ind w:left="360"/>
              <w:spacing w:after="0" w:line="253" w:lineRule="exact"/>
              <w:rPr>
                <w:sz w:val="20"/>
                <w:szCs w:val="20"/>
                <w:color w:val="auto"/>
              </w:rPr>
            </w:pPr>
            <w:r>
              <w:rPr>
                <w:rFonts w:ascii="Times New Roman" w:cs="Times New Roman" w:eastAsia="Times New Roman" w:hAnsi="Times New Roman"/>
                <w:sz w:val="22"/>
                <w:szCs w:val="22"/>
                <w:color w:val="0000FF"/>
              </w:rPr>
              <w:t>Acknowledgment and Consent to Bail</w:t>
            </w:r>
            <w:r>
              <w:rPr>
                <w:rFonts w:ascii="MS PGothic" w:cs="MS PGothic" w:eastAsia="MS PGothic" w:hAnsi="MS PGothic"/>
                <w:sz w:val="22"/>
                <w:szCs w:val="22"/>
                <w:color w:val="0000FF"/>
              </w:rPr>
              <w:t>‑</w:t>
            </w:r>
            <w:r>
              <w:rPr>
                <w:rFonts w:ascii="Times New Roman" w:cs="Times New Roman" w:eastAsia="Times New Roman" w:hAnsi="Times New Roman"/>
                <w:sz w:val="22"/>
                <w:szCs w:val="22"/>
                <w:color w:val="0000FF"/>
              </w:rPr>
              <w:t>In of Affected Financial Institutions</w:t>
            </w:r>
          </w:p>
        </w:tc>
        <w:tc>
          <w:tcPr>
            <w:tcW w:w="19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169</w:t>
            </w:r>
          </w:p>
        </w:tc>
      </w:tr>
      <w:tr>
        <w:trPr>
          <w:trHeight w:val="243"/>
        </w:trPr>
        <w:tc>
          <w:tcPr>
            <w:tcW w:w="860" w:type="dxa"/>
            <w:vAlign w:val="bottom"/>
          </w:tcPr>
          <w:p>
            <w:pPr>
              <w:jc w:val="right"/>
              <w:ind w:right="252"/>
              <w:spacing w:after="0" w:line="243" w:lineRule="exact"/>
              <w:rPr>
                <w:sz w:val="20"/>
                <w:szCs w:val="20"/>
                <w:color w:val="auto"/>
              </w:rPr>
            </w:pPr>
            <w:r>
              <w:rPr>
                <w:rFonts w:ascii="Times New Roman" w:cs="Times New Roman" w:eastAsia="Times New Roman" w:hAnsi="Times New Roman"/>
                <w:sz w:val="22"/>
                <w:szCs w:val="22"/>
                <w:color w:val="0000FF"/>
                <w:w w:val="96"/>
              </w:rPr>
              <w:t>16.20</w:t>
            </w:r>
          </w:p>
        </w:tc>
        <w:tc>
          <w:tcPr>
            <w:tcW w:w="8420" w:type="dxa"/>
            <w:vAlign w:val="bottom"/>
          </w:tcPr>
          <w:p>
            <w:pPr>
              <w:ind w:left="360"/>
              <w:spacing w:after="0" w:line="243" w:lineRule="exact"/>
              <w:rPr>
                <w:sz w:val="20"/>
                <w:szCs w:val="20"/>
                <w:color w:val="auto"/>
              </w:rPr>
            </w:pPr>
            <w:r>
              <w:rPr>
                <w:rFonts w:ascii="Times New Roman" w:cs="Times New Roman" w:eastAsia="Times New Roman" w:hAnsi="Times New Roman"/>
                <w:sz w:val="22"/>
                <w:szCs w:val="22"/>
                <w:color w:val="0000FF"/>
              </w:rPr>
              <w:t>Judgment Currency</w:t>
            </w:r>
          </w:p>
        </w:tc>
        <w:tc>
          <w:tcPr>
            <w:tcW w:w="19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169</w:t>
            </w:r>
          </w:p>
        </w:tc>
      </w:tr>
      <w:tr>
        <w:trPr>
          <w:trHeight w:val="243"/>
        </w:trPr>
        <w:tc>
          <w:tcPr>
            <w:tcW w:w="860" w:type="dxa"/>
            <w:vAlign w:val="bottom"/>
          </w:tcPr>
          <w:p>
            <w:pPr>
              <w:jc w:val="right"/>
              <w:ind w:right="252"/>
              <w:spacing w:after="0" w:line="243" w:lineRule="exact"/>
              <w:rPr>
                <w:sz w:val="20"/>
                <w:szCs w:val="20"/>
                <w:color w:val="auto"/>
              </w:rPr>
            </w:pPr>
            <w:r>
              <w:rPr>
                <w:rFonts w:ascii="Times New Roman" w:cs="Times New Roman" w:eastAsia="Times New Roman" w:hAnsi="Times New Roman"/>
                <w:sz w:val="22"/>
                <w:szCs w:val="22"/>
                <w:color w:val="0000FF"/>
                <w:w w:val="96"/>
              </w:rPr>
              <w:t>16.21</w:t>
            </w:r>
          </w:p>
        </w:tc>
        <w:tc>
          <w:tcPr>
            <w:tcW w:w="8420" w:type="dxa"/>
            <w:vAlign w:val="bottom"/>
          </w:tcPr>
          <w:p>
            <w:pPr>
              <w:ind w:left="360"/>
              <w:spacing w:after="0" w:line="243" w:lineRule="exact"/>
              <w:rPr>
                <w:sz w:val="20"/>
                <w:szCs w:val="20"/>
                <w:color w:val="auto"/>
              </w:rPr>
            </w:pPr>
            <w:r>
              <w:rPr>
                <w:rFonts w:ascii="Times New Roman" w:cs="Times New Roman" w:eastAsia="Times New Roman" w:hAnsi="Times New Roman"/>
                <w:sz w:val="22"/>
                <w:szCs w:val="22"/>
                <w:color w:val="0000FF"/>
              </w:rPr>
              <w:t>Creditor-Debtor Relationship</w:t>
            </w:r>
          </w:p>
        </w:tc>
        <w:tc>
          <w:tcPr>
            <w:tcW w:w="19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170</w:t>
            </w:r>
          </w:p>
        </w:tc>
      </w:tr>
      <w:tr>
        <w:trPr>
          <w:trHeight w:val="282"/>
        </w:trPr>
        <w:tc>
          <w:tcPr>
            <w:tcW w:w="860" w:type="dxa"/>
            <w:vAlign w:val="bottom"/>
          </w:tcPr>
          <w:p>
            <w:pPr>
              <w:jc w:val="right"/>
              <w:ind w:right="252"/>
              <w:spacing w:after="0"/>
              <w:rPr>
                <w:sz w:val="20"/>
                <w:szCs w:val="20"/>
                <w:color w:val="auto"/>
              </w:rPr>
            </w:pPr>
            <w:r>
              <w:rPr>
                <w:rFonts w:ascii="Times New Roman" w:cs="Times New Roman" w:eastAsia="Times New Roman" w:hAnsi="Times New Roman"/>
                <w:sz w:val="22"/>
                <w:szCs w:val="22"/>
                <w:color w:val="0000FF"/>
                <w:w w:val="96"/>
              </w:rPr>
              <w:t>16.22</w:t>
            </w:r>
          </w:p>
        </w:tc>
        <w:tc>
          <w:tcPr>
            <w:tcW w:w="8420" w:type="dxa"/>
            <w:vAlign w:val="bottom"/>
          </w:tcPr>
          <w:p>
            <w:pPr>
              <w:ind w:left="360"/>
              <w:spacing w:after="0"/>
              <w:rPr>
                <w:sz w:val="20"/>
                <w:szCs w:val="20"/>
                <w:color w:val="auto"/>
              </w:rPr>
            </w:pPr>
            <w:r>
              <w:rPr>
                <w:rFonts w:ascii="Times New Roman" w:cs="Times New Roman" w:eastAsia="Times New Roman" w:hAnsi="Times New Roman"/>
                <w:sz w:val="22"/>
                <w:szCs w:val="22"/>
                <w:color w:val="0000FF"/>
              </w:rPr>
              <w:t>Acknowledgement Regarding Any Supported QFCs</w:t>
            </w:r>
          </w:p>
        </w:tc>
        <w:tc>
          <w:tcPr>
            <w:tcW w:w="19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170</w:t>
            </w:r>
          </w:p>
        </w:tc>
      </w:tr>
    </w:tbl>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478155</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60" w:top="1398" w:right="33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282"/>
        </w:trPr>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180" w:type="dxa"/>
            <w:vAlign w:val="bottom"/>
          </w:tcPr>
          <w:p>
            <w:pPr>
              <w:ind w:left="1740"/>
              <w:spacing w:after="0"/>
              <w:rPr>
                <w:sz w:val="20"/>
                <w:szCs w:val="20"/>
                <w:color w:val="auto"/>
              </w:rPr>
            </w:pPr>
            <w:r>
              <w:rPr>
                <w:rFonts w:ascii="Times New Roman" w:cs="Times New Roman" w:eastAsia="Times New Roman" w:hAnsi="Times New Roman"/>
                <w:sz w:val="22"/>
                <w:szCs w:val="22"/>
                <w:color w:val="auto"/>
              </w:rPr>
              <w:t>LIST OF EXHIBITS AND SCHEDULES</w:t>
            </w:r>
          </w:p>
        </w:tc>
      </w:tr>
      <w:tr>
        <w:trPr>
          <w:trHeight w:val="420"/>
        </w:trPr>
        <w:tc>
          <w:tcPr>
            <w:tcW w:w="8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Annexes</w:t>
            </w:r>
          </w:p>
        </w:tc>
        <w:tc>
          <w:tcPr>
            <w:tcW w:w="1260" w:type="dxa"/>
            <w:vAlign w:val="bottom"/>
            <w:gridSpan w:val="2"/>
          </w:tcPr>
          <w:p>
            <w:pPr>
              <w:spacing w:after="0"/>
              <w:rPr>
                <w:sz w:val="24"/>
                <w:szCs w:val="24"/>
                <w:color w:val="auto"/>
              </w:rPr>
            </w:pPr>
          </w:p>
        </w:tc>
        <w:tc>
          <w:tcPr>
            <w:tcW w:w="9180" w:type="dxa"/>
            <w:vAlign w:val="bottom"/>
          </w:tcPr>
          <w:p>
            <w:pPr>
              <w:spacing w:after="0"/>
              <w:rPr>
                <w:sz w:val="24"/>
                <w:szCs w:val="24"/>
                <w:color w:val="auto"/>
              </w:rPr>
            </w:pPr>
          </w:p>
        </w:tc>
      </w:tr>
      <w:tr>
        <w:trPr>
          <w:trHeight w:val="505"/>
        </w:trPr>
        <w:tc>
          <w:tcPr>
            <w:tcW w:w="2060" w:type="dxa"/>
            <w:vAlign w:val="bottom"/>
            <w:gridSpan w:val="4"/>
          </w:tcPr>
          <w:p>
            <w:pPr>
              <w:ind w:left="100"/>
              <w:spacing w:after="0"/>
              <w:rPr>
                <w:sz w:val="20"/>
                <w:szCs w:val="20"/>
                <w:color w:val="auto"/>
              </w:rPr>
            </w:pPr>
            <w:r>
              <w:rPr>
                <w:rFonts w:ascii="Times New Roman" w:cs="Times New Roman" w:eastAsia="Times New Roman" w:hAnsi="Times New Roman"/>
                <w:sz w:val="22"/>
                <w:szCs w:val="22"/>
                <w:color w:val="auto"/>
              </w:rPr>
              <w:t>Annex I</w:t>
            </w:r>
          </w:p>
        </w:tc>
        <w:tc>
          <w:tcPr>
            <w:tcW w:w="9180" w:type="dxa"/>
            <w:vAlign w:val="bottom"/>
          </w:tcPr>
          <w:p>
            <w:pPr>
              <w:ind w:left="600"/>
              <w:spacing w:after="0"/>
              <w:rPr>
                <w:sz w:val="20"/>
                <w:szCs w:val="20"/>
                <w:color w:val="auto"/>
              </w:rPr>
            </w:pPr>
            <w:r>
              <w:rPr>
                <w:rFonts w:ascii="Times New Roman" w:cs="Times New Roman" w:eastAsia="Times New Roman" w:hAnsi="Times New Roman"/>
                <w:sz w:val="22"/>
                <w:szCs w:val="22"/>
                <w:color w:val="auto"/>
              </w:rPr>
              <w:t>Revolving Commitments</w:t>
            </w:r>
          </w:p>
        </w:tc>
      </w:tr>
      <w:tr>
        <w:trPr>
          <w:trHeight w:val="690"/>
        </w:trPr>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Exhibits</w:t>
            </w:r>
          </w:p>
        </w:tc>
        <w:tc>
          <w:tcPr>
            <w:tcW w:w="1300" w:type="dxa"/>
            <w:vAlign w:val="bottom"/>
            <w:gridSpan w:val="3"/>
          </w:tcPr>
          <w:p>
            <w:pPr>
              <w:spacing w:after="0"/>
              <w:rPr>
                <w:sz w:val="24"/>
                <w:szCs w:val="24"/>
                <w:color w:val="auto"/>
              </w:rPr>
            </w:pPr>
          </w:p>
        </w:tc>
        <w:tc>
          <w:tcPr>
            <w:tcW w:w="9180" w:type="dxa"/>
            <w:vAlign w:val="bottom"/>
          </w:tcPr>
          <w:p>
            <w:pPr>
              <w:spacing w:after="0"/>
              <w:rPr>
                <w:sz w:val="24"/>
                <w:szCs w:val="24"/>
                <w:color w:val="auto"/>
              </w:rPr>
            </w:pPr>
          </w:p>
        </w:tc>
      </w:tr>
      <w:tr>
        <w:trPr>
          <w:trHeight w:val="466"/>
        </w:trPr>
        <w:tc>
          <w:tcPr>
            <w:tcW w:w="2060" w:type="dxa"/>
            <w:vAlign w:val="bottom"/>
            <w:gridSpan w:val="4"/>
          </w:tcPr>
          <w:p>
            <w:pPr>
              <w:ind w:left="100"/>
              <w:spacing w:after="0"/>
              <w:rPr>
                <w:sz w:val="20"/>
                <w:szCs w:val="20"/>
                <w:color w:val="auto"/>
              </w:rPr>
            </w:pPr>
            <w:r>
              <w:rPr>
                <w:rFonts w:ascii="Times New Roman" w:cs="Times New Roman" w:eastAsia="Times New Roman" w:hAnsi="Times New Roman"/>
                <w:sz w:val="22"/>
                <w:szCs w:val="22"/>
                <w:color w:val="auto"/>
              </w:rPr>
              <w:t>Exhibit 1.2</w:t>
            </w:r>
          </w:p>
        </w:tc>
        <w:tc>
          <w:tcPr>
            <w:tcW w:w="9180" w:type="dxa"/>
            <w:vAlign w:val="bottom"/>
          </w:tcPr>
          <w:p>
            <w:pPr>
              <w:ind w:left="600"/>
              <w:spacing w:after="0"/>
              <w:rPr>
                <w:sz w:val="20"/>
                <w:szCs w:val="20"/>
                <w:color w:val="auto"/>
              </w:rPr>
            </w:pPr>
            <w:r>
              <w:rPr>
                <w:rFonts w:ascii="Times New Roman" w:cs="Times New Roman" w:eastAsia="Times New Roman" w:hAnsi="Times New Roman"/>
                <w:sz w:val="22"/>
                <w:szCs w:val="22"/>
                <w:color w:val="auto"/>
              </w:rPr>
              <w:t>Borrowing Base Certificate</w:t>
            </w:r>
          </w:p>
        </w:tc>
      </w:tr>
      <w:tr>
        <w:trPr>
          <w:trHeight w:val="243"/>
        </w:trPr>
        <w:tc>
          <w:tcPr>
            <w:tcW w:w="2060" w:type="dxa"/>
            <w:vAlign w:val="bottom"/>
            <w:gridSpan w:val="4"/>
          </w:tcPr>
          <w:p>
            <w:pPr>
              <w:ind w:left="100"/>
              <w:spacing w:after="0" w:line="243" w:lineRule="exact"/>
              <w:rPr>
                <w:sz w:val="20"/>
                <w:szCs w:val="20"/>
                <w:color w:val="auto"/>
              </w:rPr>
            </w:pPr>
            <w:r>
              <w:rPr>
                <w:rFonts w:ascii="Times New Roman" w:cs="Times New Roman" w:eastAsia="Times New Roman" w:hAnsi="Times New Roman"/>
                <w:sz w:val="22"/>
                <w:szCs w:val="22"/>
                <w:color w:val="auto"/>
              </w:rPr>
              <w:t>Exhibit 1.2(a)</w:t>
            </w:r>
          </w:p>
        </w:tc>
        <w:tc>
          <w:tcPr>
            <w:tcW w:w="9180" w:type="dxa"/>
            <w:vAlign w:val="bottom"/>
          </w:tcPr>
          <w:p>
            <w:pPr>
              <w:ind w:left="600"/>
              <w:spacing w:after="0" w:line="243" w:lineRule="exact"/>
              <w:rPr>
                <w:sz w:val="20"/>
                <w:szCs w:val="20"/>
                <w:color w:val="auto"/>
              </w:rPr>
            </w:pPr>
            <w:r>
              <w:rPr>
                <w:rFonts w:ascii="Times New Roman" w:cs="Times New Roman" w:eastAsia="Times New Roman" w:hAnsi="Times New Roman"/>
                <w:sz w:val="22"/>
                <w:szCs w:val="22"/>
                <w:color w:val="auto"/>
              </w:rPr>
              <w:t>Compliance Certificate</w:t>
            </w:r>
          </w:p>
        </w:tc>
      </w:tr>
      <w:tr>
        <w:trPr>
          <w:trHeight w:val="243"/>
        </w:trPr>
        <w:tc>
          <w:tcPr>
            <w:tcW w:w="2060" w:type="dxa"/>
            <w:vAlign w:val="bottom"/>
            <w:gridSpan w:val="4"/>
          </w:tcPr>
          <w:p>
            <w:pPr>
              <w:ind w:left="100"/>
              <w:spacing w:after="0" w:line="243" w:lineRule="exact"/>
              <w:rPr>
                <w:sz w:val="20"/>
                <w:szCs w:val="20"/>
                <w:color w:val="auto"/>
              </w:rPr>
            </w:pPr>
            <w:r>
              <w:rPr>
                <w:rFonts w:ascii="Times New Roman" w:cs="Times New Roman" w:eastAsia="Times New Roman" w:hAnsi="Times New Roman"/>
                <w:sz w:val="22"/>
                <w:szCs w:val="22"/>
                <w:color w:val="auto"/>
              </w:rPr>
              <w:t>Exhibit 2.1(a)</w:t>
            </w:r>
          </w:p>
        </w:tc>
        <w:tc>
          <w:tcPr>
            <w:tcW w:w="9180" w:type="dxa"/>
            <w:vAlign w:val="bottom"/>
          </w:tcPr>
          <w:p>
            <w:pPr>
              <w:ind w:left="600"/>
              <w:spacing w:after="0" w:line="243" w:lineRule="exact"/>
              <w:rPr>
                <w:sz w:val="20"/>
                <w:szCs w:val="20"/>
                <w:color w:val="auto"/>
              </w:rPr>
            </w:pPr>
            <w:r>
              <w:rPr>
                <w:rFonts w:ascii="Times New Roman" w:cs="Times New Roman" w:eastAsia="Times New Roman" w:hAnsi="Times New Roman"/>
                <w:sz w:val="22"/>
                <w:szCs w:val="22"/>
                <w:color w:val="auto"/>
              </w:rPr>
              <w:t>Revolving Credit Note</w:t>
            </w:r>
          </w:p>
        </w:tc>
      </w:tr>
      <w:tr>
        <w:trPr>
          <w:trHeight w:val="243"/>
        </w:trPr>
        <w:tc>
          <w:tcPr>
            <w:tcW w:w="2060" w:type="dxa"/>
            <w:vAlign w:val="bottom"/>
            <w:gridSpan w:val="4"/>
          </w:tcPr>
          <w:p>
            <w:pPr>
              <w:ind w:left="100"/>
              <w:spacing w:after="0" w:line="243" w:lineRule="exact"/>
              <w:rPr>
                <w:sz w:val="20"/>
                <w:szCs w:val="20"/>
                <w:color w:val="auto"/>
              </w:rPr>
            </w:pPr>
            <w:r>
              <w:rPr>
                <w:rFonts w:ascii="Times New Roman" w:cs="Times New Roman" w:eastAsia="Times New Roman" w:hAnsi="Times New Roman"/>
                <w:sz w:val="22"/>
                <w:szCs w:val="22"/>
                <w:color w:val="auto"/>
              </w:rPr>
              <w:t>Exhibit 2.4(a)</w:t>
            </w:r>
          </w:p>
        </w:tc>
        <w:tc>
          <w:tcPr>
            <w:tcW w:w="9180" w:type="dxa"/>
            <w:vAlign w:val="bottom"/>
          </w:tcPr>
          <w:p>
            <w:pPr>
              <w:ind w:left="600"/>
              <w:spacing w:after="0" w:line="243" w:lineRule="exact"/>
              <w:rPr>
                <w:sz w:val="20"/>
                <w:szCs w:val="20"/>
                <w:color w:val="auto"/>
              </w:rPr>
            </w:pPr>
            <w:r>
              <w:rPr>
                <w:rFonts w:ascii="Times New Roman" w:cs="Times New Roman" w:eastAsia="Times New Roman" w:hAnsi="Times New Roman"/>
                <w:sz w:val="22"/>
                <w:szCs w:val="22"/>
                <w:color w:val="auto"/>
              </w:rPr>
              <w:t>Swing Loan Note</w:t>
            </w:r>
          </w:p>
        </w:tc>
      </w:tr>
      <w:tr>
        <w:trPr>
          <w:trHeight w:val="243"/>
        </w:trPr>
        <w:tc>
          <w:tcPr>
            <w:tcW w:w="2060" w:type="dxa"/>
            <w:vAlign w:val="bottom"/>
            <w:gridSpan w:val="4"/>
          </w:tcPr>
          <w:p>
            <w:pPr>
              <w:ind w:left="100"/>
              <w:spacing w:after="0" w:line="243" w:lineRule="exact"/>
              <w:rPr>
                <w:sz w:val="20"/>
                <w:szCs w:val="20"/>
                <w:color w:val="auto"/>
              </w:rPr>
            </w:pPr>
            <w:r>
              <w:rPr>
                <w:rFonts w:ascii="Times New Roman" w:cs="Times New Roman" w:eastAsia="Times New Roman" w:hAnsi="Times New Roman"/>
                <w:sz w:val="22"/>
                <w:szCs w:val="22"/>
                <w:color w:val="auto"/>
              </w:rPr>
              <w:t>Exhibit 5.5(b)</w:t>
            </w:r>
          </w:p>
        </w:tc>
        <w:tc>
          <w:tcPr>
            <w:tcW w:w="9180" w:type="dxa"/>
            <w:vAlign w:val="bottom"/>
          </w:tcPr>
          <w:p>
            <w:pPr>
              <w:ind w:left="600"/>
              <w:spacing w:after="0" w:line="243" w:lineRule="exact"/>
              <w:rPr>
                <w:sz w:val="20"/>
                <w:szCs w:val="20"/>
                <w:color w:val="auto"/>
              </w:rPr>
            </w:pPr>
            <w:r>
              <w:rPr>
                <w:rFonts w:ascii="Times New Roman" w:cs="Times New Roman" w:eastAsia="Times New Roman" w:hAnsi="Times New Roman"/>
                <w:sz w:val="22"/>
                <w:szCs w:val="22"/>
                <w:color w:val="auto"/>
              </w:rPr>
              <w:t>Financial Projections</w:t>
            </w:r>
          </w:p>
        </w:tc>
      </w:tr>
      <w:tr>
        <w:trPr>
          <w:trHeight w:val="243"/>
        </w:trPr>
        <w:tc>
          <w:tcPr>
            <w:tcW w:w="2060" w:type="dxa"/>
            <w:vAlign w:val="bottom"/>
            <w:gridSpan w:val="4"/>
          </w:tcPr>
          <w:p>
            <w:pPr>
              <w:ind w:left="100"/>
              <w:spacing w:after="0" w:line="243" w:lineRule="exact"/>
              <w:rPr>
                <w:sz w:val="20"/>
                <w:szCs w:val="20"/>
                <w:color w:val="auto"/>
              </w:rPr>
            </w:pPr>
            <w:r>
              <w:rPr>
                <w:rFonts w:ascii="Times New Roman" w:cs="Times New Roman" w:eastAsia="Times New Roman" w:hAnsi="Times New Roman"/>
                <w:sz w:val="22"/>
                <w:szCs w:val="22"/>
                <w:color w:val="auto"/>
              </w:rPr>
              <w:t>Exhibit 8.1(d)</w:t>
            </w:r>
          </w:p>
        </w:tc>
        <w:tc>
          <w:tcPr>
            <w:tcW w:w="9180" w:type="dxa"/>
            <w:vAlign w:val="bottom"/>
          </w:tcPr>
          <w:p>
            <w:pPr>
              <w:ind w:left="600"/>
              <w:spacing w:after="0" w:line="243" w:lineRule="exact"/>
              <w:rPr>
                <w:sz w:val="20"/>
                <w:szCs w:val="20"/>
                <w:color w:val="auto"/>
              </w:rPr>
            </w:pPr>
            <w:r>
              <w:rPr>
                <w:rFonts w:ascii="Times New Roman" w:cs="Times New Roman" w:eastAsia="Times New Roman" w:hAnsi="Times New Roman"/>
                <w:sz w:val="22"/>
                <w:szCs w:val="22"/>
                <w:color w:val="auto"/>
              </w:rPr>
              <w:t>Financial Condition Certificate</w:t>
            </w:r>
          </w:p>
        </w:tc>
      </w:tr>
      <w:tr>
        <w:trPr>
          <w:trHeight w:val="282"/>
        </w:trPr>
        <w:tc>
          <w:tcPr>
            <w:tcW w:w="2060" w:type="dxa"/>
            <w:vAlign w:val="bottom"/>
            <w:gridSpan w:val="4"/>
          </w:tcPr>
          <w:p>
            <w:pPr>
              <w:ind w:left="100"/>
              <w:spacing w:after="0"/>
              <w:rPr>
                <w:sz w:val="20"/>
                <w:szCs w:val="20"/>
                <w:color w:val="auto"/>
              </w:rPr>
            </w:pPr>
            <w:r>
              <w:rPr>
                <w:rFonts w:ascii="Times New Roman" w:cs="Times New Roman" w:eastAsia="Times New Roman" w:hAnsi="Times New Roman"/>
                <w:sz w:val="22"/>
                <w:szCs w:val="22"/>
                <w:color w:val="auto"/>
              </w:rPr>
              <w:t>Exhibit 16.3</w:t>
            </w:r>
          </w:p>
        </w:tc>
        <w:tc>
          <w:tcPr>
            <w:tcW w:w="9180" w:type="dxa"/>
            <w:vAlign w:val="bottom"/>
          </w:tcPr>
          <w:p>
            <w:pPr>
              <w:ind w:left="600"/>
              <w:spacing w:after="0"/>
              <w:rPr>
                <w:sz w:val="20"/>
                <w:szCs w:val="20"/>
                <w:color w:val="auto"/>
              </w:rPr>
            </w:pPr>
            <w:r>
              <w:rPr>
                <w:rFonts w:ascii="Times New Roman" w:cs="Times New Roman" w:eastAsia="Times New Roman" w:hAnsi="Times New Roman"/>
                <w:sz w:val="22"/>
                <w:szCs w:val="22"/>
                <w:color w:val="auto"/>
              </w:rPr>
              <w:t>Commitment Transfer Supplement</w:t>
            </w:r>
          </w:p>
        </w:tc>
      </w:tr>
      <w:tr>
        <w:trPr>
          <w:trHeight w:val="636"/>
        </w:trPr>
        <w:tc>
          <w:tcPr>
            <w:tcW w:w="9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22"/>
                <w:szCs w:val="22"/>
                <w:color w:val="auto"/>
              </w:rPr>
              <w:t>Schedules</w:t>
            </w:r>
          </w:p>
        </w:tc>
        <w:tc>
          <w:tcPr>
            <w:tcW w:w="1140" w:type="dxa"/>
            <w:vAlign w:val="bottom"/>
          </w:tcPr>
          <w:p>
            <w:pPr>
              <w:spacing w:after="0"/>
              <w:rPr>
                <w:sz w:val="24"/>
                <w:szCs w:val="24"/>
                <w:color w:val="auto"/>
              </w:rPr>
            </w:pPr>
          </w:p>
        </w:tc>
        <w:tc>
          <w:tcPr>
            <w:tcW w:w="9180" w:type="dxa"/>
            <w:vAlign w:val="bottom"/>
          </w:tcPr>
          <w:p>
            <w:pPr>
              <w:spacing w:after="0"/>
              <w:rPr>
                <w:sz w:val="24"/>
                <w:szCs w:val="24"/>
                <w:color w:val="auto"/>
              </w:rPr>
            </w:pPr>
          </w:p>
        </w:tc>
      </w:tr>
      <w:tr>
        <w:trPr>
          <w:trHeight w:val="466"/>
        </w:trPr>
        <w:tc>
          <w:tcPr>
            <w:tcW w:w="2060" w:type="dxa"/>
            <w:vAlign w:val="bottom"/>
            <w:gridSpan w:val="4"/>
          </w:tcPr>
          <w:p>
            <w:pPr>
              <w:ind w:left="100"/>
              <w:spacing w:after="0"/>
              <w:rPr>
                <w:sz w:val="20"/>
                <w:szCs w:val="20"/>
                <w:color w:val="auto"/>
              </w:rPr>
            </w:pPr>
            <w:r>
              <w:rPr>
                <w:rFonts w:ascii="Times New Roman" w:cs="Times New Roman" w:eastAsia="Times New Roman" w:hAnsi="Times New Roman"/>
                <w:sz w:val="22"/>
                <w:szCs w:val="22"/>
                <w:color w:val="auto"/>
              </w:rPr>
              <w:t>Schedule 1.2</w:t>
            </w:r>
          </w:p>
        </w:tc>
        <w:tc>
          <w:tcPr>
            <w:tcW w:w="9180" w:type="dxa"/>
            <w:vAlign w:val="bottom"/>
          </w:tcPr>
          <w:p>
            <w:pPr>
              <w:ind w:left="620"/>
              <w:spacing w:after="0"/>
              <w:rPr>
                <w:sz w:val="20"/>
                <w:szCs w:val="20"/>
                <w:color w:val="auto"/>
              </w:rPr>
            </w:pPr>
            <w:r>
              <w:rPr>
                <w:rFonts w:ascii="Times New Roman" w:cs="Times New Roman" w:eastAsia="Times New Roman" w:hAnsi="Times New Roman"/>
                <w:sz w:val="22"/>
                <w:szCs w:val="22"/>
                <w:color w:val="auto"/>
              </w:rPr>
              <w:t>Permitted Encumbrances</w:t>
            </w:r>
          </w:p>
        </w:tc>
      </w:tr>
      <w:tr>
        <w:trPr>
          <w:trHeight w:val="243"/>
        </w:trPr>
        <w:tc>
          <w:tcPr>
            <w:tcW w:w="2060" w:type="dxa"/>
            <w:vAlign w:val="bottom"/>
            <w:gridSpan w:val="4"/>
          </w:tcPr>
          <w:p>
            <w:pPr>
              <w:ind w:left="100"/>
              <w:spacing w:after="0" w:line="243" w:lineRule="exact"/>
              <w:rPr>
                <w:sz w:val="20"/>
                <w:szCs w:val="20"/>
                <w:color w:val="auto"/>
              </w:rPr>
            </w:pPr>
            <w:r>
              <w:rPr>
                <w:rFonts w:ascii="Times New Roman" w:cs="Times New Roman" w:eastAsia="Times New Roman" w:hAnsi="Times New Roman"/>
                <w:sz w:val="22"/>
                <w:szCs w:val="22"/>
                <w:color w:val="auto"/>
              </w:rPr>
              <w:t>Schedule 1.3</w:t>
            </w:r>
          </w:p>
        </w:tc>
        <w:tc>
          <w:tcPr>
            <w:tcW w:w="9180" w:type="dxa"/>
            <w:vAlign w:val="bottom"/>
          </w:tcPr>
          <w:p>
            <w:pPr>
              <w:ind w:left="620"/>
              <w:spacing w:after="0" w:line="243" w:lineRule="exact"/>
              <w:rPr>
                <w:sz w:val="20"/>
                <w:szCs w:val="20"/>
                <w:color w:val="auto"/>
              </w:rPr>
            </w:pPr>
            <w:r>
              <w:rPr>
                <w:rFonts w:ascii="Times New Roman" w:cs="Times New Roman" w:eastAsia="Times New Roman" w:hAnsi="Times New Roman"/>
                <w:sz w:val="22"/>
                <w:szCs w:val="22"/>
                <w:color w:val="auto"/>
              </w:rPr>
              <w:t>U.S. Flagged and Located Fleet Assets</w:t>
            </w:r>
          </w:p>
        </w:tc>
      </w:tr>
      <w:tr>
        <w:trPr>
          <w:trHeight w:val="243"/>
        </w:trPr>
        <w:tc>
          <w:tcPr>
            <w:tcW w:w="2060" w:type="dxa"/>
            <w:vAlign w:val="bottom"/>
            <w:gridSpan w:val="4"/>
          </w:tcPr>
          <w:p>
            <w:pPr>
              <w:ind w:left="100"/>
              <w:spacing w:after="0" w:line="243" w:lineRule="exact"/>
              <w:rPr>
                <w:sz w:val="20"/>
                <w:szCs w:val="20"/>
                <w:color w:val="auto"/>
              </w:rPr>
            </w:pPr>
            <w:r>
              <w:rPr>
                <w:rFonts w:ascii="Times New Roman" w:cs="Times New Roman" w:eastAsia="Times New Roman" w:hAnsi="Times New Roman"/>
                <w:sz w:val="22"/>
                <w:szCs w:val="22"/>
                <w:color w:val="auto"/>
              </w:rPr>
              <w:t>Schedule 1.4</w:t>
            </w:r>
          </w:p>
        </w:tc>
        <w:tc>
          <w:tcPr>
            <w:tcW w:w="9180" w:type="dxa"/>
            <w:vAlign w:val="bottom"/>
          </w:tcPr>
          <w:p>
            <w:pPr>
              <w:ind w:left="620"/>
              <w:spacing w:after="0" w:line="243" w:lineRule="exact"/>
              <w:rPr>
                <w:sz w:val="20"/>
                <w:szCs w:val="20"/>
                <w:color w:val="auto"/>
              </w:rPr>
            </w:pPr>
            <w:r>
              <w:rPr>
                <w:rFonts w:ascii="Times New Roman" w:cs="Times New Roman" w:eastAsia="Times New Roman" w:hAnsi="Times New Roman"/>
                <w:sz w:val="22"/>
                <w:szCs w:val="22"/>
                <w:color w:val="auto"/>
              </w:rPr>
              <w:t>Permitted Indebtedness</w:t>
            </w:r>
          </w:p>
        </w:tc>
      </w:tr>
      <w:tr>
        <w:trPr>
          <w:trHeight w:val="243"/>
        </w:trPr>
        <w:tc>
          <w:tcPr>
            <w:tcW w:w="2060" w:type="dxa"/>
            <w:vAlign w:val="bottom"/>
            <w:gridSpan w:val="4"/>
          </w:tcPr>
          <w:p>
            <w:pPr>
              <w:ind w:left="100"/>
              <w:spacing w:after="0" w:line="243" w:lineRule="exact"/>
              <w:rPr>
                <w:sz w:val="20"/>
                <w:szCs w:val="20"/>
                <w:color w:val="auto"/>
              </w:rPr>
            </w:pPr>
            <w:r>
              <w:rPr>
                <w:rFonts w:ascii="Times New Roman" w:cs="Times New Roman" w:eastAsia="Times New Roman" w:hAnsi="Times New Roman"/>
                <w:sz w:val="22"/>
                <w:szCs w:val="22"/>
                <w:color w:val="auto"/>
              </w:rPr>
              <w:t>Schedule 1.5</w:t>
            </w:r>
          </w:p>
        </w:tc>
        <w:tc>
          <w:tcPr>
            <w:tcW w:w="9180" w:type="dxa"/>
            <w:vAlign w:val="bottom"/>
          </w:tcPr>
          <w:p>
            <w:pPr>
              <w:ind w:left="620"/>
              <w:spacing w:after="0" w:line="243" w:lineRule="exact"/>
              <w:rPr>
                <w:sz w:val="20"/>
                <w:szCs w:val="20"/>
                <w:color w:val="auto"/>
              </w:rPr>
            </w:pPr>
            <w:r>
              <w:rPr>
                <w:rFonts w:ascii="Times New Roman" w:cs="Times New Roman" w:eastAsia="Times New Roman" w:hAnsi="Times New Roman"/>
                <w:sz w:val="22"/>
                <w:szCs w:val="22"/>
                <w:color w:val="auto"/>
              </w:rPr>
              <w:t>Permitted Investments</w:t>
            </w:r>
          </w:p>
        </w:tc>
      </w:tr>
      <w:tr>
        <w:trPr>
          <w:trHeight w:val="243"/>
        </w:trPr>
        <w:tc>
          <w:tcPr>
            <w:tcW w:w="2060" w:type="dxa"/>
            <w:vAlign w:val="bottom"/>
            <w:gridSpan w:val="4"/>
          </w:tcPr>
          <w:p>
            <w:pPr>
              <w:ind w:left="100"/>
              <w:spacing w:after="0" w:line="243" w:lineRule="exact"/>
              <w:rPr>
                <w:sz w:val="20"/>
                <w:szCs w:val="20"/>
                <w:color w:val="auto"/>
              </w:rPr>
            </w:pPr>
            <w:r>
              <w:rPr>
                <w:rFonts w:ascii="Times New Roman" w:cs="Times New Roman" w:eastAsia="Times New Roman" w:hAnsi="Times New Roman"/>
                <w:sz w:val="22"/>
                <w:szCs w:val="22"/>
                <w:color w:val="auto"/>
              </w:rPr>
              <w:t>Schedule 2.11</w:t>
            </w:r>
          </w:p>
        </w:tc>
        <w:tc>
          <w:tcPr>
            <w:tcW w:w="9180" w:type="dxa"/>
            <w:vAlign w:val="bottom"/>
          </w:tcPr>
          <w:p>
            <w:pPr>
              <w:ind w:left="620"/>
              <w:spacing w:after="0" w:line="243" w:lineRule="exact"/>
              <w:rPr>
                <w:sz w:val="20"/>
                <w:szCs w:val="20"/>
                <w:color w:val="auto"/>
              </w:rPr>
            </w:pPr>
            <w:r>
              <w:rPr>
                <w:rFonts w:ascii="Times New Roman" w:cs="Times New Roman" w:eastAsia="Times New Roman" w:hAnsi="Times New Roman"/>
                <w:sz w:val="22"/>
                <w:szCs w:val="22"/>
                <w:color w:val="auto"/>
              </w:rPr>
              <w:t>Existing Letters of Credit</w:t>
            </w:r>
          </w:p>
        </w:tc>
      </w:tr>
      <w:tr>
        <w:trPr>
          <w:trHeight w:val="243"/>
        </w:trPr>
        <w:tc>
          <w:tcPr>
            <w:tcW w:w="2060" w:type="dxa"/>
            <w:vAlign w:val="bottom"/>
            <w:gridSpan w:val="4"/>
          </w:tcPr>
          <w:p>
            <w:pPr>
              <w:ind w:left="100"/>
              <w:spacing w:after="0" w:line="243" w:lineRule="exact"/>
              <w:rPr>
                <w:sz w:val="20"/>
                <w:szCs w:val="20"/>
                <w:color w:val="auto"/>
              </w:rPr>
            </w:pPr>
            <w:r>
              <w:rPr>
                <w:rFonts w:ascii="Times New Roman" w:cs="Times New Roman" w:eastAsia="Times New Roman" w:hAnsi="Times New Roman"/>
                <w:sz w:val="22"/>
                <w:szCs w:val="22"/>
                <w:color w:val="auto"/>
              </w:rPr>
              <w:t>Schedule 4.4</w:t>
            </w:r>
          </w:p>
        </w:tc>
        <w:tc>
          <w:tcPr>
            <w:tcW w:w="9180" w:type="dxa"/>
            <w:vAlign w:val="bottom"/>
          </w:tcPr>
          <w:p>
            <w:pPr>
              <w:ind w:left="620"/>
              <w:spacing w:after="0" w:line="243" w:lineRule="exact"/>
              <w:rPr>
                <w:sz w:val="20"/>
                <w:szCs w:val="20"/>
                <w:color w:val="auto"/>
              </w:rPr>
            </w:pPr>
            <w:r>
              <w:rPr>
                <w:rFonts w:ascii="Times New Roman" w:cs="Times New Roman" w:eastAsia="Times New Roman" w:hAnsi="Times New Roman"/>
                <w:sz w:val="22"/>
                <w:szCs w:val="22"/>
                <w:color w:val="auto"/>
              </w:rPr>
              <w:t>Equipment and Inventory Locations; Place of Business, Chief Executive Office, Real Property</w:t>
            </w:r>
          </w:p>
        </w:tc>
      </w:tr>
      <w:tr>
        <w:trPr>
          <w:trHeight w:val="243"/>
        </w:trPr>
        <w:tc>
          <w:tcPr>
            <w:tcW w:w="2060" w:type="dxa"/>
            <w:vAlign w:val="bottom"/>
            <w:gridSpan w:val="4"/>
          </w:tcPr>
          <w:p>
            <w:pPr>
              <w:ind w:left="100"/>
              <w:spacing w:after="0" w:line="243" w:lineRule="exact"/>
              <w:rPr>
                <w:sz w:val="20"/>
                <w:szCs w:val="20"/>
                <w:color w:val="auto"/>
              </w:rPr>
            </w:pPr>
            <w:r>
              <w:rPr>
                <w:rFonts w:ascii="Times New Roman" w:cs="Times New Roman" w:eastAsia="Times New Roman" w:hAnsi="Times New Roman"/>
                <w:sz w:val="22"/>
                <w:szCs w:val="22"/>
                <w:color w:val="auto"/>
              </w:rPr>
              <w:t>Schedule 4.8(j)</w:t>
            </w:r>
          </w:p>
        </w:tc>
        <w:tc>
          <w:tcPr>
            <w:tcW w:w="9180" w:type="dxa"/>
            <w:vAlign w:val="bottom"/>
          </w:tcPr>
          <w:p>
            <w:pPr>
              <w:ind w:left="620"/>
              <w:spacing w:after="0" w:line="243" w:lineRule="exact"/>
              <w:rPr>
                <w:sz w:val="20"/>
                <w:szCs w:val="20"/>
                <w:color w:val="auto"/>
              </w:rPr>
            </w:pPr>
            <w:r>
              <w:rPr>
                <w:rFonts w:ascii="Times New Roman" w:cs="Times New Roman" w:eastAsia="Times New Roman" w:hAnsi="Times New Roman"/>
                <w:sz w:val="22"/>
                <w:szCs w:val="22"/>
                <w:color w:val="auto"/>
              </w:rPr>
              <w:t>Deposit and Investment Accounts</w:t>
            </w:r>
          </w:p>
        </w:tc>
      </w:tr>
      <w:tr>
        <w:trPr>
          <w:trHeight w:val="243"/>
        </w:trPr>
        <w:tc>
          <w:tcPr>
            <w:tcW w:w="2060" w:type="dxa"/>
            <w:vAlign w:val="bottom"/>
            <w:gridSpan w:val="4"/>
          </w:tcPr>
          <w:p>
            <w:pPr>
              <w:ind w:left="100"/>
              <w:spacing w:after="0" w:line="243" w:lineRule="exact"/>
              <w:rPr>
                <w:sz w:val="20"/>
                <w:szCs w:val="20"/>
                <w:color w:val="auto"/>
              </w:rPr>
            </w:pPr>
            <w:r>
              <w:rPr>
                <w:rFonts w:ascii="Times New Roman" w:cs="Times New Roman" w:eastAsia="Times New Roman" w:hAnsi="Times New Roman"/>
                <w:sz w:val="22"/>
                <w:szCs w:val="22"/>
                <w:color w:val="auto"/>
              </w:rPr>
              <w:t>Schedule 5.1</w:t>
            </w:r>
          </w:p>
        </w:tc>
        <w:tc>
          <w:tcPr>
            <w:tcW w:w="9180" w:type="dxa"/>
            <w:vAlign w:val="bottom"/>
          </w:tcPr>
          <w:p>
            <w:pPr>
              <w:ind w:left="620"/>
              <w:spacing w:after="0" w:line="243" w:lineRule="exact"/>
              <w:rPr>
                <w:sz w:val="20"/>
                <w:szCs w:val="20"/>
                <w:color w:val="auto"/>
              </w:rPr>
            </w:pPr>
            <w:r>
              <w:rPr>
                <w:rFonts w:ascii="Times New Roman" w:cs="Times New Roman" w:eastAsia="Times New Roman" w:hAnsi="Times New Roman"/>
                <w:sz w:val="22"/>
                <w:szCs w:val="22"/>
                <w:color w:val="auto"/>
              </w:rPr>
              <w:t>Consents</w:t>
            </w:r>
          </w:p>
        </w:tc>
      </w:tr>
      <w:tr>
        <w:trPr>
          <w:trHeight w:val="243"/>
        </w:trPr>
        <w:tc>
          <w:tcPr>
            <w:tcW w:w="2060" w:type="dxa"/>
            <w:vAlign w:val="bottom"/>
            <w:gridSpan w:val="4"/>
          </w:tcPr>
          <w:p>
            <w:pPr>
              <w:ind w:left="100"/>
              <w:spacing w:after="0" w:line="243" w:lineRule="exact"/>
              <w:rPr>
                <w:sz w:val="20"/>
                <w:szCs w:val="20"/>
                <w:color w:val="auto"/>
              </w:rPr>
            </w:pPr>
            <w:r>
              <w:rPr>
                <w:rFonts w:ascii="Times New Roman" w:cs="Times New Roman" w:eastAsia="Times New Roman" w:hAnsi="Times New Roman"/>
                <w:sz w:val="22"/>
                <w:szCs w:val="22"/>
                <w:color w:val="auto"/>
              </w:rPr>
              <w:t>Schedule 5.2(a)</w:t>
            </w:r>
          </w:p>
        </w:tc>
        <w:tc>
          <w:tcPr>
            <w:tcW w:w="9180" w:type="dxa"/>
            <w:vAlign w:val="bottom"/>
          </w:tcPr>
          <w:p>
            <w:pPr>
              <w:ind w:left="620"/>
              <w:spacing w:after="0" w:line="243" w:lineRule="exact"/>
              <w:rPr>
                <w:sz w:val="20"/>
                <w:szCs w:val="20"/>
                <w:color w:val="auto"/>
              </w:rPr>
            </w:pPr>
            <w:r>
              <w:rPr>
                <w:rFonts w:ascii="Times New Roman" w:cs="Times New Roman" w:eastAsia="Times New Roman" w:hAnsi="Times New Roman"/>
                <w:sz w:val="22"/>
                <w:szCs w:val="22"/>
                <w:color w:val="auto"/>
              </w:rPr>
              <w:t>States of Qualification and Good Standing</w:t>
            </w:r>
          </w:p>
        </w:tc>
      </w:tr>
      <w:tr>
        <w:trPr>
          <w:trHeight w:val="243"/>
        </w:trPr>
        <w:tc>
          <w:tcPr>
            <w:tcW w:w="2060" w:type="dxa"/>
            <w:vAlign w:val="bottom"/>
            <w:gridSpan w:val="4"/>
          </w:tcPr>
          <w:p>
            <w:pPr>
              <w:ind w:left="100"/>
              <w:spacing w:after="0" w:line="243" w:lineRule="exact"/>
              <w:rPr>
                <w:sz w:val="20"/>
                <w:szCs w:val="20"/>
                <w:color w:val="auto"/>
              </w:rPr>
            </w:pPr>
            <w:r>
              <w:rPr>
                <w:rFonts w:ascii="Times New Roman" w:cs="Times New Roman" w:eastAsia="Times New Roman" w:hAnsi="Times New Roman"/>
                <w:sz w:val="22"/>
                <w:szCs w:val="22"/>
                <w:color w:val="auto"/>
              </w:rPr>
              <w:t>Schedule 5.2(b)</w:t>
            </w:r>
          </w:p>
        </w:tc>
        <w:tc>
          <w:tcPr>
            <w:tcW w:w="9180" w:type="dxa"/>
            <w:vAlign w:val="bottom"/>
          </w:tcPr>
          <w:p>
            <w:pPr>
              <w:ind w:left="620"/>
              <w:spacing w:after="0" w:line="243" w:lineRule="exact"/>
              <w:rPr>
                <w:sz w:val="20"/>
                <w:szCs w:val="20"/>
                <w:color w:val="auto"/>
              </w:rPr>
            </w:pPr>
            <w:r>
              <w:rPr>
                <w:rFonts w:ascii="Times New Roman" w:cs="Times New Roman" w:eastAsia="Times New Roman" w:hAnsi="Times New Roman"/>
                <w:sz w:val="22"/>
                <w:szCs w:val="22"/>
                <w:color w:val="auto"/>
              </w:rPr>
              <w:t>Subsidiaries</w:t>
            </w:r>
          </w:p>
        </w:tc>
      </w:tr>
      <w:tr>
        <w:trPr>
          <w:trHeight w:val="243"/>
        </w:trPr>
        <w:tc>
          <w:tcPr>
            <w:tcW w:w="2060" w:type="dxa"/>
            <w:vAlign w:val="bottom"/>
            <w:gridSpan w:val="4"/>
          </w:tcPr>
          <w:p>
            <w:pPr>
              <w:ind w:left="100"/>
              <w:spacing w:after="0" w:line="243" w:lineRule="exact"/>
              <w:rPr>
                <w:sz w:val="20"/>
                <w:szCs w:val="20"/>
                <w:color w:val="auto"/>
              </w:rPr>
            </w:pPr>
            <w:r>
              <w:rPr>
                <w:rFonts w:ascii="Times New Roman" w:cs="Times New Roman" w:eastAsia="Times New Roman" w:hAnsi="Times New Roman"/>
                <w:sz w:val="22"/>
                <w:szCs w:val="22"/>
                <w:color w:val="auto"/>
              </w:rPr>
              <w:t>Schedule 5.4</w:t>
            </w:r>
          </w:p>
        </w:tc>
        <w:tc>
          <w:tcPr>
            <w:tcW w:w="9180" w:type="dxa"/>
            <w:vAlign w:val="bottom"/>
          </w:tcPr>
          <w:p>
            <w:pPr>
              <w:ind w:left="620"/>
              <w:spacing w:after="0" w:line="243" w:lineRule="exact"/>
              <w:rPr>
                <w:sz w:val="20"/>
                <w:szCs w:val="20"/>
                <w:color w:val="auto"/>
              </w:rPr>
            </w:pPr>
            <w:r>
              <w:rPr>
                <w:rFonts w:ascii="Times New Roman" w:cs="Times New Roman" w:eastAsia="Times New Roman" w:hAnsi="Times New Roman"/>
                <w:sz w:val="22"/>
                <w:szCs w:val="22"/>
                <w:color w:val="auto"/>
              </w:rPr>
              <w:t>Federal Tax Identification Number</w:t>
            </w:r>
          </w:p>
        </w:tc>
      </w:tr>
      <w:tr>
        <w:trPr>
          <w:trHeight w:val="243"/>
        </w:trPr>
        <w:tc>
          <w:tcPr>
            <w:tcW w:w="2060" w:type="dxa"/>
            <w:vAlign w:val="bottom"/>
            <w:gridSpan w:val="4"/>
          </w:tcPr>
          <w:p>
            <w:pPr>
              <w:ind w:left="100"/>
              <w:spacing w:after="0" w:line="243" w:lineRule="exact"/>
              <w:rPr>
                <w:sz w:val="20"/>
                <w:szCs w:val="20"/>
                <w:color w:val="auto"/>
              </w:rPr>
            </w:pPr>
            <w:r>
              <w:rPr>
                <w:rFonts w:ascii="Times New Roman" w:cs="Times New Roman" w:eastAsia="Times New Roman" w:hAnsi="Times New Roman"/>
                <w:sz w:val="22"/>
                <w:szCs w:val="22"/>
                <w:color w:val="auto"/>
              </w:rPr>
              <w:t>Schedule 5.6</w:t>
            </w:r>
          </w:p>
        </w:tc>
        <w:tc>
          <w:tcPr>
            <w:tcW w:w="9180" w:type="dxa"/>
            <w:vAlign w:val="bottom"/>
          </w:tcPr>
          <w:p>
            <w:pPr>
              <w:ind w:left="620"/>
              <w:spacing w:after="0" w:line="243" w:lineRule="exact"/>
              <w:rPr>
                <w:sz w:val="20"/>
                <w:szCs w:val="20"/>
                <w:color w:val="auto"/>
              </w:rPr>
            </w:pPr>
            <w:r>
              <w:rPr>
                <w:rFonts w:ascii="Times New Roman" w:cs="Times New Roman" w:eastAsia="Times New Roman" w:hAnsi="Times New Roman"/>
                <w:sz w:val="22"/>
                <w:szCs w:val="22"/>
                <w:color w:val="auto"/>
              </w:rPr>
              <w:t>Prior Names</w:t>
            </w:r>
          </w:p>
        </w:tc>
      </w:tr>
      <w:tr>
        <w:trPr>
          <w:trHeight w:val="243"/>
        </w:trPr>
        <w:tc>
          <w:tcPr>
            <w:tcW w:w="2060" w:type="dxa"/>
            <w:vAlign w:val="bottom"/>
            <w:gridSpan w:val="4"/>
          </w:tcPr>
          <w:p>
            <w:pPr>
              <w:ind w:left="100"/>
              <w:spacing w:after="0" w:line="243" w:lineRule="exact"/>
              <w:rPr>
                <w:sz w:val="20"/>
                <w:szCs w:val="20"/>
                <w:color w:val="auto"/>
              </w:rPr>
            </w:pPr>
            <w:r>
              <w:rPr>
                <w:rFonts w:ascii="Times New Roman" w:cs="Times New Roman" w:eastAsia="Times New Roman" w:hAnsi="Times New Roman"/>
                <w:sz w:val="22"/>
                <w:szCs w:val="22"/>
                <w:color w:val="auto"/>
              </w:rPr>
              <w:t>Schedule 5.8(b)</w:t>
            </w:r>
          </w:p>
        </w:tc>
        <w:tc>
          <w:tcPr>
            <w:tcW w:w="9180" w:type="dxa"/>
            <w:vAlign w:val="bottom"/>
          </w:tcPr>
          <w:p>
            <w:pPr>
              <w:ind w:left="620"/>
              <w:spacing w:after="0" w:line="243" w:lineRule="exact"/>
              <w:rPr>
                <w:sz w:val="20"/>
                <w:szCs w:val="20"/>
                <w:color w:val="auto"/>
              </w:rPr>
            </w:pPr>
            <w:r>
              <w:rPr>
                <w:rFonts w:ascii="Times New Roman" w:cs="Times New Roman" w:eastAsia="Times New Roman" w:hAnsi="Times New Roman"/>
                <w:sz w:val="22"/>
                <w:szCs w:val="22"/>
                <w:color w:val="auto"/>
              </w:rPr>
              <w:t>Litigation</w:t>
            </w:r>
          </w:p>
        </w:tc>
      </w:tr>
      <w:tr>
        <w:trPr>
          <w:trHeight w:val="243"/>
        </w:trPr>
        <w:tc>
          <w:tcPr>
            <w:tcW w:w="2060" w:type="dxa"/>
            <w:vAlign w:val="bottom"/>
            <w:gridSpan w:val="4"/>
          </w:tcPr>
          <w:p>
            <w:pPr>
              <w:ind w:left="100"/>
              <w:spacing w:after="0" w:line="243" w:lineRule="exact"/>
              <w:rPr>
                <w:sz w:val="20"/>
                <w:szCs w:val="20"/>
                <w:color w:val="auto"/>
              </w:rPr>
            </w:pPr>
            <w:r>
              <w:rPr>
                <w:rFonts w:ascii="Times New Roman" w:cs="Times New Roman" w:eastAsia="Times New Roman" w:hAnsi="Times New Roman"/>
                <w:sz w:val="22"/>
                <w:szCs w:val="22"/>
                <w:color w:val="auto"/>
              </w:rPr>
              <w:t>Schedule 5.8(c)</w:t>
            </w:r>
          </w:p>
        </w:tc>
        <w:tc>
          <w:tcPr>
            <w:tcW w:w="9180" w:type="dxa"/>
            <w:vAlign w:val="bottom"/>
          </w:tcPr>
          <w:p>
            <w:pPr>
              <w:ind w:left="620"/>
              <w:spacing w:after="0" w:line="243" w:lineRule="exact"/>
              <w:rPr>
                <w:sz w:val="20"/>
                <w:szCs w:val="20"/>
                <w:color w:val="auto"/>
              </w:rPr>
            </w:pPr>
            <w:r>
              <w:rPr>
                <w:rFonts w:ascii="Times New Roman" w:cs="Times New Roman" w:eastAsia="Times New Roman" w:hAnsi="Times New Roman"/>
                <w:sz w:val="22"/>
                <w:szCs w:val="22"/>
                <w:color w:val="auto"/>
              </w:rPr>
              <w:t>Employee Benefit Plans</w:t>
            </w:r>
          </w:p>
        </w:tc>
      </w:tr>
      <w:tr>
        <w:trPr>
          <w:trHeight w:val="243"/>
        </w:trPr>
        <w:tc>
          <w:tcPr>
            <w:tcW w:w="2060" w:type="dxa"/>
            <w:vAlign w:val="bottom"/>
            <w:gridSpan w:val="4"/>
          </w:tcPr>
          <w:p>
            <w:pPr>
              <w:ind w:left="100"/>
              <w:spacing w:after="0" w:line="243" w:lineRule="exact"/>
              <w:rPr>
                <w:sz w:val="20"/>
                <w:szCs w:val="20"/>
                <w:color w:val="auto"/>
              </w:rPr>
            </w:pPr>
            <w:r>
              <w:rPr>
                <w:rFonts w:ascii="Times New Roman" w:cs="Times New Roman" w:eastAsia="Times New Roman" w:hAnsi="Times New Roman"/>
                <w:sz w:val="22"/>
                <w:szCs w:val="22"/>
                <w:color w:val="auto"/>
              </w:rPr>
              <w:t>Schedule 5.10</w:t>
            </w:r>
          </w:p>
        </w:tc>
        <w:tc>
          <w:tcPr>
            <w:tcW w:w="9180" w:type="dxa"/>
            <w:vAlign w:val="bottom"/>
          </w:tcPr>
          <w:p>
            <w:pPr>
              <w:ind w:left="620"/>
              <w:spacing w:after="0" w:line="243" w:lineRule="exact"/>
              <w:rPr>
                <w:sz w:val="20"/>
                <w:szCs w:val="20"/>
                <w:color w:val="auto"/>
              </w:rPr>
            </w:pPr>
            <w:r>
              <w:rPr>
                <w:rFonts w:ascii="Times New Roman" w:cs="Times New Roman" w:eastAsia="Times New Roman" w:hAnsi="Times New Roman"/>
                <w:sz w:val="22"/>
                <w:szCs w:val="22"/>
                <w:color w:val="auto"/>
              </w:rPr>
              <w:t>Licenses and Permits</w:t>
            </w:r>
          </w:p>
        </w:tc>
      </w:tr>
      <w:tr>
        <w:trPr>
          <w:trHeight w:val="243"/>
        </w:trPr>
        <w:tc>
          <w:tcPr>
            <w:tcW w:w="2060" w:type="dxa"/>
            <w:vAlign w:val="bottom"/>
            <w:gridSpan w:val="4"/>
          </w:tcPr>
          <w:p>
            <w:pPr>
              <w:ind w:left="100"/>
              <w:spacing w:after="0" w:line="243" w:lineRule="exact"/>
              <w:rPr>
                <w:sz w:val="20"/>
                <w:szCs w:val="20"/>
                <w:color w:val="auto"/>
              </w:rPr>
            </w:pPr>
            <w:r>
              <w:rPr>
                <w:rFonts w:ascii="Times New Roman" w:cs="Times New Roman" w:eastAsia="Times New Roman" w:hAnsi="Times New Roman"/>
                <w:sz w:val="22"/>
                <w:szCs w:val="22"/>
                <w:color w:val="auto"/>
              </w:rPr>
              <w:t>Schedule 5.14</w:t>
            </w:r>
          </w:p>
        </w:tc>
        <w:tc>
          <w:tcPr>
            <w:tcW w:w="9180" w:type="dxa"/>
            <w:vAlign w:val="bottom"/>
          </w:tcPr>
          <w:p>
            <w:pPr>
              <w:ind w:left="620"/>
              <w:spacing w:after="0" w:line="243" w:lineRule="exact"/>
              <w:rPr>
                <w:sz w:val="20"/>
                <w:szCs w:val="20"/>
                <w:color w:val="auto"/>
              </w:rPr>
            </w:pPr>
            <w:r>
              <w:rPr>
                <w:rFonts w:ascii="Times New Roman" w:cs="Times New Roman" w:eastAsia="Times New Roman" w:hAnsi="Times New Roman"/>
                <w:sz w:val="22"/>
                <w:szCs w:val="22"/>
                <w:color w:val="auto"/>
              </w:rPr>
              <w:t>Labor Disputes</w:t>
            </w:r>
          </w:p>
        </w:tc>
      </w:tr>
      <w:tr>
        <w:trPr>
          <w:trHeight w:val="243"/>
        </w:trPr>
        <w:tc>
          <w:tcPr>
            <w:tcW w:w="2060" w:type="dxa"/>
            <w:vAlign w:val="bottom"/>
            <w:gridSpan w:val="4"/>
          </w:tcPr>
          <w:p>
            <w:pPr>
              <w:ind w:left="100"/>
              <w:spacing w:after="0" w:line="243" w:lineRule="exact"/>
              <w:rPr>
                <w:sz w:val="20"/>
                <w:szCs w:val="20"/>
                <w:color w:val="auto"/>
              </w:rPr>
            </w:pPr>
            <w:r>
              <w:rPr>
                <w:rFonts w:ascii="Times New Roman" w:cs="Times New Roman" w:eastAsia="Times New Roman" w:hAnsi="Times New Roman"/>
                <w:sz w:val="22"/>
                <w:szCs w:val="22"/>
                <w:color w:val="auto"/>
              </w:rPr>
              <w:t>Schedule 5.24</w:t>
            </w:r>
          </w:p>
        </w:tc>
        <w:tc>
          <w:tcPr>
            <w:tcW w:w="9180" w:type="dxa"/>
            <w:vAlign w:val="bottom"/>
          </w:tcPr>
          <w:p>
            <w:pPr>
              <w:ind w:left="620"/>
              <w:spacing w:after="0" w:line="243" w:lineRule="exact"/>
              <w:rPr>
                <w:sz w:val="20"/>
                <w:szCs w:val="20"/>
                <w:color w:val="auto"/>
              </w:rPr>
            </w:pPr>
            <w:r>
              <w:rPr>
                <w:rFonts w:ascii="Times New Roman" w:cs="Times New Roman" w:eastAsia="Times New Roman" w:hAnsi="Times New Roman"/>
                <w:sz w:val="22"/>
                <w:szCs w:val="22"/>
                <w:color w:val="auto"/>
              </w:rPr>
              <w:t>Equity Interests</w:t>
            </w:r>
          </w:p>
        </w:tc>
      </w:tr>
      <w:tr>
        <w:trPr>
          <w:trHeight w:val="243"/>
        </w:trPr>
        <w:tc>
          <w:tcPr>
            <w:tcW w:w="2060" w:type="dxa"/>
            <w:vAlign w:val="bottom"/>
            <w:gridSpan w:val="4"/>
          </w:tcPr>
          <w:p>
            <w:pPr>
              <w:ind w:left="100"/>
              <w:spacing w:after="0" w:line="243" w:lineRule="exact"/>
              <w:rPr>
                <w:sz w:val="20"/>
                <w:szCs w:val="20"/>
                <w:color w:val="auto"/>
              </w:rPr>
            </w:pPr>
            <w:r>
              <w:rPr>
                <w:rFonts w:ascii="Times New Roman" w:cs="Times New Roman" w:eastAsia="Times New Roman" w:hAnsi="Times New Roman"/>
                <w:sz w:val="22"/>
                <w:szCs w:val="22"/>
                <w:color w:val="auto"/>
              </w:rPr>
              <w:t>Schedule 5.25</w:t>
            </w:r>
          </w:p>
        </w:tc>
        <w:tc>
          <w:tcPr>
            <w:tcW w:w="9180" w:type="dxa"/>
            <w:vAlign w:val="bottom"/>
          </w:tcPr>
          <w:p>
            <w:pPr>
              <w:ind w:left="620"/>
              <w:spacing w:after="0" w:line="243" w:lineRule="exact"/>
              <w:rPr>
                <w:sz w:val="20"/>
                <w:szCs w:val="20"/>
                <w:color w:val="auto"/>
              </w:rPr>
            </w:pPr>
            <w:r>
              <w:rPr>
                <w:rFonts w:ascii="Times New Roman" w:cs="Times New Roman" w:eastAsia="Times New Roman" w:hAnsi="Times New Roman"/>
                <w:sz w:val="22"/>
                <w:szCs w:val="22"/>
                <w:color w:val="auto"/>
              </w:rPr>
              <w:t>Commercial Tort Claims</w:t>
            </w:r>
          </w:p>
        </w:tc>
      </w:tr>
      <w:tr>
        <w:trPr>
          <w:trHeight w:val="243"/>
        </w:trPr>
        <w:tc>
          <w:tcPr>
            <w:tcW w:w="2060" w:type="dxa"/>
            <w:vAlign w:val="bottom"/>
            <w:gridSpan w:val="4"/>
          </w:tcPr>
          <w:p>
            <w:pPr>
              <w:ind w:left="100"/>
              <w:spacing w:after="0" w:line="243" w:lineRule="exact"/>
              <w:rPr>
                <w:sz w:val="20"/>
                <w:szCs w:val="20"/>
                <w:color w:val="auto"/>
              </w:rPr>
            </w:pPr>
            <w:r>
              <w:rPr>
                <w:rFonts w:ascii="Times New Roman" w:cs="Times New Roman" w:eastAsia="Times New Roman" w:hAnsi="Times New Roman"/>
                <w:sz w:val="22"/>
                <w:szCs w:val="22"/>
                <w:color w:val="auto"/>
              </w:rPr>
              <w:t>Schedule 5.26</w:t>
            </w:r>
          </w:p>
        </w:tc>
        <w:tc>
          <w:tcPr>
            <w:tcW w:w="9180" w:type="dxa"/>
            <w:vAlign w:val="bottom"/>
          </w:tcPr>
          <w:p>
            <w:pPr>
              <w:ind w:left="620"/>
              <w:spacing w:after="0" w:line="243" w:lineRule="exact"/>
              <w:rPr>
                <w:sz w:val="20"/>
                <w:szCs w:val="20"/>
                <w:color w:val="auto"/>
              </w:rPr>
            </w:pPr>
            <w:r>
              <w:rPr>
                <w:rFonts w:ascii="Times New Roman" w:cs="Times New Roman" w:eastAsia="Times New Roman" w:hAnsi="Times New Roman"/>
                <w:sz w:val="22"/>
                <w:szCs w:val="22"/>
                <w:color w:val="auto"/>
              </w:rPr>
              <w:t>Letter of Credit Rights</w:t>
            </w:r>
          </w:p>
        </w:tc>
      </w:tr>
      <w:tr>
        <w:trPr>
          <w:trHeight w:val="243"/>
        </w:trPr>
        <w:tc>
          <w:tcPr>
            <w:tcW w:w="2060" w:type="dxa"/>
            <w:vAlign w:val="bottom"/>
            <w:gridSpan w:val="4"/>
          </w:tcPr>
          <w:p>
            <w:pPr>
              <w:ind w:left="100"/>
              <w:spacing w:after="0" w:line="243" w:lineRule="exact"/>
              <w:rPr>
                <w:sz w:val="20"/>
                <w:szCs w:val="20"/>
                <w:color w:val="auto"/>
              </w:rPr>
            </w:pPr>
            <w:r>
              <w:rPr>
                <w:rFonts w:ascii="Times New Roman" w:cs="Times New Roman" w:eastAsia="Times New Roman" w:hAnsi="Times New Roman"/>
                <w:sz w:val="22"/>
                <w:szCs w:val="22"/>
                <w:color w:val="auto"/>
              </w:rPr>
              <w:t>Schedule 6.17</w:t>
            </w:r>
          </w:p>
        </w:tc>
        <w:tc>
          <w:tcPr>
            <w:tcW w:w="9180" w:type="dxa"/>
            <w:vAlign w:val="bottom"/>
          </w:tcPr>
          <w:p>
            <w:pPr>
              <w:ind w:left="620"/>
              <w:spacing w:after="0" w:line="243" w:lineRule="exact"/>
              <w:rPr>
                <w:sz w:val="20"/>
                <w:szCs w:val="20"/>
                <w:color w:val="auto"/>
              </w:rPr>
            </w:pPr>
            <w:r>
              <w:rPr>
                <w:rFonts w:ascii="Times New Roman" w:cs="Times New Roman" w:eastAsia="Times New Roman" w:hAnsi="Times New Roman"/>
                <w:sz w:val="22"/>
                <w:szCs w:val="22"/>
                <w:color w:val="auto"/>
              </w:rPr>
              <w:t>Post-Closing Covenants</w:t>
            </w:r>
          </w:p>
        </w:tc>
      </w:tr>
      <w:tr>
        <w:trPr>
          <w:trHeight w:val="243"/>
        </w:trPr>
        <w:tc>
          <w:tcPr>
            <w:tcW w:w="2060" w:type="dxa"/>
            <w:vAlign w:val="bottom"/>
            <w:gridSpan w:val="4"/>
          </w:tcPr>
          <w:p>
            <w:pPr>
              <w:ind w:left="100"/>
              <w:spacing w:after="0" w:line="243" w:lineRule="exact"/>
              <w:rPr>
                <w:sz w:val="20"/>
                <w:szCs w:val="20"/>
                <w:color w:val="auto"/>
              </w:rPr>
            </w:pPr>
            <w:r>
              <w:rPr>
                <w:rFonts w:ascii="Times New Roman" w:cs="Times New Roman" w:eastAsia="Times New Roman" w:hAnsi="Times New Roman"/>
                <w:sz w:val="22"/>
                <w:szCs w:val="22"/>
                <w:color w:val="auto"/>
              </w:rPr>
              <w:t>Schedule 7.10</w:t>
            </w:r>
          </w:p>
        </w:tc>
        <w:tc>
          <w:tcPr>
            <w:tcW w:w="9180" w:type="dxa"/>
            <w:vAlign w:val="bottom"/>
          </w:tcPr>
          <w:p>
            <w:pPr>
              <w:ind w:left="620"/>
              <w:spacing w:after="0" w:line="243" w:lineRule="exact"/>
              <w:rPr>
                <w:sz w:val="20"/>
                <w:szCs w:val="20"/>
                <w:color w:val="auto"/>
              </w:rPr>
            </w:pPr>
            <w:r>
              <w:rPr>
                <w:rFonts w:ascii="Times New Roman" w:cs="Times New Roman" w:eastAsia="Times New Roman" w:hAnsi="Times New Roman"/>
                <w:sz w:val="22"/>
                <w:szCs w:val="22"/>
                <w:color w:val="auto"/>
              </w:rPr>
              <w:t>Affiliate Transactions</w:t>
            </w:r>
          </w:p>
        </w:tc>
      </w:tr>
      <w:tr>
        <w:trPr>
          <w:trHeight w:val="282"/>
        </w:trPr>
        <w:tc>
          <w:tcPr>
            <w:tcW w:w="2060" w:type="dxa"/>
            <w:vAlign w:val="bottom"/>
            <w:gridSpan w:val="4"/>
          </w:tcPr>
          <w:p>
            <w:pPr>
              <w:ind w:left="100"/>
              <w:spacing w:after="0"/>
              <w:rPr>
                <w:sz w:val="20"/>
                <w:szCs w:val="20"/>
                <w:color w:val="auto"/>
              </w:rPr>
            </w:pPr>
            <w:r>
              <w:rPr>
                <w:rFonts w:ascii="Times New Roman" w:cs="Times New Roman" w:eastAsia="Times New Roman" w:hAnsi="Times New Roman"/>
                <w:sz w:val="22"/>
                <w:szCs w:val="22"/>
                <w:color w:val="auto"/>
              </w:rPr>
              <w:t>Schedule 16.3</w:t>
            </w:r>
          </w:p>
        </w:tc>
        <w:tc>
          <w:tcPr>
            <w:tcW w:w="9180" w:type="dxa"/>
            <w:vAlign w:val="bottom"/>
          </w:tcPr>
          <w:p>
            <w:pPr>
              <w:ind w:left="620"/>
              <w:spacing w:after="0"/>
              <w:rPr>
                <w:sz w:val="20"/>
                <w:szCs w:val="20"/>
                <w:color w:val="auto"/>
              </w:rPr>
            </w:pPr>
            <w:r>
              <w:rPr>
                <w:rFonts w:ascii="Times New Roman" w:cs="Times New Roman" w:eastAsia="Times New Roman" w:hAnsi="Times New Roman"/>
                <w:sz w:val="22"/>
                <w:szCs w:val="22"/>
                <w:color w:val="auto"/>
              </w:rPr>
              <w:t>Competitors</w:t>
            </w:r>
          </w:p>
        </w:tc>
      </w:tr>
      <w:tr>
        <w:trPr>
          <w:trHeight w:val="864"/>
        </w:trPr>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180" w:type="dxa"/>
            <w:vAlign w:val="bottom"/>
          </w:tcPr>
          <w:p>
            <w:pPr>
              <w:ind w:left="3380"/>
              <w:spacing w:after="0"/>
              <w:rPr>
                <w:sz w:val="20"/>
                <w:szCs w:val="20"/>
                <w:color w:val="auto"/>
              </w:rPr>
            </w:pPr>
            <w:r>
              <w:rPr>
                <w:rFonts w:ascii="Times New Roman" w:cs="Times New Roman" w:eastAsia="Times New Roman" w:hAnsi="Times New Roman"/>
                <w:sz w:val="22"/>
                <w:szCs w:val="22"/>
                <w:color w:val="auto"/>
              </w:rPr>
              <w:t>-vii-</w:t>
            </w:r>
          </w:p>
        </w:tc>
      </w:tr>
      <w:tr>
        <w:trPr>
          <w:trHeight w:val="751"/>
        </w:trPr>
        <w:tc>
          <w:tcPr>
            <w:tcW w:w="7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9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50" w:name="page51"/>
    <w:bookmarkEnd w:id="50"/>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SECOND AMENDED AND RESTATED</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REVOLVING CREDIT AND SECURITY AGREEMENT</w:t>
      </w:r>
    </w:p>
    <w:p>
      <w:pPr>
        <w:spacing w:after="0" w:line="200" w:lineRule="exact"/>
        <w:rPr>
          <w:sz w:val="20"/>
          <w:szCs w:val="20"/>
          <w:color w:val="auto"/>
        </w:rPr>
      </w:pPr>
    </w:p>
    <w:p>
      <w:pPr>
        <w:spacing w:after="0" w:line="202" w:lineRule="exact"/>
        <w:rPr>
          <w:sz w:val="20"/>
          <w:szCs w:val="20"/>
          <w:color w:val="auto"/>
        </w:rPr>
      </w:pPr>
    </w:p>
    <w:p>
      <w:pPr>
        <w:jc w:val="both"/>
        <w:ind w:firstLine="749"/>
        <w:spacing w:after="0" w:line="259" w:lineRule="auto"/>
        <w:rPr>
          <w:sz w:val="20"/>
          <w:szCs w:val="20"/>
          <w:color w:val="auto"/>
        </w:rPr>
      </w:pPr>
      <w:r>
        <w:rPr>
          <w:rFonts w:ascii="Times New Roman" w:cs="Times New Roman" w:eastAsia="Times New Roman" w:hAnsi="Times New Roman"/>
          <w:sz w:val="22"/>
          <w:szCs w:val="22"/>
          <w:color w:val="auto"/>
        </w:rPr>
        <w:t>Second Amended and Restated Revolving Credit and Security Agreement dated as of July 29, 2022 among GREAT LAKES DREDGE &amp; DOCK CORPORATION, a Delaware corporation ("</w:t>
      </w:r>
      <w:r>
        <w:rPr>
          <w:rFonts w:ascii="Times New Roman" w:cs="Times New Roman" w:eastAsia="Times New Roman" w:hAnsi="Times New Roman"/>
          <w:sz w:val="22"/>
          <w:szCs w:val="22"/>
          <w:u w:val="single" w:color="auto"/>
          <w:color w:val="auto"/>
        </w:rPr>
        <w:t>GLDD</w:t>
      </w:r>
      <w:r>
        <w:rPr>
          <w:rFonts w:ascii="Times New Roman" w:cs="Times New Roman" w:eastAsia="Times New Roman" w:hAnsi="Times New Roman"/>
          <w:sz w:val="22"/>
          <w:szCs w:val="22"/>
          <w:color w:val="auto"/>
        </w:rPr>
        <w:t>"), GREAT LAKES DREDGE &amp; DOCK COMPANY, LLC, a Delaware limited liability company ("</w:t>
      </w:r>
      <w:r>
        <w:rPr>
          <w:rFonts w:ascii="Times New Roman" w:cs="Times New Roman" w:eastAsia="Times New Roman" w:hAnsi="Times New Roman"/>
          <w:sz w:val="22"/>
          <w:szCs w:val="22"/>
          <w:u w:val="single" w:color="auto"/>
          <w:color w:val="auto"/>
        </w:rPr>
        <w:t>GLDD LLC</w:t>
      </w:r>
      <w:r>
        <w:rPr>
          <w:rFonts w:ascii="Times New Roman" w:cs="Times New Roman" w:eastAsia="Times New Roman" w:hAnsi="Times New Roman"/>
          <w:sz w:val="22"/>
          <w:szCs w:val="22"/>
          <w:color w:val="auto"/>
        </w:rPr>
        <w:t>"), NASDI HOLDINGS, LLC, a Delaware limited liability company ("</w:t>
      </w:r>
      <w:r>
        <w:rPr>
          <w:rFonts w:ascii="Times New Roman" w:cs="Times New Roman" w:eastAsia="Times New Roman" w:hAnsi="Times New Roman"/>
          <w:sz w:val="22"/>
          <w:szCs w:val="22"/>
          <w:u w:val="single" w:color="auto"/>
          <w:color w:val="auto"/>
        </w:rPr>
        <w:t>NASDI</w:t>
      </w:r>
      <w:r>
        <w:rPr>
          <w:rFonts w:ascii="Times New Roman" w:cs="Times New Roman" w:eastAsia="Times New Roman" w:hAnsi="Times New Roman"/>
          <w:sz w:val="22"/>
          <w:szCs w:val="22"/>
          <w:color w:val="auto"/>
        </w:rPr>
        <w:t>), GREAT LAKES ENVIRONMENTAL &amp; INFRASTRUCTURE SOLUTIONS, LLC, a Delaware limited liability company ("</w:t>
      </w:r>
      <w:r>
        <w:rPr>
          <w:rFonts w:ascii="Times New Roman" w:cs="Times New Roman" w:eastAsia="Times New Roman" w:hAnsi="Times New Roman"/>
          <w:sz w:val="22"/>
          <w:szCs w:val="22"/>
          <w:u w:val="single" w:color="auto"/>
          <w:color w:val="auto"/>
        </w:rPr>
        <w:t>Solutions</w:t>
      </w:r>
      <w:r>
        <w:rPr>
          <w:rFonts w:ascii="Times New Roman" w:cs="Times New Roman" w:eastAsia="Times New Roman" w:hAnsi="Times New Roman"/>
          <w:sz w:val="22"/>
          <w:szCs w:val="22"/>
          <w:color w:val="auto"/>
        </w:rPr>
        <w:t>"), GREAT LAKES U.S. FLEET MANAGEMENT, LLC, a Delaware limited liability company ("</w:t>
      </w:r>
      <w:r>
        <w:rPr>
          <w:rFonts w:ascii="Times New Roman" w:cs="Times New Roman" w:eastAsia="Times New Roman" w:hAnsi="Times New Roman"/>
          <w:sz w:val="22"/>
          <w:szCs w:val="22"/>
          <w:u w:val="single" w:color="auto"/>
          <w:color w:val="auto"/>
        </w:rPr>
        <w:t>Fleet</w:t>
      </w:r>
      <w:r>
        <w:rPr>
          <w:rFonts w:ascii="Times New Roman" w:cs="Times New Roman" w:eastAsia="Times New Roman" w:hAnsi="Times New Roman"/>
          <w:sz w:val="22"/>
          <w:szCs w:val="22"/>
          <w:color w:val="auto"/>
        </w:rPr>
        <w:t>"), DREWS SERVICES LLC, a South Carolina limited liability company ("</w:t>
      </w:r>
      <w:r>
        <w:rPr>
          <w:rFonts w:ascii="Times New Roman" w:cs="Times New Roman" w:eastAsia="Times New Roman" w:hAnsi="Times New Roman"/>
          <w:sz w:val="22"/>
          <w:szCs w:val="22"/>
          <w:u w:val="single" w:color="auto"/>
          <w:color w:val="auto"/>
        </w:rPr>
        <w:t>Drews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Services</w:t>
      </w:r>
      <w:r>
        <w:rPr>
          <w:rFonts w:ascii="Times New Roman" w:cs="Times New Roman" w:eastAsia="Times New Roman" w:hAnsi="Times New Roman"/>
          <w:sz w:val="22"/>
          <w:szCs w:val="22"/>
          <w:color w:val="auto"/>
        </w:rPr>
        <w:t>") (GLDD, GLDD LLC, NASDI, Solutions, Fleet and Drews Services, and each Person joined hereto as a borrower from time to time, collectively, the "</w:t>
      </w:r>
      <w:r>
        <w:rPr>
          <w:rFonts w:ascii="Times New Roman" w:cs="Times New Roman" w:eastAsia="Times New Roman" w:hAnsi="Times New Roman"/>
          <w:sz w:val="22"/>
          <w:szCs w:val="22"/>
          <w:u w:val="single" w:color="auto"/>
          <w:color w:val="auto"/>
        </w:rPr>
        <w:t>Borrowers</w:t>
      </w:r>
      <w:r>
        <w:rPr>
          <w:rFonts w:ascii="Times New Roman" w:cs="Times New Roman" w:eastAsia="Times New Roman" w:hAnsi="Times New Roman"/>
          <w:sz w:val="22"/>
          <w:szCs w:val="22"/>
          <w:color w:val="auto"/>
        </w:rPr>
        <w:t>", and each a "</w:t>
      </w:r>
      <w:r>
        <w:rPr>
          <w:rFonts w:ascii="Times New Roman" w:cs="Times New Roman" w:eastAsia="Times New Roman" w:hAnsi="Times New Roman"/>
          <w:sz w:val="22"/>
          <w:szCs w:val="22"/>
          <w:u w:val="single" w:color="auto"/>
          <w:color w:val="auto"/>
        </w:rPr>
        <w:t>Borrower</w:t>
      </w:r>
      <w:r>
        <w:rPr>
          <w:rFonts w:ascii="Times New Roman" w:cs="Times New Roman" w:eastAsia="Times New Roman" w:hAnsi="Times New Roman"/>
          <w:sz w:val="22"/>
          <w:szCs w:val="22"/>
          <w:color w:val="auto"/>
        </w:rPr>
        <w:t>"), each other Credit Party party hereto from time to time, the financial institutions which are now or which hereafter become a party hereto (collectively, the "</w:t>
      </w:r>
      <w:r>
        <w:rPr>
          <w:rFonts w:ascii="Times New Roman" w:cs="Times New Roman" w:eastAsia="Times New Roman" w:hAnsi="Times New Roman"/>
          <w:sz w:val="22"/>
          <w:szCs w:val="22"/>
          <w:u w:val="single" w:color="auto"/>
          <w:color w:val="auto"/>
        </w:rPr>
        <w:t>Lenders</w:t>
      </w:r>
      <w:r>
        <w:rPr>
          <w:rFonts w:ascii="Times New Roman" w:cs="Times New Roman" w:eastAsia="Times New Roman" w:hAnsi="Times New Roman"/>
          <w:sz w:val="22"/>
          <w:szCs w:val="22"/>
          <w:color w:val="auto"/>
        </w:rPr>
        <w:t>" and each individually a "</w:t>
      </w:r>
      <w:r>
        <w:rPr>
          <w:rFonts w:ascii="Times New Roman" w:cs="Times New Roman" w:eastAsia="Times New Roman" w:hAnsi="Times New Roman"/>
          <w:sz w:val="22"/>
          <w:szCs w:val="22"/>
          <w:u w:val="single" w:color="auto"/>
          <w:color w:val="auto"/>
        </w:rPr>
        <w:t>Lender</w:t>
      </w:r>
      <w:r>
        <w:rPr>
          <w:rFonts w:ascii="Times New Roman" w:cs="Times New Roman" w:eastAsia="Times New Roman" w:hAnsi="Times New Roman"/>
          <w:sz w:val="22"/>
          <w:szCs w:val="22"/>
          <w:color w:val="auto"/>
        </w:rPr>
        <w:t>"), PNC CAPITAL MARKETS, CIBC BANK USA, BANK OF AMERICA, N.A. and TRUIST SECURITIES, INC., as joint lead arrangers and joint bookrunners, CIBC BANK USA and TRUST BANK, as co-syndication agents, BANK OF AMERICA, N.A., as documentation agent, and PNC BANK, NATIONAL ASSOCIATION ("</w:t>
      </w:r>
      <w:r>
        <w:rPr>
          <w:rFonts w:ascii="Times New Roman" w:cs="Times New Roman" w:eastAsia="Times New Roman" w:hAnsi="Times New Roman"/>
          <w:sz w:val="22"/>
          <w:szCs w:val="22"/>
          <w:u w:val="single" w:color="auto"/>
          <w:color w:val="auto"/>
        </w:rPr>
        <w:t>PNC</w:t>
      </w:r>
      <w:r>
        <w:rPr>
          <w:rFonts w:ascii="Times New Roman" w:cs="Times New Roman" w:eastAsia="Times New Roman" w:hAnsi="Times New Roman"/>
          <w:sz w:val="22"/>
          <w:szCs w:val="22"/>
          <w:color w:val="auto"/>
        </w:rPr>
        <w:t>"), as agent for Lenders (PNC, in such capacity, the "</w:t>
      </w:r>
      <w:r>
        <w:rPr>
          <w:rFonts w:ascii="Times New Roman" w:cs="Times New Roman" w:eastAsia="Times New Roman" w:hAnsi="Times New Roman"/>
          <w:sz w:val="22"/>
          <w:szCs w:val="22"/>
          <w:u w:val="single" w:color="auto"/>
          <w:color w:val="auto"/>
        </w:rPr>
        <w:t>Agent</w:t>
      </w:r>
      <w:r>
        <w:rPr>
          <w:rFonts w:ascii="Times New Roman" w:cs="Times New Roman" w:eastAsia="Times New Roman" w:hAnsi="Times New Roman"/>
          <w:sz w:val="22"/>
          <w:szCs w:val="22"/>
          <w:color w:val="auto"/>
        </w:rPr>
        <w:t>").</w:t>
      </w:r>
    </w:p>
    <w:p>
      <w:pPr>
        <w:spacing w:after="0" w:line="177" w:lineRule="exact"/>
        <w:rPr>
          <w:sz w:val="20"/>
          <w:szCs w:val="20"/>
          <w:color w:val="auto"/>
        </w:rPr>
      </w:pPr>
    </w:p>
    <w:p>
      <w:pPr>
        <w:jc w:val="both"/>
        <w:ind w:firstLine="749"/>
        <w:spacing w:after="0" w:line="295" w:lineRule="auto"/>
        <w:rPr>
          <w:sz w:val="20"/>
          <w:szCs w:val="20"/>
          <w:color w:val="auto"/>
        </w:rPr>
      </w:pPr>
      <w:r>
        <w:rPr>
          <w:rFonts w:ascii="Times New Roman" w:cs="Times New Roman" w:eastAsia="Times New Roman" w:hAnsi="Times New Roman"/>
          <w:sz w:val="22"/>
          <w:szCs w:val="22"/>
          <w:color w:val="auto"/>
        </w:rPr>
        <w:t>IN CONSIDERATION of the mutual covenants and undertakings herein contained, Borrowers, the other Credit Parties party hereto, Lenders and Agent hereby agree as follows:</w:t>
      </w:r>
    </w:p>
    <w:p>
      <w:pPr>
        <w:spacing w:after="0" w:line="12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b w:val="1"/>
          <w:bCs w:val="1"/>
          <w:color w:val="auto"/>
        </w:rPr>
        <w:t>DEFINITIONS.</w:t>
      </w:r>
    </w:p>
    <w:p>
      <w:pPr>
        <w:spacing w:after="0" w:line="206" w:lineRule="exact"/>
        <w:rPr>
          <w:sz w:val="20"/>
          <w:szCs w:val="20"/>
          <w:color w:val="auto"/>
        </w:rPr>
      </w:pPr>
    </w:p>
    <w:p>
      <w:pPr>
        <w:jc w:val="both"/>
        <w:ind w:firstLine="1497"/>
        <w:spacing w:after="0" w:line="233" w:lineRule="auto"/>
        <w:rPr>
          <w:sz w:val="20"/>
          <w:szCs w:val="20"/>
          <w:color w:val="auto"/>
        </w:rPr>
      </w:pPr>
      <w:r>
        <w:rPr>
          <w:rFonts w:ascii="Times New Roman" w:cs="Times New Roman" w:eastAsia="Times New Roman" w:hAnsi="Times New Roman"/>
          <w:sz w:val="22"/>
          <w:szCs w:val="22"/>
          <w:b w:val="1"/>
          <w:bCs w:val="1"/>
          <w:u w:val="single" w:color="auto"/>
          <w:color w:val="auto"/>
        </w:rPr>
        <w:t>Accounting Terms</w:t>
      </w:r>
      <w:r>
        <w:rPr>
          <w:rFonts w:ascii="Times New Roman" w:cs="Times New Roman" w:eastAsia="Times New Roman" w:hAnsi="Times New Roman"/>
          <w:sz w:val="22"/>
          <w:szCs w:val="22"/>
          <w:b w:val="1"/>
          <w:bCs w:val="1"/>
          <w:color w:val="auto"/>
        </w:rPr>
        <w:t>. As used in this Agreement, the Other Documents or any certificate, report or other document made or delivered pursuant to this Agreement, accounting terms not defined in Section 1.2 or elsewhere in this Agreement and accounting terms partly defined in Section 1.2 to the extent not defined shall have the respective meanings given to them under GAAP. Notwithstanding any other provision contained herein, any lease that was treated as an operating lease for purposes of GAAP as of December 31, 2018 shall not be treated as Indebtedness or as a Capitalized Lease Obligation and shall continue to be treated as an operating lease (and any future lease, if it were in effect on December 31, 2018, that would be treated as an operating lease for purposes of GAAP as of December 31, 2018 shall be treated as an operating lease), in each case for purposes of this Agreement, notwithstanding any actual or proposed change in or application of GAAP after such date. If there occurs after the Closing Date any change in GAAP that affects in any respect the calculation of any covenant contained in this Agreement or the definition of any term defined under GAAP used in such calculations, Agent, Lenders and Borrowers shall negotiate in good faith to amend the provisions of this Agreement that relate to the calculation of such covenants with the intent of having the respective positions of Agent, Lenders and Borrowers after such change in GAAP conform as nearly as possible to their respective positions as of the Closing Date, provided, that, until any such amendments have been agreed upon, the covenants in this Agreement shall be calculated as if no such change in GAAP had occurred and Borrowers shall provide additional financial statements or supplements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1009650</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51" w:name="page52"/>
    <w:bookmarkEnd w:id="51"/>
    <w:p>
      <w:pPr>
        <w:jc w:val="both"/>
        <w:spacing w:after="0" w:line="241" w:lineRule="auto"/>
        <w:rPr>
          <w:sz w:val="20"/>
          <w:szCs w:val="20"/>
          <w:color w:val="auto"/>
        </w:rPr>
      </w:pPr>
      <w:r>
        <w:rPr>
          <w:rFonts w:ascii="Times New Roman" w:cs="Times New Roman" w:eastAsia="Times New Roman" w:hAnsi="Times New Roman"/>
          <w:sz w:val="22"/>
          <w:szCs w:val="22"/>
          <w:b w:val="1"/>
          <w:bCs w:val="1"/>
          <w:color w:val="auto"/>
        </w:rPr>
        <w:t>attachments to Compliance Certificates and/or calculations regarding financial covenants as Agent may reasonably require in order to provide the appropriate financial information required hereunder both reflecting any applicable changes in GAAP and as necessary to demonstrate compliance with the financial covenants before giving effect to the applicable changes in GAAP.</w:t>
      </w:r>
    </w:p>
    <w:p>
      <w:pPr>
        <w:spacing w:after="0" w:line="17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b w:val="1"/>
          <w:bCs w:val="1"/>
          <w:u w:val="single" w:color="auto"/>
          <w:color w:val="auto"/>
        </w:rPr>
        <w:t>General Terms</w:t>
      </w:r>
      <w:r>
        <w:rPr>
          <w:rFonts w:ascii="Times New Roman" w:cs="Times New Roman" w:eastAsia="Times New Roman" w:hAnsi="Times New Roman"/>
          <w:sz w:val="22"/>
          <w:szCs w:val="22"/>
          <w:b w:val="1"/>
          <w:bCs w:val="1"/>
          <w:color w:val="auto"/>
        </w:rPr>
        <w:t>. For purposes of this Agreement the following terms shall have the following meanings:</w:t>
      </w:r>
    </w:p>
    <w:p>
      <w:pPr>
        <w:spacing w:after="0" w:line="214"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Acceptable Appraisal</w:t>
      </w:r>
      <w:r>
        <w:rPr>
          <w:rFonts w:ascii="Times New Roman" w:cs="Times New Roman" w:eastAsia="Times New Roman" w:hAnsi="Times New Roman"/>
          <w:sz w:val="22"/>
          <w:szCs w:val="22"/>
          <w:color w:val="auto"/>
        </w:rPr>
        <w:t>" shall mean, as of any date of determination, with respect to an appraisal of Equipment, the most recent appraisal of such Equipment received by Agent as of such date of determination, to determine the Net Orderly Liquidation Value thereof (i) from an Approved Appraiser and (ii) the scope and methodology of which are reasonably satisfactory to Agent.</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Accountants</w:t>
      </w:r>
      <w:r>
        <w:rPr>
          <w:rFonts w:ascii="Times New Roman" w:cs="Times New Roman" w:eastAsia="Times New Roman" w:hAnsi="Times New Roman"/>
          <w:sz w:val="22"/>
          <w:szCs w:val="22"/>
          <w:color w:val="auto"/>
        </w:rPr>
        <w:t>" shall have the meaning set forth in Section 9.7 hereof.</w:t>
      </w:r>
    </w:p>
    <w:p>
      <w:pPr>
        <w:spacing w:after="0" w:line="233"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Acquired Indebtedness</w:t>
      </w:r>
      <w:r>
        <w:rPr>
          <w:rFonts w:ascii="Times New Roman" w:cs="Times New Roman" w:eastAsia="Times New Roman" w:hAnsi="Times New Roman"/>
          <w:sz w:val="22"/>
          <w:szCs w:val="22"/>
          <w:color w:val="auto"/>
        </w:rPr>
        <w:t>" shall mean (i) with respect to any Person that becomes a Subsidiary of GLDD after the Closing Date in a Permitted Acquisition, Indebtedness of such Person and its Subsidiaries existing at the time such Person becomes a Subsidiary of GLDD that was not incurred in connection with, or in contemplation of, such Person becoming a Subsidiary of GLDD and (ii) with respect to the Borrowers or any Subsidiary of GLDD, any Indebtedness of a Person (other than the Borrower or a Subsidiary of GLDD) existing at the time such Person is merged with or into the Borrower or a Subsidiary of GLDD in a Permitted Acquisition, or Indebtedness expressly assumed by the Borrower or any Subsidiary of GLDD in connection with the acquisition of an asset or assets from another Person in a Permitted Acquisition, which Indebtedness was not, in any case, incurred by such other Person in connection with, or in contemplation of, such merger or acquisition.</w:t>
      </w:r>
    </w:p>
    <w:p>
      <w:pPr>
        <w:spacing w:after="0" w:line="17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Advance Rates</w:t>
      </w:r>
      <w:r>
        <w:rPr>
          <w:rFonts w:ascii="Times New Roman" w:cs="Times New Roman" w:eastAsia="Times New Roman" w:hAnsi="Times New Roman"/>
          <w:sz w:val="22"/>
          <w:szCs w:val="22"/>
          <w:color w:val="auto"/>
        </w:rPr>
        <w:t>" shall have the meaning set forth in Section 2.1(a)(z)(iii) hereof.</w:t>
      </w:r>
    </w:p>
    <w:p>
      <w:pPr>
        <w:spacing w:after="0" w:line="233" w:lineRule="exact"/>
        <w:rPr>
          <w:sz w:val="20"/>
          <w:szCs w:val="20"/>
          <w:color w:val="auto"/>
        </w:rPr>
      </w:pPr>
    </w:p>
    <w:p>
      <w:pPr>
        <w:jc w:val="both"/>
        <w:ind w:firstLine="749"/>
        <w:spacing w:after="0" w:line="29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Advances</w:t>
      </w:r>
      <w:r>
        <w:rPr>
          <w:rFonts w:ascii="Times New Roman" w:cs="Times New Roman" w:eastAsia="Times New Roman" w:hAnsi="Times New Roman"/>
          <w:sz w:val="22"/>
          <w:szCs w:val="22"/>
          <w:color w:val="auto"/>
        </w:rPr>
        <w:t>" shall mean and include the Revolving Advances (including Green Loan Advances, Protective Advances and Intentional Overadvances), Letters of Credit, Letter of Credit Borrowings and the Swing Loans.</w:t>
      </w:r>
    </w:p>
    <w:p>
      <w:pPr>
        <w:spacing w:after="0" w:line="13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Affected Financial Institution</w:t>
      </w:r>
      <w:r>
        <w:rPr>
          <w:rFonts w:ascii="Times New Roman" w:cs="Times New Roman" w:eastAsia="Times New Roman" w:hAnsi="Times New Roman"/>
          <w:sz w:val="22"/>
          <w:szCs w:val="22"/>
          <w:color w:val="auto"/>
        </w:rPr>
        <w:t>" shall mean (a) any EEA Financial Institution or (b) any UK Financial Institution.</w:t>
      </w:r>
    </w:p>
    <w:p>
      <w:pPr>
        <w:spacing w:after="0" w:line="23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Affected Lender</w:t>
      </w:r>
      <w:r>
        <w:rPr>
          <w:rFonts w:ascii="Times New Roman" w:cs="Times New Roman" w:eastAsia="Times New Roman" w:hAnsi="Times New Roman"/>
          <w:sz w:val="22"/>
          <w:szCs w:val="22"/>
          <w:color w:val="auto"/>
        </w:rPr>
        <w:t>" shall have the meaning set forth in Section 3.11 hereof.</w:t>
      </w:r>
    </w:p>
    <w:p>
      <w:pPr>
        <w:spacing w:after="0" w:line="233" w:lineRule="exact"/>
        <w:rPr>
          <w:sz w:val="20"/>
          <w:szCs w:val="20"/>
          <w:color w:val="auto"/>
        </w:rPr>
      </w:pPr>
    </w:p>
    <w:p>
      <w:pPr>
        <w:jc w:val="both"/>
        <w:ind w:firstLine="749"/>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Affiliate</w:t>
      </w:r>
      <w:r>
        <w:rPr>
          <w:rFonts w:ascii="Times New Roman" w:cs="Times New Roman" w:eastAsia="Times New Roman" w:hAnsi="Times New Roman"/>
          <w:sz w:val="22"/>
          <w:szCs w:val="22"/>
          <w:color w:val="auto"/>
        </w:rPr>
        <w:t>" of any Person shall mean (a) any Person which, directly or indirectly, is in control of, is controlled by, or is under common control with such Person, or (b) any Person who is a director, manager, member, managing member, general partner or officer (i) of such Person, (ii) of any Subsidiary of such Person or (iii) of any Person described in clause</w:t>
      </w:r>
    </w:p>
    <w:p>
      <w:pPr>
        <w:spacing w:after="0" w:line="3" w:lineRule="exact"/>
        <w:rPr>
          <w:sz w:val="20"/>
          <w:szCs w:val="20"/>
          <w:color w:val="auto"/>
        </w:rPr>
      </w:pPr>
    </w:p>
    <w:p>
      <w:pPr>
        <w:jc w:val="both"/>
        <w:ind w:firstLine="8"/>
        <w:spacing w:after="0" w:line="264" w:lineRule="auto"/>
        <w:tabs>
          <w:tab w:leader="none" w:pos="338"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above. For purposes of this definition, control of a Person shall mean the power, direct or indirect, (x) to vote ten percent (10%) or more of the Equity Interests having ordinary voting power for the election of directors of such Person or other Persons performing similar functions</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52" w:name="page53"/>
    <w:bookmarkEnd w:id="52"/>
    <w:p>
      <w:pPr>
        <w:spacing w:after="0" w:line="295" w:lineRule="auto"/>
        <w:rPr>
          <w:sz w:val="20"/>
          <w:szCs w:val="20"/>
          <w:color w:val="auto"/>
        </w:rPr>
      </w:pPr>
      <w:r>
        <w:rPr>
          <w:rFonts w:ascii="Times New Roman" w:cs="Times New Roman" w:eastAsia="Times New Roman" w:hAnsi="Times New Roman"/>
          <w:sz w:val="22"/>
          <w:szCs w:val="22"/>
          <w:color w:val="auto"/>
        </w:rPr>
        <w:t>for any such Person, or (y) to direct or cause the direction of the management and policies of such Person whether by ownership of Equity Interests, contract or otherwise.</w:t>
      </w:r>
    </w:p>
    <w:p>
      <w:pPr>
        <w:spacing w:after="0" w:line="13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Agent</w:t>
      </w:r>
      <w:r>
        <w:rPr>
          <w:rFonts w:ascii="Times New Roman" w:cs="Times New Roman" w:eastAsia="Times New Roman" w:hAnsi="Times New Roman"/>
          <w:sz w:val="22"/>
          <w:szCs w:val="22"/>
          <w:color w:val="auto"/>
        </w:rPr>
        <w:t>" shall have the meaning set forth in the preamble to this Agreement and shall include its successors and</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assigns.</w:t>
      </w:r>
    </w:p>
    <w:p>
      <w:pPr>
        <w:spacing w:after="0" w:line="209" w:lineRule="exact"/>
        <w:rPr>
          <w:sz w:val="20"/>
          <w:szCs w:val="20"/>
          <w:color w:val="auto"/>
        </w:rPr>
      </w:pPr>
    </w:p>
    <w:p>
      <w:pPr>
        <w:ind w:firstLine="749"/>
        <w:spacing w:after="0" w:line="29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shall mean this Amended and Restated Revolving Credit and Security Agreement, as the same may be further amended, restated, supplemented or otherwise modified from time to time.</w:t>
      </w:r>
    </w:p>
    <w:p>
      <w:pPr>
        <w:spacing w:after="0" w:line="13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Agreement Currency</w:t>
      </w:r>
      <w:r>
        <w:rPr>
          <w:rFonts w:ascii="Times New Roman" w:cs="Times New Roman" w:eastAsia="Times New Roman" w:hAnsi="Times New Roman"/>
          <w:sz w:val="22"/>
          <w:szCs w:val="22"/>
          <w:color w:val="auto"/>
        </w:rPr>
        <w:t>" shall have the meaning set forth in Section 16.20.</w:t>
      </w:r>
    </w:p>
    <w:p>
      <w:pPr>
        <w:spacing w:after="0" w:line="233" w:lineRule="exact"/>
        <w:rPr>
          <w:sz w:val="20"/>
          <w:szCs w:val="20"/>
          <w:color w:val="auto"/>
        </w:rPr>
      </w:pPr>
    </w:p>
    <w:p>
      <w:pPr>
        <w:ind w:firstLine="749"/>
        <w:spacing w:after="0" w:line="26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Alternate Base Rate</w:t>
      </w:r>
      <w:r>
        <w:rPr>
          <w:rFonts w:ascii="Times New Roman" w:cs="Times New Roman" w:eastAsia="Times New Roman" w:hAnsi="Times New Roman"/>
          <w:sz w:val="22"/>
          <w:szCs w:val="22"/>
          <w:color w:val="auto"/>
        </w:rPr>
        <w:t xml:space="preserve">" shall mean, for any day, a rate per annum equal to the highest of (a) the Base Rate in effect on such day, (b) the sum of the Overnight Bank Funding Rate in effect on such day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one-half of one percent (0.5%), and</w:t>
      </w:r>
    </w:p>
    <w:p>
      <w:pPr>
        <w:spacing w:after="0" w:line="2" w:lineRule="exact"/>
        <w:rPr>
          <w:sz w:val="20"/>
          <w:szCs w:val="20"/>
          <w:color w:val="auto"/>
        </w:rPr>
      </w:pPr>
    </w:p>
    <w:p>
      <w:pPr>
        <w:jc w:val="both"/>
        <w:ind w:firstLine="8"/>
        <w:spacing w:after="0" w:line="261" w:lineRule="auto"/>
        <w:tabs>
          <w:tab w:leader="none" w:pos="31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sum of Daily Simple SOFR in effect on such day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one percent (1.0%), so long as Daily Simple SOFR is offered, ascertainable and not unlawful; provided, however, if the Alternate Base Rate as determined above would be less than zero, then such rate shall be deemed to be zero. Any change in the Alternate Base Rate (or any component thereof) shall take effect at the opening of business on the day such change occurs.</w:t>
      </w:r>
    </w:p>
    <w:p>
      <w:pPr>
        <w:spacing w:after="0" w:line="17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Alternate Source</w:t>
      </w:r>
      <w:r>
        <w:rPr>
          <w:rFonts w:ascii="Times New Roman" w:cs="Times New Roman" w:eastAsia="Times New Roman" w:hAnsi="Times New Roman"/>
          <w:sz w:val="22"/>
          <w:szCs w:val="22"/>
          <w:color w:val="auto"/>
        </w:rPr>
        <w:t>" shall have the meaning set forth in the definition of Overnight Bank Funding Rate.</w:t>
      </w:r>
    </w:p>
    <w:p>
      <w:pPr>
        <w:spacing w:after="0" w:line="23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Amendment No. 1 Closing Date</w:t>
      </w:r>
      <w:r>
        <w:rPr>
          <w:rFonts w:ascii="Times New Roman" w:cs="Times New Roman" w:eastAsia="Times New Roman" w:hAnsi="Times New Roman"/>
          <w:sz w:val="22"/>
          <w:szCs w:val="22"/>
          <w:color w:val="auto"/>
        </w:rPr>
        <w:t>" shall mean April 24, 2024.</w:t>
      </w:r>
    </w:p>
    <w:p>
      <w:pPr>
        <w:spacing w:after="0" w:line="23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Amendment No. 2 Closing Date</w:t>
      </w:r>
      <w:r>
        <w:rPr>
          <w:rFonts w:ascii="Times New Roman" w:cs="Times New Roman" w:eastAsia="Times New Roman" w:hAnsi="Times New Roman"/>
          <w:sz w:val="22"/>
          <w:szCs w:val="22"/>
          <w:color w:val="auto"/>
        </w:rPr>
        <w:t>" shall mean May 2, 2025.</w:t>
      </w:r>
    </w:p>
    <w:p>
      <w:pPr>
        <w:spacing w:after="0" w:line="233" w:lineRule="exact"/>
        <w:rPr>
          <w:sz w:val="20"/>
          <w:szCs w:val="20"/>
          <w:color w:val="auto"/>
        </w:rPr>
      </w:pPr>
    </w:p>
    <w:p>
      <w:pPr>
        <w:jc w:val="both"/>
        <w:ind w:firstLine="749"/>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Anti-Corruption Laws</w:t>
      </w:r>
      <w:r>
        <w:rPr>
          <w:rFonts w:ascii="Times New Roman" w:cs="Times New Roman" w:eastAsia="Times New Roman" w:hAnsi="Times New Roman"/>
          <w:sz w:val="22"/>
          <w:szCs w:val="22"/>
          <w:color w:val="auto"/>
        </w:rPr>
        <w:t>" shall mean the United States Foreign Corrupt Practices Act of 1977, as amended, the UK Bribery Act 2010, and any other similar anti-corruption laws or regulations administered or enforced in any jurisdiction in which the Borrower or any of its Subsidiaries conduct business.</w:t>
      </w:r>
    </w:p>
    <w:p>
      <w:pPr>
        <w:spacing w:after="0" w:line="156"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Anti-Terrorism Law</w:t>
      </w:r>
      <w:r>
        <w:rPr>
          <w:rFonts w:ascii="Times New Roman" w:cs="Times New Roman" w:eastAsia="Times New Roman" w:hAnsi="Times New Roman"/>
          <w:sz w:val="22"/>
          <w:szCs w:val="22"/>
          <w:color w:val="auto"/>
        </w:rPr>
        <w:t xml:space="preserve">" shall mean any Law in force or hereinafter enacted related to terrorism, money laundering, or economic sanctions, including the Bank Secrecy Act, 31 U.S.C. § 5311 </w:t>
      </w:r>
      <w:r>
        <w:rPr>
          <w:rFonts w:ascii="Times New Roman" w:cs="Times New Roman" w:eastAsia="Times New Roman" w:hAnsi="Times New Roman"/>
          <w:sz w:val="22"/>
          <w:szCs w:val="22"/>
          <w:i w:val="1"/>
          <w:iCs w:val="1"/>
          <w:color w:val="auto"/>
        </w:rPr>
        <w:t>et seq.</w:t>
      </w:r>
      <w:r>
        <w:rPr>
          <w:rFonts w:ascii="Times New Roman" w:cs="Times New Roman" w:eastAsia="Times New Roman" w:hAnsi="Times New Roman"/>
          <w:sz w:val="22"/>
          <w:szCs w:val="22"/>
          <w:color w:val="auto"/>
        </w:rPr>
        <w:t>, the USA PATRIOT Act, the International Emergency Economic Powers Act, 50 U.S.C. 1701, et. seq., the Trading with the Enemy Act, 50 U.S.C. App. 1, et seq., 18 U.S.C. § 2332d, and 18 U.S.C. § 2339b, and any regulations or directives promulgated under these provisions.</w:t>
      </w:r>
    </w:p>
    <w:p>
      <w:pPr>
        <w:spacing w:after="0" w:line="162"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Applicable Law</w:t>
      </w:r>
      <w:r>
        <w:rPr>
          <w:rFonts w:ascii="Times New Roman" w:cs="Times New Roman" w:eastAsia="Times New Roman" w:hAnsi="Times New Roman"/>
          <w:sz w:val="22"/>
          <w:szCs w:val="22"/>
          <w:color w:val="auto"/>
        </w:rPr>
        <w:t>" shall mean all laws, rules and regulations applicable to the Person, conduct, transaction, covenant, this Agreement, Other Document or contract in question, including all applicable common law and equitable principles, all provisions of all applicable state, federal and foreign constitutions, statutes, rules, regulations, treaties, directives and orders of any Governmental Body, and all orders, judgments and decrees of all courts and arbitrators.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53" w:name="page54"/>
    <w:bookmarkEnd w:id="53"/>
    <w:p>
      <w:pPr>
        <w:jc w:val="both"/>
        <w:ind w:firstLine="749"/>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Applicable Margin</w:t>
      </w:r>
      <w:r>
        <w:rPr>
          <w:rFonts w:ascii="Times New Roman" w:cs="Times New Roman" w:eastAsia="Times New Roman" w:hAnsi="Times New Roman"/>
          <w:sz w:val="22"/>
          <w:szCs w:val="22"/>
          <w:color w:val="auto"/>
        </w:rPr>
        <w:t>" shall mean for Advances as of the Amendment No. 1 Closing Date and through and including the date immediately prior to the first Adjustment Date (as defined below) following the Amendment No. 1 Closing Date, the applicable percentage specified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729615</wp:posOffset>
            </wp:positionV>
            <wp:extent cx="7134225" cy="9277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3">
                      <a:extLst>
                        <a:ext uri="{28A0092B-C50C-407E-A947-70E740481C1C}"/>
                      </a:extLst>
                    </a:blip>
                    <a:srcRect/>
                    <a:stretch>
                      <a:fillRect/>
                    </a:stretch>
                  </pic:blipFill>
                  <pic:spPr bwMode="auto">
                    <a:xfrm>
                      <a:off x="0" y="0"/>
                      <a:ext cx="7134225" cy="92773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7"/>
          <w:szCs w:val="17"/>
          <w:b w:val="1"/>
          <w:bCs w:val="1"/>
          <w:color w:val="auto"/>
        </w:rPr>
        <w:t>APPLICABLE MARGINS FOR</w:t>
      </w:r>
    </w:p>
    <w:p>
      <w:pPr>
        <w:spacing w:after="0" w:line="43"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DOMESTIC RATE LOANS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560"/>
        <w:spacing w:after="0"/>
        <w:rPr>
          <w:sz w:val="20"/>
          <w:szCs w:val="20"/>
          <w:color w:val="auto"/>
        </w:rPr>
      </w:pPr>
      <w:r>
        <w:rPr>
          <w:rFonts w:ascii="Times New Roman" w:cs="Times New Roman" w:eastAsia="Times New Roman" w:hAnsi="Times New Roman"/>
          <w:sz w:val="17"/>
          <w:szCs w:val="17"/>
          <w:b w:val="1"/>
          <w:bCs w:val="1"/>
          <w:color w:val="auto"/>
        </w:rPr>
        <w:t>APPLICABLE MARGINS FOR</w:t>
      </w:r>
    </w:p>
    <w:p>
      <w:pPr>
        <w:spacing w:after="0" w:line="43" w:lineRule="exact"/>
        <w:rPr>
          <w:sz w:val="20"/>
          <w:szCs w:val="20"/>
          <w:color w:val="auto"/>
        </w:rPr>
      </w:pPr>
    </w:p>
    <w:p>
      <w:pPr>
        <w:jc w:val="center"/>
        <w:ind w:right="1560"/>
        <w:spacing w:after="0"/>
        <w:rPr>
          <w:sz w:val="20"/>
          <w:szCs w:val="20"/>
          <w:color w:val="auto"/>
        </w:rPr>
      </w:pPr>
      <w:r>
        <w:rPr>
          <w:rFonts w:ascii="Times New Roman" w:cs="Times New Roman" w:eastAsia="Times New Roman" w:hAnsi="Times New Roman"/>
          <w:sz w:val="18"/>
          <w:szCs w:val="18"/>
          <w:b w:val="1"/>
          <w:bCs w:val="1"/>
          <w:color w:val="auto"/>
        </w:rPr>
        <w:t>TERM SOFR RATE LOANS</w:t>
      </w:r>
    </w:p>
    <w:p>
      <w:pPr>
        <w:spacing w:after="0" w:line="40" w:lineRule="exact"/>
        <w:rPr>
          <w:sz w:val="20"/>
          <w:szCs w:val="20"/>
          <w:color w:val="auto"/>
        </w:rPr>
      </w:pPr>
    </w:p>
    <w:p>
      <w:pPr>
        <w:sectPr>
          <w:pgSz w:w="11900" w:h="16838" w:orient="portrait"/>
          <w:cols w:equalWidth="0" w:num="2">
            <w:col w:w="6460" w:space="720"/>
            <w:col w:w="4060"/>
          </w:cols>
          <w:pgMar w:left="320" w:top="1412" w:right="339" w:bottom="1440" w:gutter="0" w:footer="0" w:header="0"/>
          <w:type w:val="continuous"/>
        </w:sectPr>
      </w:pPr>
    </w:p>
    <w:tbl>
      <w:tblPr>
        <w:tblLayout w:type="fixed"/>
        <w:tblInd w:w="10" w:type="dxa"/>
        <w:tblCellMar>
          <w:top w:w="0" w:type="dxa"/>
          <w:left w:w="0" w:type="dxa"/>
          <w:bottom w:w="0" w:type="dxa"/>
          <w:right w:w="0" w:type="dxa"/>
        </w:tblCellMar>
      </w:tblPr>
      <w:tr>
        <w:trPr>
          <w:trHeight w:val="268"/>
        </w:trPr>
        <w:tc>
          <w:tcPr>
            <w:tcW w:w="282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Advances</w:t>
            </w:r>
          </w:p>
        </w:tc>
        <w:tc>
          <w:tcPr>
            <w:tcW w:w="282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Green Loan Advances</w:t>
            </w:r>
          </w:p>
        </w:tc>
        <w:tc>
          <w:tcPr>
            <w:tcW w:w="28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Advances</w:t>
            </w:r>
          </w:p>
        </w:tc>
        <w:tc>
          <w:tcPr>
            <w:tcW w:w="280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Green Loan Advances</w:t>
            </w:r>
          </w:p>
        </w:tc>
        <w:tc>
          <w:tcPr>
            <w:tcW w:w="0" w:type="dxa"/>
            <w:vAlign w:val="bottom"/>
          </w:tcPr>
          <w:p>
            <w:pPr>
              <w:spacing w:after="0"/>
              <w:rPr>
                <w:sz w:val="1"/>
                <w:szCs w:val="1"/>
                <w:color w:val="auto"/>
              </w:rPr>
            </w:pPr>
          </w:p>
        </w:tc>
      </w:tr>
      <w:tr>
        <w:trPr>
          <w:trHeight w:val="126"/>
        </w:trPr>
        <w:tc>
          <w:tcPr>
            <w:tcW w:w="282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(other than Green Loan Advances)</w:t>
            </w:r>
          </w:p>
        </w:tc>
        <w:tc>
          <w:tcPr>
            <w:tcW w:w="2820" w:type="dxa"/>
            <w:vAlign w:val="bottom"/>
            <w:tcBorders>
              <w:right w:val="single" w:sz="8" w:color="auto"/>
            </w:tcBorders>
            <w:vMerge w:val="continue"/>
          </w:tcPr>
          <w:p>
            <w:pPr>
              <w:spacing w:after="0"/>
              <w:rPr>
                <w:sz w:val="10"/>
                <w:szCs w:val="10"/>
                <w:color w:val="auto"/>
              </w:rPr>
            </w:pPr>
          </w:p>
        </w:tc>
        <w:tc>
          <w:tcPr>
            <w:tcW w:w="28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(other than Green Loan Advances)</w:t>
            </w:r>
          </w:p>
        </w:tc>
        <w:tc>
          <w:tcPr>
            <w:tcW w:w="28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820" w:type="dxa"/>
            <w:vAlign w:val="bottom"/>
            <w:tcBorders>
              <w:left w:val="single" w:sz="8" w:color="auto"/>
              <w:right w:val="single" w:sz="8" w:color="auto"/>
            </w:tcBorders>
            <w:vMerge w:val="continue"/>
          </w:tcPr>
          <w:p>
            <w:pPr>
              <w:spacing w:after="0"/>
              <w:rPr>
                <w:sz w:val="9"/>
                <w:szCs w:val="9"/>
                <w:color w:val="auto"/>
              </w:rPr>
            </w:pPr>
          </w:p>
        </w:tc>
        <w:tc>
          <w:tcPr>
            <w:tcW w:w="2820" w:type="dxa"/>
            <w:vAlign w:val="bottom"/>
            <w:tcBorders>
              <w:right w:val="single" w:sz="8" w:color="auto"/>
            </w:tcBorders>
          </w:tcPr>
          <w:p>
            <w:pPr>
              <w:spacing w:after="0"/>
              <w:rPr>
                <w:sz w:val="9"/>
                <w:szCs w:val="9"/>
                <w:color w:val="auto"/>
              </w:rPr>
            </w:pPr>
          </w:p>
        </w:tc>
        <w:tc>
          <w:tcPr>
            <w:tcW w:w="2800" w:type="dxa"/>
            <w:vAlign w:val="bottom"/>
            <w:tcBorders>
              <w:right w:val="single" w:sz="8" w:color="auto"/>
            </w:tcBorders>
            <w:vMerge w:val="continue"/>
          </w:tcPr>
          <w:p>
            <w:pPr>
              <w:spacing w:after="0"/>
              <w:rPr>
                <w:sz w:val="9"/>
                <w:szCs w:val="9"/>
                <w:color w:val="auto"/>
              </w:rPr>
            </w:pPr>
          </w:p>
        </w:tc>
        <w:tc>
          <w:tcPr>
            <w:tcW w:w="2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820" w:type="dxa"/>
            <w:vAlign w:val="bottom"/>
            <w:tcBorders>
              <w:left w:val="single" w:sz="8" w:color="auto"/>
              <w:bottom w:val="single" w:sz="8" w:color="auto"/>
              <w:right w:val="single" w:sz="8" w:color="auto"/>
            </w:tcBorders>
          </w:tcPr>
          <w:p>
            <w:pPr>
              <w:spacing w:after="0"/>
              <w:rPr>
                <w:sz w:val="4"/>
                <w:szCs w:val="4"/>
                <w:color w:val="auto"/>
              </w:rPr>
            </w:pPr>
          </w:p>
        </w:tc>
        <w:tc>
          <w:tcPr>
            <w:tcW w:w="2820" w:type="dxa"/>
            <w:vAlign w:val="bottom"/>
            <w:tcBorders>
              <w:bottom w:val="single" w:sz="8" w:color="auto"/>
              <w:right w:val="single" w:sz="8" w:color="auto"/>
            </w:tcBorders>
          </w:tcPr>
          <w:p>
            <w:pPr>
              <w:spacing w:after="0"/>
              <w:rPr>
                <w:sz w:val="4"/>
                <w:szCs w:val="4"/>
                <w:color w:val="auto"/>
              </w:rPr>
            </w:pPr>
          </w:p>
        </w:tc>
        <w:tc>
          <w:tcPr>
            <w:tcW w:w="2800" w:type="dxa"/>
            <w:vAlign w:val="bottom"/>
            <w:tcBorders>
              <w:bottom w:val="single" w:sz="8" w:color="auto"/>
              <w:right w:val="single" w:sz="8" w:color="auto"/>
            </w:tcBorders>
          </w:tcPr>
          <w:p>
            <w:pPr>
              <w:spacing w:after="0"/>
              <w:rPr>
                <w:sz w:val="4"/>
                <w:szCs w:val="4"/>
                <w:color w:val="auto"/>
              </w:rPr>
            </w:pPr>
          </w:p>
        </w:tc>
        <w:tc>
          <w:tcPr>
            <w:tcW w:w="28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2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1.50%</w:t>
            </w:r>
          </w:p>
        </w:tc>
        <w:tc>
          <w:tcPr>
            <w:tcW w:w="2820" w:type="dxa"/>
            <w:vAlign w:val="bottom"/>
            <w:tcBorders>
              <w:right w:val="single" w:sz="8" w:color="auto"/>
            </w:tcBorders>
          </w:tcPr>
          <w:p>
            <w:pPr>
              <w:jc w:val="right"/>
              <w:ind w:right="1110"/>
              <w:spacing w:after="0"/>
              <w:rPr>
                <w:sz w:val="20"/>
                <w:szCs w:val="20"/>
                <w:color w:val="auto"/>
              </w:rPr>
            </w:pPr>
            <w:r>
              <w:rPr>
                <w:rFonts w:ascii="Times New Roman" w:cs="Times New Roman" w:eastAsia="Times New Roman" w:hAnsi="Times New Roman"/>
                <w:sz w:val="18"/>
                <w:szCs w:val="18"/>
                <w:color w:val="auto"/>
              </w:rPr>
              <w:t>1.45%</w:t>
            </w:r>
          </w:p>
        </w:tc>
        <w:tc>
          <w:tcPr>
            <w:tcW w:w="2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2.50%</w:t>
            </w:r>
          </w:p>
        </w:tc>
        <w:tc>
          <w:tcPr>
            <w:tcW w:w="2800" w:type="dxa"/>
            <w:vAlign w:val="bottom"/>
          </w:tcPr>
          <w:p>
            <w:pPr>
              <w:jc w:val="right"/>
              <w:ind w:right="1090"/>
              <w:spacing w:after="0"/>
              <w:rPr>
                <w:sz w:val="20"/>
                <w:szCs w:val="20"/>
                <w:color w:val="auto"/>
              </w:rPr>
            </w:pPr>
            <w:r>
              <w:rPr>
                <w:rFonts w:ascii="Times New Roman" w:cs="Times New Roman" w:eastAsia="Times New Roman" w:hAnsi="Times New Roman"/>
                <w:sz w:val="18"/>
                <w:szCs w:val="18"/>
                <w:color w:val="auto"/>
              </w:rPr>
              <w:t>2.45%</w:t>
            </w:r>
          </w:p>
        </w:tc>
        <w:tc>
          <w:tcPr>
            <w:tcW w:w="0" w:type="dxa"/>
            <w:vAlign w:val="bottom"/>
          </w:tcPr>
          <w:p>
            <w:pPr>
              <w:spacing w:after="0"/>
              <w:rPr>
                <w:sz w:val="1"/>
                <w:szCs w:val="1"/>
                <w:color w:val="auto"/>
              </w:rPr>
            </w:pPr>
          </w:p>
        </w:tc>
      </w:tr>
      <w:tr>
        <w:trPr>
          <w:trHeight w:val="54"/>
        </w:trPr>
        <w:tc>
          <w:tcPr>
            <w:tcW w:w="2820" w:type="dxa"/>
            <w:vAlign w:val="bottom"/>
            <w:tcBorders>
              <w:left w:val="single" w:sz="8" w:color="auto"/>
              <w:bottom w:val="single" w:sz="8" w:color="auto"/>
              <w:right w:val="single" w:sz="8" w:color="auto"/>
            </w:tcBorders>
          </w:tcPr>
          <w:p>
            <w:pPr>
              <w:spacing w:after="0"/>
              <w:rPr>
                <w:sz w:val="4"/>
                <w:szCs w:val="4"/>
                <w:color w:val="auto"/>
              </w:rPr>
            </w:pPr>
          </w:p>
        </w:tc>
        <w:tc>
          <w:tcPr>
            <w:tcW w:w="2820" w:type="dxa"/>
            <w:vAlign w:val="bottom"/>
            <w:tcBorders>
              <w:bottom w:val="single" w:sz="8" w:color="auto"/>
              <w:right w:val="single" w:sz="8" w:color="auto"/>
            </w:tcBorders>
          </w:tcPr>
          <w:p>
            <w:pPr>
              <w:spacing w:after="0"/>
              <w:rPr>
                <w:sz w:val="4"/>
                <w:szCs w:val="4"/>
                <w:color w:val="auto"/>
              </w:rPr>
            </w:pPr>
          </w:p>
        </w:tc>
        <w:tc>
          <w:tcPr>
            <w:tcW w:w="2800" w:type="dxa"/>
            <w:vAlign w:val="bottom"/>
            <w:tcBorders>
              <w:bottom w:val="single" w:sz="8" w:color="auto"/>
              <w:right w:val="single" w:sz="8" w:color="auto"/>
            </w:tcBorders>
          </w:tcPr>
          <w:p>
            <w:pPr>
              <w:spacing w:after="0"/>
              <w:rPr>
                <w:sz w:val="4"/>
                <w:szCs w:val="4"/>
                <w:color w:val="auto"/>
              </w:rPr>
            </w:pPr>
          </w:p>
        </w:tc>
        <w:tc>
          <w:tcPr>
            <w:tcW w:w="28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jc w:val="both"/>
        <w:ind w:firstLine="749"/>
        <w:spacing w:after="0" w:line="265" w:lineRule="auto"/>
        <w:rPr>
          <w:sz w:val="20"/>
          <w:szCs w:val="20"/>
          <w:color w:val="auto"/>
        </w:rPr>
      </w:pPr>
      <w:r>
        <w:rPr>
          <w:rFonts w:ascii="Times New Roman" w:cs="Times New Roman" w:eastAsia="Times New Roman" w:hAnsi="Times New Roman"/>
          <w:sz w:val="22"/>
          <w:szCs w:val="22"/>
          <w:color w:val="auto"/>
        </w:rPr>
        <w:t>Effective as of the date on which the Borrowing Base Certificate is required to be delivered under Section 9.2 for the most recently completed fiscal quarter (commencing with the fiscal quarter ending September 30, 2024) (each day on which such delivery is due, an "</w:t>
      </w:r>
      <w:r>
        <w:rPr>
          <w:rFonts w:ascii="Times New Roman" w:cs="Times New Roman" w:eastAsia="Times New Roman" w:hAnsi="Times New Roman"/>
          <w:sz w:val="22"/>
          <w:szCs w:val="22"/>
          <w:u w:val="single" w:color="auto"/>
          <w:color w:val="auto"/>
        </w:rPr>
        <w:t>Adjustment Date</w:t>
      </w:r>
      <w:r>
        <w:rPr>
          <w:rFonts w:ascii="Times New Roman" w:cs="Times New Roman" w:eastAsia="Times New Roman" w:hAnsi="Times New Roman"/>
          <w:sz w:val="22"/>
          <w:szCs w:val="22"/>
          <w:color w:val="auto"/>
        </w:rPr>
        <w:t>"), the Applicable Margin for each type of Advance shall be adjusted, if necessary, to the applicable percent per annum set forth in the pricing table below corresponding to the average daily Undrawn Availability for the most recently completed fiscal quarter prior to the applicable Adjustment Date:</w:t>
      </w:r>
    </w:p>
    <w:p>
      <w:pPr>
        <w:spacing w:after="0" w:line="170" w:lineRule="exact"/>
        <w:rPr>
          <w:sz w:val="20"/>
          <w:szCs w:val="20"/>
          <w:color w:val="auto"/>
        </w:rPr>
      </w:pPr>
    </w:p>
    <w:tbl>
      <w:tblPr>
        <w:tblLayout w:type="fixed"/>
        <w:tblInd w:w="10" w:type="dxa"/>
        <w:tblCellMar>
          <w:top w:w="0" w:type="dxa"/>
          <w:left w:w="0" w:type="dxa"/>
          <w:bottom w:w="0" w:type="dxa"/>
          <w:right w:w="0" w:type="dxa"/>
        </w:tblCellMar>
      </w:tblPr>
      <w:tr>
        <w:trPr>
          <w:trHeight w:val="264"/>
        </w:trPr>
        <w:tc>
          <w:tcPr>
            <w:tcW w:w="2820" w:type="dxa"/>
            <w:vAlign w:val="bottom"/>
            <w:tcBorders>
              <w:top w:val="single" w:sz="8" w:color="auto"/>
              <w:left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8"/>
                <w:szCs w:val="18"/>
                <w:b w:val="1"/>
                <w:bCs w:val="1"/>
                <w:color w:val="auto"/>
              </w:rPr>
              <w:t>QUARTERLY AVERAGE</w:t>
            </w:r>
          </w:p>
        </w:tc>
        <w:tc>
          <w:tcPr>
            <w:tcW w:w="4220" w:type="dxa"/>
            <w:vAlign w:val="bottom"/>
            <w:tcBorders>
              <w:top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APPLICABLE MARGINS FOR DOMESTIC</w:t>
            </w:r>
          </w:p>
        </w:tc>
        <w:tc>
          <w:tcPr>
            <w:tcW w:w="4200" w:type="dxa"/>
            <w:vAlign w:val="bottom"/>
            <w:tcBorders>
              <w:top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APPLICABLE MARGINS FOR TERM SOFR</w:t>
            </w:r>
          </w:p>
        </w:tc>
      </w:tr>
      <w:tr>
        <w:trPr>
          <w:trHeight w:val="238"/>
        </w:trPr>
        <w:tc>
          <w:tcPr>
            <w:tcW w:w="2820" w:type="dxa"/>
            <w:vAlign w:val="bottom"/>
            <w:tcBorders>
              <w:left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UNDRAWN AVAILABILITY</w:t>
            </w:r>
          </w:p>
        </w:tc>
        <w:tc>
          <w:tcPr>
            <w:tcW w:w="422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RATE LOANS</w:t>
            </w:r>
          </w:p>
        </w:tc>
        <w:tc>
          <w:tcPr>
            <w:tcW w:w="420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RATE LOANS</w:t>
            </w:r>
          </w:p>
        </w:tc>
      </w:tr>
      <w:tr>
        <w:trPr>
          <w:trHeight w:val="71"/>
        </w:trPr>
        <w:tc>
          <w:tcPr>
            <w:tcW w:w="2820" w:type="dxa"/>
            <w:vAlign w:val="bottom"/>
            <w:tcBorders>
              <w:left w:val="single" w:sz="8" w:color="auto"/>
              <w:bottom w:val="single" w:sz="8" w:color="auto"/>
              <w:right w:val="single" w:sz="8" w:color="auto"/>
            </w:tcBorders>
          </w:tcPr>
          <w:p>
            <w:pPr>
              <w:spacing w:after="0"/>
              <w:rPr>
                <w:sz w:val="6"/>
                <w:szCs w:val="6"/>
                <w:color w:val="auto"/>
              </w:rPr>
            </w:pPr>
          </w:p>
        </w:tc>
        <w:tc>
          <w:tcPr>
            <w:tcW w:w="2100" w:type="dxa"/>
            <w:vAlign w:val="bottom"/>
            <w:tcBorders>
              <w:bottom w:val="single" w:sz="8" w:color="auto"/>
            </w:tcBorders>
          </w:tcPr>
          <w:p>
            <w:pPr>
              <w:spacing w:after="0"/>
              <w:rPr>
                <w:sz w:val="6"/>
                <w:szCs w:val="6"/>
                <w:color w:val="auto"/>
              </w:rPr>
            </w:pPr>
          </w:p>
        </w:tc>
        <w:tc>
          <w:tcPr>
            <w:tcW w:w="2120" w:type="dxa"/>
            <w:vAlign w:val="bottom"/>
            <w:tcBorders>
              <w:bottom w:val="single" w:sz="8" w:color="auto"/>
              <w:right w:val="single" w:sz="8" w:color="auto"/>
            </w:tcBorders>
          </w:tcPr>
          <w:p>
            <w:pPr>
              <w:spacing w:after="0"/>
              <w:rPr>
                <w:sz w:val="6"/>
                <w:szCs w:val="6"/>
                <w:color w:val="auto"/>
              </w:rPr>
            </w:pPr>
          </w:p>
        </w:tc>
        <w:tc>
          <w:tcPr>
            <w:tcW w:w="2100" w:type="dxa"/>
            <w:vAlign w:val="bottom"/>
            <w:tcBorders>
              <w:bottom w:val="single" w:sz="8" w:color="auto"/>
            </w:tcBorders>
          </w:tcPr>
          <w:p>
            <w:pPr>
              <w:spacing w:after="0"/>
              <w:rPr>
                <w:sz w:val="6"/>
                <w:szCs w:val="6"/>
                <w:color w:val="auto"/>
              </w:rPr>
            </w:pPr>
          </w:p>
        </w:tc>
        <w:tc>
          <w:tcPr>
            <w:tcW w:w="2100" w:type="dxa"/>
            <w:vAlign w:val="bottom"/>
            <w:tcBorders>
              <w:bottom w:val="single" w:sz="8" w:color="auto"/>
              <w:right w:val="single" w:sz="8" w:color="auto"/>
            </w:tcBorders>
          </w:tcPr>
          <w:p>
            <w:pPr>
              <w:spacing w:after="0"/>
              <w:rPr>
                <w:sz w:val="6"/>
                <w:szCs w:val="6"/>
                <w:color w:val="auto"/>
              </w:rPr>
            </w:pPr>
          </w:p>
        </w:tc>
      </w:tr>
      <w:tr>
        <w:trPr>
          <w:trHeight w:val="228"/>
        </w:trPr>
        <w:tc>
          <w:tcPr>
            <w:tcW w:w="2820" w:type="dxa"/>
            <w:vAlign w:val="bottom"/>
            <w:tcBorders>
              <w:left w:val="single" w:sz="8" w:color="auto"/>
              <w:right w:val="single" w:sz="8" w:color="auto"/>
            </w:tcBorders>
          </w:tcPr>
          <w:p>
            <w:pPr>
              <w:spacing w:after="0"/>
              <w:rPr>
                <w:sz w:val="19"/>
                <w:szCs w:val="19"/>
                <w:color w:val="auto"/>
              </w:rPr>
            </w:pPr>
          </w:p>
        </w:tc>
        <w:tc>
          <w:tcPr>
            <w:tcW w:w="2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Advances</w:t>
            </w:r>
          </w:p>
        </w:tc>
        <w:tc>
          <w:tcPr>
            <w:tcW w:w="2120" w:type="dxa"/>
            <w:vAlign w:val="bottom"/>
            <w:tcBorders>
              <w:right w:val="single" w:sz="8" w:color="auto"/>
            </w:tcBorders>
          </w:tcPr>
          <w:p>
            <w:pPr>
              <w:spacing w:after="0"/>
              <w:rPr>
                <w:sz w:val="19"/>
                <w:szCs w:val="19"/>
                <w:color w:val="auto"/>
              </w:rPr>
            </w:pPr>
          </w:p>
        </w:tc>
        <w:tc>
          <w:tcPr>
            <w:tcW w:w="2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Advances</w:t>
            </w:r>
          </w:p>
        </w:tc>
        <w:tc>
          <w:tcPr>
            <w:tcW w:w="2100" w:type="dxa"/>
            <w:vAlign w:val="bottom"/>
            <w:tcBorders>
              <w:right w:val="single" w:sz="8" w:color="auto"/>
            </w:tcBorders>
          </w:tcPr>
          <w:p>
            <w:pPr>
              <w:spacing w:after="0"/>
              <w:rPr>
                <w:sz w:val="19"/>
                <w:szCs w:val="19"/>
                <w:color w:val="auto"/>
              </w:rPr>
            </w:pPr>
          </w:p>
        </w:tc>
      </w:tr>
      <w:tr>
        <w:trPr>
          <w:trHeight w:val="216"/>
        </w:trPr>
        <w:tc>
          <w:tcPr>
            <w:tcW w:w="2820" w:type="dxa"/>
            <w:vAlign w:val="bottom"/>
            <w:tcBorders>
              <w:left w:val="single" w:sz="8" w:color="auto"/>
              <w:right w:val="single" w:sz="8" w:color="auto"/>
            </w:tcBorders>
          </w:tcPr>
          <w:p>
            <w:pPr>
              <w:spacing w:after="0"/>
              <w:rPr>
                <w:sz w:val="18"/>
                <w:szCs w:val="18"/>
                <w:color w:val="auto"/>
              </w:rPr>
            </w:pPr>
          </w:p>
        </w:tc>
        <w:tc>
          <w:tcPr>
            <w:tcW w:w="2100" w:type="dxa"/>
            <w:vAlign w:val="bottom"/>
            <w:tcBorders>
              <w:right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9"/>
              </w:rPr>
              <w:t>(other than Green Loan</w:t>
            </w:r>
          </w:p>
        </w:tc>
        <w:tc>
          <w:tcPr>
            <w:tcW w:w="2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Green Loan Advances</w:t>
            </w:r>
          </w:p>
        </w:tc>
        <w:tc>
          <w:tcPr>
            <w:tcW w:w="2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(other than Green Loan</w:t>
            </w:r>
          </w:p>
        </w:tc>
        <w:tc>
          <w:tcPr>
            <w:tcW w:w="2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Green Loan Advances</w:t>
            </w:r>
          </w:p>
        </w:tc>
      </w:tr>
      <w:tr>
        <w:trPr>
          <w:trHeight w:val="234"/>
        </w:trPr>
        <w:tc>
          <w:tcPr>
            <w:tcW w:w="2820" w:type="dxa"/>
            <w:vAlign w:val="bottom"/>
            <w:tcBorders>
              <w:left w:val="single" w:sz="8" w:color="auto"/>
              <w:right w:val="single" w:sz="8" w:color="auto"/>
            </w:tcBorders>
          </w:tcPr>
          <w:p>
            <w:pPr>
              <w:spacing w:after="0"/>
              <w:rPr>
                <w:sz w:val="20"/>
                <w:szCs w:val="20"/>
                <w:color w:val="auto"/>
              </w:rPr>
            </w:pPr>
          </w:p>
        </w:tc>
        <w:tc>
          <w:tcPr>
            <w:tcW w:w="2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Advances)</w:t>
            </w:r>
          </w:p>
        </w:tc>
        <w:tc>
          <w:tcPr>
            <w:tcW w:w="2120" w:type="dxa"/>
            <w:vAlign w:val="bottom"/>
            <w:tcBorders>
              <w:right w:val="single" w:sz="8" w:color="auto"/>
            </w:tcBorders>
          </w:tcPr>
          <w:p>
            <w:pPr>
              <w:spacing w:after="0"/>
              <w:rPr>
                <w:sz w:val="20"/>
                <w:szCs w:val="20"/>
                <w:color w:val="auto"/>
              </w:rPr>
            </w:pPr>
          </w:p>
        </w:tc>
        <w:tc>
          <w:tcPr>
            <w:tcW w:w="2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Advances)</w:t>
            </w:r>
          </w:p>
        </w:tc>
        <w:tc>
          <w:tcPr>
            <w:tcW w:w="2100" w:type="dxa"/>
            <w:vAlign w:val="bottom"/>
            <w:tcBorders>
              <w:right w:val="single" w:sz="8" w:color="auto"/>
            </w:tcBorders>
          </w:tcPr>
          <w:p>
            <w:pPr>
              <w:spacing w:after="0"/>
              <w:rPr>
                <w:sz w:val="20"/>
                <w:szCs w:val="20"/>
                <w:color w:val="auto"/>
              </w:rPr>
            </w:pPr>
          </w:p>
        </w:tc>
      </w:tr>
      <w:tr>
        <w:trPr>
          <w:trHeight w:val="54"/>
        </w:trPr>
        <w:tc>
          <w:tcPr>
            <w:tcW w:w="2820" w:type="dxa"/>
            <w:vAlign w:val="bottom"/>
            <w:tcBorders>
              <w:left w:val="single" w:sz="8" w:color="auto"/>
              <w:bottom w:val="single" w:sz="8" w:color="auto"/>
              <w:right w:val="single" w:sz="8" w:color="auto"/>
            </w:tcBorders>
          </w:tcPr>
          <w:p>
            <w:pPr>
              <w:spacing w:after="0"/>
              <w:rPr>
                <w:sz w:val="4"/>
                <w:szCs w:val="4"/>
                <w:color w:val="auto"/>
              </w:rPr>
            </w:pPr>
          </w:p>
        </w:tc>
        <w:tc>
          <w:tcPr>
            <w:tcW w:w="2100" w:type="dxa"/>
            <w:vAlign w:val="bottom"/>
            <w:tcBorders>
              <w:bottom w:val="single" w:sz="8" w:color="auto"/>
              <w:right w:val="single" w:sz="8" w:color="auto"/>
            </w:tcBorders>
          </w:tcPr>
          <w:p>
            <w:pPr>
              <w:spacing w:after="0"/>
              <w:rPr>
                <w:sz w:val="4"/>
                <w:szCs w:val="4"/>
                <w:color w:val="auto"/>
              </w:rPr>
            </w:pPr>
          </w:p>
        </w:tc>
        <w:tc>
          <w:tcPr>
            <w:tcW w:w="2120" w:type="dxa"/>
            <w:vAlign w:val="bottom"/>
            <w:tcBorders>
              <w:bottom w:val="single" w:sz="8" w:color="auto"/>
              <w:right w:val="single" w:sz="8" w:color="auto"/>
            </w:tcBorders>
          </w:tcPr>
          <w:p>
            <w:pPr>
              <w:spacing w:after="0"/>
              <w:rPr>
                <w:sz w:val="4"/>
                <w:szCs w:val="4"/>
                <w:color w:val="auto"/>
              </w:rPr>
            </w:pPr>
          </w:p>
        </w:tc>
        <w:tc>
          <w:tcPr>
            <w:tcW w:w="2100" w:type="dxa"/>
            <w:vAlign w:val="bottom"/>
            <w:tcBorders>
              <w:bottom w:val="single" w:sz="8" w:color="auto"/>
              <w:right w:val="single" w:sz="8" w:color="auto"/>
            </w:tcBorders>
          </w:tcPr>
          <w:p>
            <w:pPr>
              <w:spacing w:after="0"/>
              <w:rPr>
                <w:sz w:val="4"/>
                <w:szCs w:val="4"/>
                <w:color w:val="auto"/>
              </w:rPr>
            </w:pPr>
          </w:p>
        </w:tc>
        <w:tc>
          <w:tcPr>
            <w:tcW w:w="2100" w:type="dxa"/>
            <w:vAlign w:val="bottom"/>
            <w:tcBorders>
              <w:bottom w:val="single" w:sz="8" w:color="auto"/>
              <w:right w:val="single" w:sz="8" w:color="auto"/>
            </w:tcBorders>
          </w:tcPr>
          <w:p>
            <w:pPr>
              <w:spacing w:after="0"/>
              <w:rPr>
                <w:sz w:val="4"/>
                <w:szCs w:val="4"/>
                <w:color w:val="auto"/>
              </w:rPr>
            </w:pPr>
          </w:p>
        </w:tc>
      </w:tr>
      <w:tr>
        <w:trPr>
          <w:trHeight w:val="245"/>
        </w:trPr>
        <w:tc>
          <w:tcPr>
            <w:tcW w:w="28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Greater than 66.67% of the</w:t>
            </w:r>
          </w:p>
        </w:tc>
        <w:tc>
          <w:tcPr>
            <w:tcW w:w="2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1.25%</w:t>
            </w:r>
          </w:p>
        </w:tc>
        <w:tc>
          <w:tcPr>
            <w:tcW w:w="2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1.20%</w:t>
            </w:r>
          </w:p>
        </w:tc>
        <w:tc>
          <w:tcPr>
            <w:tcW w:w="2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2.25%</w:t>
            </w:r>
          </w:p>
        </w:tc>
        <w:tc>
          <w:tcPr>
            <w:tcW w:w="2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2.20%</w:t>
            </w:r>
          </w:p>
        </w:tc>
      </w:tr>
      <w:tr>
        <w:trPr>
          <w:trHeight w:val="216"/>
        </w:trPr>
        <w:tc>
          <w:tcPr>
            <w:tcW w:w="28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Maximum Revolving Advance</w:t>
            </w:r>
          </w:p>
        </w:tc>
        <w:tc>
          <w:tcPr>
            <w:tcW w:w="2100" w:type="dxa"/>
            <w:vAlign w:val="bottom"/>
            <w:tcBorders>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2100" w:type="dxa"/>
            <w:vAlign w:val="bottom"/>
            <w:tcBorders>
              <w:right w:val="single" w:sz="8" w:color="auto"/>
            </w:tcBorders>
          </w:tcPr>
          <w:p>
            <w:pPr>
              <w:spacing w:after="0"/>
              <w:rPr>
                <w:sz w:val="18"/>
                <w:szCs w:val="18"/>
                <w:color w:val="auto"/>
              </w:rPr>
            </w:pPr>
          </w:p>
        </w:tc>
        <w:tc>
          <w:tcPr>
            <w:tcW w:w="2100" w:type="dxa"/>
            <w:vAlign w:val="bottom"/>
            <w:tcBorders>
              <w:right w:val="single" w:sz="8" w:color="auto"/>
            </w:tcBorders>
          </w:tcPr>
          <w:p>
            <w:pPr>
              <w:spacing w:after="0"/>
              <w:rPr>
                <w:sz w:val="18"/>
                <w:szCs w:val="18"/>
                <w:color w:val="auto"/>
              </w:rPr>
            </w:pPr>
          </w:p>
        </w:tc>
      </w:tr>
      <w:tr>
        <w:trPr>
          <w:trHeight w:val="234"/>
        </w:trPr>
        <w:tc>
          <w:tcPr>
            <w:tcW w:w="28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Amount</w:t>
            </w:r>
          </w:p>
        </w:tc>
        <w:tc>
          <w:tcPr>
            <w:tcW w:w="2100" w:type="dxa"/>
            <w:vAlign w:val="bottom"/>
            <w:tcBorders>
              <w:right w:val="single" w:sz="8" w:color="auto"/>
            </w:tcBorders>
          </w:tcPr>
          <w:p>
            <w:pPr>
              <w:spacing w:after="0"/>
              <w:rPr>
                <w:sz w:val="20"/>
                <w:szCs w:val="20"/>
                <w:color w:val="auto"/>
              </w:rPr>
            </w:pPr>
          </w:p>
        </w:tc>
        <w:tc>
          <w:tcPr>
            <w:tcW w:w="2120" w:type="dxa"/>
            <w:vAlign w:val="bottom"/>
            <w:tcBorders>
              <w:right w:val="single" w:sz="8" w:color="auto"/>
            </w:tcBorders>
          </w:tcPr>
          <w:p>
            <w:pPr>
              <w:spacing w:after="0"/>
              <w:rPr>
                <w:sz w:val="20"/>
                <w:szCs w:val="20"/>
                <w:color w:val="auto"/>
              </w:rPr>
            </w:pPr>
          </w:p>
        </w:tc>
        <w:tc>
          <w:tcPr>
            <w:tcW w:w="2100" w:type="dxa"/>
            <w:vAlign w:val="bottom"/>
            <w:tcBorders>
              <w:right w:val="single" w:sz="8" w:color="auto"/>
            </w:tcBorders>
          </w:tcPr>
          <w:p>
            <w:pPr>
              <w:spacing w:after="0"/>
              <w:rPr>
                <w:sz w:val="20"/>
                <w:szCs w:val="20"/>
                <w:color w:val="auto"/>
              </w:rPr>
            </w:pPr>
          </w:p>
        </w:tc>
        <w:tc>
          <w:tcPr>
            <w:tcW w:w="2100" w:type="dxa"/>
            <w:vAlign w:val="bottom"/>
            <w:tcBorders>
              <w:right w:val="single" w:sz="8" w:color="auto"/>
            </w:tcBorders>
          </w:tcPr>
          <w:p>
            <w:pPr>
              <w:spacing w:after="0"/>
              <w:rPr>
                <w:sz w:val="20"/>
                <w:szCs w:val="20"/>
                <w:color w:val="auto"/>
              </w:rPr>
            </w:pPr>
          </w:p>
        </w:tc>
      </w:tr>
      <w:tr>
        <w:trPr>
          <w:trHeight w:val="54"/>
        </w:trPr>
        <w:tc>
          <w:tcPr>
            <w:tcW w:w="2820" w:type="dxa"/>
            <w:vAlign w:val="bottom"/>
            <w:tcBorders>
              <w:left w:val="single" w:sz="8" w:color="auto"/>
              <w:bottom w:val="single" w:sz="8" w:color="auto"/>
              <w:right w:val="single" w:sz="8" w:color="auto"/>
            </w:tcBorders>
          </w:tcPr>
          <w:p>
            <w:pPr>
              <w:spacing w:after="0"/>
              <w:rPr>
                <w:sz w:val="4"/>
                <w:szCs w:val="4"/>
                <w:color w:val="auto"/>
              </w:rPr>
            </w:pPr>
          </w:p>
        </w:tc>
        <w:tc>
          <w:tcPr>
            <w:tcW w:w="2100" w:type="dxa"/>
            <w:vAlign w:val="bottom"/>
            <w:tcBorders>
              <w:bottom w:val="single" w:sz="8" w:color="auto"/>
              <w:right w:val="single" w:sz="8" w:color="auto"/>
            </w:tcBorders>
          </w:tcPr>
          <w:p>
            <w:pPr>
              <w:spacing w:after="0"/>
              <w:rPr>
                <w:sz w:val="4"/>
                <w:szCs w:val="4"/>
                <w:color w:val="auto"/>
              </w:rPr>
            </w:pPr>
          </w:p>
        </w:tc>
        <w:tc>
          <w:tcPr>
            <w:tcW w:w="2120" w:type="dxa"/>
            <w:vAlign w:val="bottom"/>
            <w:tcBorders>
              <w:bottom w:val="single" w:sz="8" w:color="auto"/>
              <w:right w:val="single" w:sz="8" w:color="auto"/>
            </w:tcBorders>
          </w:tcPr>
          <w:p>
            <w:pPr>
              <w:spacing w:after="0"/>
              <w:rPr>
                <w:sz w:val="4"/>
                <w:szCs w:val="4"/>
                <w:color w:val="auto"/>
              </w:rPr>
            </w:pPr>
          </w:p>
        </w:tc>
        <w:tc>
          <w:tcPr>
            <w:tcW w:w="2100" w:type="dxa"/>
            <w:vAlign w:val="bottom"/>
            <w:tcBorders>
              <w:bottom w:val="single" w:sz="8" w:color="auto"/>
              <w:right w:val="single" w:sz="8" w:color="auto"/>
            </w:tcBorders>
          </w:tcPr>
          <w:p>
            <w:pPr>
              <w:spacing w:after="0"/>
              <w:rPr>
                <w:sz w:val="4"/>
                <w:szCs w:val="4"/>
                <w:color w:val="auto"/>
              </w:rPr>
            </w:pPr>
          </w:p>
        </w:tc>
        <w:tc>
          <w:tcPr>
            <w:tcW w:w="2100" w:type="dxa"/>
            <w:vAlign w:val="bottom"/>
            <w:tcBorders>
              <w:bottom w:val="single" w:sz="8" w:color="auto"/>
              <w:right w:val="single" w:sz="8" w:color="auto"/>
            </w:tcBorders>
          </w:tcPr>
          <w:p>
            <w:pPr>
              <w:spacing w:after="0"/>
              <w:rPr>
                <w:sz w:val="4"/>
                <w:szCs w:val="4"/>
                <w:color w:val="auto"/>
              </w:rPr>
            </w:pPr>
          </w:p>
        </w:tc>
      </w:tr>
      <w:tr>
        <w:trPr>
          <w:trHeight w:val="245"/>
        </w:trPr>
        <w:tc>
          <w:tcPr>
            <w:tcW w:w="28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Less than or equal to 66.67% of the</w:t>
            </w:r>
          </w:p>
        </w:tc>
        <w:tc>
          <w:tcPr>
            <w:tcW w:w="2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1.50%</w:t>
            </w:r>
          </w:p>
        </w:tc>
        <w:tc>
          <w:tcPr>
            <w:tcW w:w="2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1.45%</w:t>
            </w:r>
          </w:p>
        </w:tc>
        <w:tc>
          <w:tcPr>
            <w:tcW w:w="2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2.50%</w:t>
            </w:r>
          </w:p>
        </w:tc>
        <w:tc>
          <w:tcPr>
            <w:tcW w:w="2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2.45%</w:t>
            </w:r>
          </w:p>
        </w:tc>
      </w:tr>
      <w:tr>
        <w:trPr>
          <w:trHeight w:val="216"/>
        </w:trPr>
        <w:tc>
          <w:tcPr>
            <w:tcW w:w="28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Maximum Revolving Advance</w:t>
            </w:r>
          </w:p>
        </w:tc>
        <w:tc>
          <w:tcPr>
            <w:tcW w:w="2100" w:type="dxa"/>
            <w:vAlign w:val="bottom"/>
            <w:tcBorders>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2100" w:type="dxa"/>
            <w:vAlign w:val="bottom"/>
            <w:tcBorders>
              <w:right w:val="single" w:sz="8" w:color="auto"/>
            </w:tcBorders>
          </w:tcPr>
          <w:p>
            <w:pPr>
              <w:spacing w:after="0"/>
              <w:rPr>
                <w:sz w:val="18"/>
                <w:szCs w:val="18"/>
                <w:color w:val="auto"/>
              </w:rPr>
            </w:pPr>
          </w:p>
        </w:tc>
        <w:tc>
          <w:tcPr>
            <w:tcW w:w="2100" w:type="dxa"/>
            <w:vAlign w:val="bottom"/>
            <w:tcBorders>
              <w:right w:val="single" w:sz="8" w:color="auto"/>
            </w:tcBorders>
          </w:tcPr>
          <w:p>
            <w:pPr>
              <w:spacing w:after="0"/>
              <w:rPr>
                <w:sz w:val="18"/>
                <w:szCs w:val="18"/>
                <w:color w:val="auto"/>
              </w:rPr>
            </w:pPr>
          </w:p>
        </w:tc>
      </w:tr>
      <w:tr>
        <w:trPr>
          <w:trHeight w:val="216"/>
        </w:trPr>
        <w:tc>
          <w:tcPr>
            <w:tcW w:w="28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Amount but greater than 33.33% of</w:t>
            </w:r>
          </w:p>
        </w:tc>
        <w:tc>
          <w:tcPr>
            <w:tcW w:w="2100" w:type="dxa"/>
            <w:vAlign w:val="bottom"/>
            <w:tcBorders>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2100" w:type="dxa"/>
            <w:vAlign w:val="bottom"/>
            <w:tcBorders>
              <w:right w:val="single" w:sz="8" w:color="auto"/>
            </w:tcBorders>
          </w:tcPr>
          <w:p>
            <w:pPr>
              <w:spacing w:after="0"/>
              <w:rPr>
                <w:sz w:val="18"/>
                <w:szCs w:val="18"/>
                <w:color w:val="auto"/>
              </w:rPr>
            </w:pPr>
          </w:p>
        </w:tc>
        <w:tc>
          <w:tcPr>
            <w:tcW w:w="2100" w:type="dxa"/>
            <w:vAlign w:val="bottom"/>
            <w:tcBorders>
              <w:right w:val="single" w:sz="8" w:color="auto"/>
            </w:tcBorders>
          </w:tcPr>
          <w:p>
            <w:pPr>
              <w:spacing w:after="0"/>
              <w:rPr>
                <w:sz w:val="18"/>
                <w:szCs w:val="18"/>
                <w:color w:val="auto"/>
              </w:rPr>
            </w:pPr>
          </w:p>
        </w:tc>
      </w:tr>
      <w:tr>
        <w:trPr>
          <w:trHeight w:val="216"/>
        </w:trPr>
        <w:tc>
          <w:tcPr>
            <w:tcW w:w="28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the Maximum Revolving Advance</w:t>
            </w:r>
          </w:p>
        </w:tc>
        <w:tc>
          <w:tcPr>
            <w:tcW w:w="2100" w:type="dxa"/>
            <w:vAlign w:val="bottom"/>
            <w:tcBorders>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2100" w:type="dxa"/>
            <w:vAlign w:val="bottom"/>
            <w:tcBorders>
              <w:right w:val="single" w:sz="8" w:color="auto"/>
            </w:tcBorders>
          </w:tcPr>
          <w:p>
            <w:pPr>
              <w:spacing w:after="0"/>
              <w:rPr>
                <w:sz w:val="18"/>
                <w:szCs w:val="18"/>
                <w:color w:val="auto"/>
              </w:rPr>
            </w:pPr>
          </w:p>
        </w:tc>
        <w:tc>
          <w:tcPr>
            <w:tcW w:w="2100" w:type="dxa"/>
            <w:vAlign w:val="bottom"/>
            <w:tcBorders>
              <w:right w:val="single" w:sz="8" w:color="auto"/>
            </w:tcBorders>
          </w:tcPr>
          <w:p>
            <w:pPr>
              <w:spacing w:after="0"/>
              <w:rPr>
                <w:sz w:val="18"/>
                <w:szCs w:val="18"/>
                <w:color w:val="auto"/>
              </w:rPr>
            </w:pPr>
          </w:p>
        </w:tc>
      </w:tr>
      <w:tr>
        <w:trPr>
          <w:trHeight w:val="234"/>
        </w:trPr>
        <w:tc>
          <w:tcPr>
            <w:tcW w:w="28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Amount</w:t>
            </w:r>
          </w:p>
        </w:tc>
        <w:tc>
          <w:tcPr>
            <w:tcW w:w="2100" w:type="dxa"/>
            <w:vAlign w:val="bottom"/>
            <w:tcBorders>
              <w:right w:val="single" w:sz="8" w:color="auto"/>
            </w:tcBorders>
          </w:tcPr>
          <w:p>
            <w:pPr>
              <w:spacing w:after="0"/>
              <w:rPr>
                <w:sz w:val="20"/>
                <w:szCs w:val="20"/>
                <w:color w:val="auto"/>
              </w:rPr>
            </w:pPr>
          </w:p>
        </w:tc>
        <w:tc>
          <w:tcPr>
            <w:tcW w:w="2120" w:type="dxa"/>
            <w:vAlign w:val="bottom"/>
            <w:tcBorders>
              <w:right w:val="single" w:sz="8" w:color="auto"/>
            </w:tcBorders>
          </w:tcPr>
          <w:p>
            <w:pPr>
              <w:spacing w:after="0"/>
              <w:rPr>
                <w:sz w:val="20"/>
                <w:szCs w:val="20"/>
                <w:color w:val="auto"/>
              </w:rPr>
            </w:pPr>
          </w:p>
        </w:tc>
        <w:tc>
          <w:tcPr>
            <w:tcW w:w="2100" w:type="dxa"/>
            <w:vAlign w:val="bottom"/>
            <w:tcBorders>
              <w:right w:val="single" w:sz="8" w:color="auto"/>
            </w:tcBorders>
          </w:tcPr>
          <w:p>
            <w:pPr>
              <w:spacing w:after="0"/>
              <w:rPr>
                <w:sz w:val="20"/>
                <w:szCs w:val="20"/>
                <w:color w:val="auto"/>
              </w:rPr>
            </w:pPr>
          </w:p>
        </w:tc>
        <w:tc>
          <w:tcPr>
            <w:tcW w:w="2100" w:type="dxa"/>
            <w:vAlign w:val="bottom"/>
            <w:tcBorders>
              <w:right w:val="single" w:sz="8" w:color="auto"/>
            </w:tcBorders>
          </w:tcPr>
          <w:p>
            <w:pPr>
              <w:spacing w:after="0"/>
              <w:rPr>
                <w:sz w:val="20"/>
                <w:szCs w:val="20"/>
                <w:color w:val="auto"/>
              </w:rPr>
            </w:pPr>
          </w:p>
        </w:tc>
      </w:tr>
      <w:tr>
        <w:trPr>
          <w:trHeight w:val="54"/>
        </w:trPr>
        <w:tc>
          <w:tcPr>
            <w:tcW w:w="2820" w:type="dxa"/>
            <w:vAlign w:val="bottom"/>
            <w:tcBorders>
              <w:left w:val="single" w:sz="8" w:color="auto"/>
              <w:bottom w:val="single" w:sz="8" w:color="auto"/>
              <w:right w:val="single" w:sz="8" w:color="auto"/>
            </w:tcBorders>
          </w:tcPr>
          <w:p>
            <w:pPr>
              <w:spacing w:after="0"/>
              <w:rPr>
                <w:sz w:val="4"/>
                <w:szCs w:val="4"/>
                <w:color w:val="auto"/>
              </w:rPr>
            </w:pPr>
          </w:p>
        </w:tc>
        <w:tc>
          <w:tcPr>
            <w:tcW w:w="2100" w:type="dxa"/>
            <w:vAlign w:val="bottom"/>
            <w:tcBorders>
              <w:bottom w:val="single" w:sz="8" w:color="auto"/>
              <w:right w:val="single" w:sz="8" w:color="auto"/>
            </w:tcBorders>
          </w:tcPr>
          <w:p>
            <w:pPr>
              <w:spacing w:after="0"/>
              <w:rPr>
                <w:sz w:val="4"/>
                <w:szCs w:val="4"/>
                <w:color w:val="auto"/>
              </w:rPr>
            </w:pPr>
          </w:p>
        </w:tc>
        <w:tc>
          <w:tcPr>
            <w:tcW w:w="2120" w:type="dxa"/>
            <w:vAlign w:val="bottom"/>
            <w:tcBorders>
              <w:bottom w:val="single" w:sz="8" w:color="auto"/>
              <w:right w:val="single" w:sz="8" w:color="auto"/>
            </w:tcBorders>
          </w:tcPr>
          <w:p>
            <w:pPr>
              <w:spacing w:after="0"/>
              <w:rPr>
                <w:sz w:val="4"/>
                <w:szCs w:val="4"/>
                <w:color w:val="auto"/>
              </w:rPr>
            </w:pPr>
          </w:p>
        </w:tc>
        <w:tc>
          <w:tcPr>
            <w:tcW w:w="2100" w:type="dxa"/>
            <w:vAlign w:val="bottom"/>
            <w:tcBorders>
              <w:bottom w:val="single" w:sz="8" w:color="auto"/>
              <w:right w:val="single" w:sz="8" w:color="auto"/>
            </w:tcBorders>
          </w:tcPr>
          <w:p>
            <w:pPr>
              <w:spacing w:after="0"/>
              <w:rPr>
                <w:sz w:val="4"/>
                <w:szCs w:val="4"/>
                <w:color w:val="auto"/>
              </w:rPr>
            </w:pPr>
          </w:p>
        </w:tc>
        <w:tc>
          <w:tcPr>
            <w:tcW w:w="2100" w:type="dxa"/>
            <w:vAlign w:val="bottom"/>
            <w:tcBorders>
              <w:bottom w:val="single" w:sz="8" w:color="auto"/>
              <w:right w:val="single" w:sz="8" w:color="auto"/>
            </w:tcBorders>
          </w:tcPr>
          <w:p>
            <w:pPr>
              <w:spacing w:after="0"/>
              <w:rPr>
                <w:sz w:val="4"/>
                <w:szCs w:val="4"/>
                <w:color w:val="auto"/>
              </w:rPr>
            </w:pPr>
          </w:p>
        </w:tc>
      </w:tr>
      <w:tr>
        <w:trPr>
          <w:trHeight w:val="245"/>
        </w:trPr>
        <w:tc>
          <w:tcPr>
            <w:tcW w:w="28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Less than or equal to 33.33% of the</w:t>
            </w:r>
          </w:p>
        </w:tc>
        <w:tc>
          <w:tcPr>
            <w:tcW w:w="2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1.75%</w:t>
            </w:r>
          </w:p>
        </w:tc>
        <w:tc>
          <w:tcPr>
            <w:tcW w:w="2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1.70%</w:t>
            </w:r>
          </w:p>
        </w:tc>
        <w:tc>
          <w:tcPr>
            <w:tcW w:w="2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2.75%</w:t>
            </w:r>
          </w:p>
        </w:tc>
        <w:tc>
          <w:tcPr>
            <w:tcW w:w="2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2.70%</w:t>
            </w:r>
          </w:p>
        </w:tc>
      </w:tr>
      <w:tr>
        <w:trPr>
          <w:trHeight w:val="216"/>
        </w:trPr>
        <w:tc>
          <w:tcPr>
            <w:tcW w:w="28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Maximum Revolving Advance</w:t>
            </w:r>
          </w:p>
        </w:tc>
        <w:tc>
          <w:tcPr>
            <w:tcW w:w="2100" w:type="dxa"/>
            <w:vAlign w:val="bottom"/>
            <w:tcBorders>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2100" w:type="dxa"/>
            <w:vAlign w:val="bottom"/>
            <w:tcBorders>
              <w:right w:val="single" w:sz="8" w:color="auto"/>
            </w:tcBorders>
          </w:tcPr>
          <w:p>
            <w:pPr>
              <w:spacing w:after="0"/>
              <w:rPr>
                <w:sz w:val="18"/>
                <w:szCs w:val="18"/>
                <w:color w:val="auto"/>
              </w:rPr>
            </w:pPr>
          </w:p>
        </w:tc>
        <w:tc>
          <w:tcPr>
            <w:tcW w:w="2100" w:type="dxa"/>
            <w:vAlign w:val="bottom"/>
            <w:tcBorders>
              <w:right w:val="single" w:sz="8" w:color="auto"/>
            </w:tcBorders>
          </w:tcPr>
          <w:p>
            <w:pPr>
              <w:spacing w:after="0"/>
              <w:rPr>
                <w:sz w:val="18"/>
                <w:szCs w:val="18"/>
                <w:color w:val="auto"/>
              </w:rPr>
            </w:pPr>
          </w:p>
        </w:tc>
      </w:tr>
      <w:tr>
        <w:trPr>
          <w:trHeight w:val="234"/>
        </w:trPr>
        <w:tc>
          <w:tcPr>
            <w:tcW w:w="28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Amount</w:t>
            </w:r>
          </w:p>
        </w:tc>
        <w:tc>
          <w:tcPr>
            <w:tcW w:w="2100" w:type="dxa"/>
            <w:vAlign w:val="bottom"/>
            <w:tcBorders>
              <w:right w:val="single" w:sz="8" w:color="auto"/>
            </w:tcBorders>
          </w:tcPr>
          <w:p>
            <w:pPr>
              <w:spacing w:after="0"/>
              <w:rPr>
                <w:sz w:val="20"/>
                <w:szCs w:val="20"/>
                <w:color w:val="auto"/>
              </w:rPr>
            </w:pPr>
          </w:p>
        </w:tc>
        <w:tc>
          <w:tcPr>
            <w:tcW w:w="2120" w:type="dxa"/>
            <w:vAlign w:val="bottom"/>
            <w:tcBorders>
              <w:right w:val="single" w:sz="8" w:color="auto"/>
            </w:tcBorders>
          </w:tcPr>
          <w:p>
            <w:pPr>
              <w:spacing w:after="0"/>
              <w:rPr>
                <w:sz w:val="20"/>
                <w:szCs w:val="20"/>
                <w:color w:val="auto"/>
              </w:rPr>
            </w:pPr>
          </w:p>
        </w:tc>
        <w:tc>
          <w:tcPr>
            <w:tcW w:w="2100" w:type="dxa"/>
            <w:vAlign w:val="bottom"/>
            <w:tcBorders>
              <w:right w:val="single" w:sz="8" w:color="auto"/>
            </w:tcBorders>
          </w:tcPr>
          <w:p>
            <w:pPr>
              <w:spacing w:after="0"/>
              <w:rPr>
                <w:sz w:val="20"/>
                <w:szCs w:val="20"/>
                <w:color w:val="auto"/>
              </w:rPr>
            </w:pPr>
          </w:p>
        </w:tc>
        <w:tc>
          <w:tcPr>
            <w:tcW w:w="2100" w:type="dxa"/>
            <w:vAlign w:val="bottom"/>
            <w:tcBorders>
              <w:right w:val="single" w:sz="8" w:color="auto"/>
            </w:tcBorders>
          </w:tcPr>
          <w:p>
            <w:pPr>
              <w:spacing w:after="0"/>
              <w:rPr>
                <w:sz w:val="20"/>
                <w:szCs w:val="20"/>
                <w:color w:val="auto"/>
              </w:rPr>
            </w:pPr>
          </w:p>
        </w:tc>
      </w:tr>
      <w:tr>
        <w:trPr>
          <w:trHeight w:val="54"/>
        </w:trPr>
        <w:tc>
          <w:tcPr>
            <w:tcW w:w="2820" w:type="dxa"/>
            <w:vAlign w:val="bottom"/>
            <w:tcBorders>
              <w:left w:val="single" w:sz="8" w:color="auto"/>
              <w:bottom w:val="single" w:sz="8" w:color="auto"/>
              <w:right w:val="single" w:sz="8" w:color="auto"/>
            </w:tcBorders>
          </w:tcPr>
          <w:p>
            <w:pPr>
              <w:spacing w:after="0"/>
              <w:rPr>
                <w:sz w:val="4"/>
                <w:szCs w:val="4"/>
                <w:color w:val="auto"/>
              </w:rPr>
            </w:pPr>
          </w:p>
        </w:tc>
        <w:tc>
          <w:tcPr>
            <w:tcW w:w="2100" w:type="dxa"/>
            <w:vAlign w:val="bottom"/>
            <w:tcBorders>
              <w:bottom w:val="single" w:sz="8" w:color="auto"/>
              <w:right w:val="single" w:sz="8" w:color="auto"/>
            </w:tcBorders>
          </w:tcPr>
          <w:p>
            <w:pPr>
              <w:spacing w:after="0"/>
              <w:rPr>
                <w:sz w:val="4"/>
                <w:szCs w:val="4"/>
                <w:color w:val="auto"/>
              </w:rPr>
            </w:pPr>
          </w:p>
        </w:tc>
        <w:tc>
          <w:tcPr>
            <w:tcW w:w="2120" w:type="dxa"/>
            <w:vAlign w:val="bottom"/>
            <w:tcBorders>
              <w:bottom w:val="single" w:sz="8" w:color="auto"/>
              <w:right w:val="single" w:sz="8" w:color="auto"/>
            </w:tcBorders>
          </w:tcPr>
          <w:p>
            <w:pPr>
              <w:spacing w:after="0"/>
              <w:rPr>
                <w:sz w:val="4"/>
                <w:szCs w:val="4"/>
                <w:color w:val="auto"/>
              </w:rPr>
            </w:pPr>
          </w:p>
        </w:tc>
        <w:tc>
          <w:tcPr>
            <w:tcW w:w="2100" w:type="dxa"/>
            <w:vAlign w:val="bottom"/>
            <w:tcBorders>
              <w:bottom w:val="single" w:sz="8" w:color="auto"/>
              <w:right w:val="single" w:sz="8" w:color="auto"/>
            </w:tcBorders>
          </w:tcPr>
          <w:p>
            <w:pPr>
              <w:spacing w:after="0"/>
              <w:rPr>
                <w:sz w:val="4"/>
                <w:szCs w:val="4"/>
                <w:color w:val="auto"/>
              </w:rPr>
            </w:pPr>
          </w:p>
        </w:tc>
        <w:tc>
          <w:tcPr>
            <w:tcW w:w="2100" w:type="dxa"/>
            <w:vAlign w:val="bottom"/>
            <w:tcBorders>
              <w:bottom w:val="single" w:sz="8" w:color="auto"/>
              <w:right w:val="single" w:sz="8" w:color="auto"/>
            </w:tcBorders>
          </w:tcPr>
          <w:p>
            <w:pPr>
              <w:spacing w:after="0"/>
              <w:rPr>
                <w:sz w:val="4"/>
                <w:szCs w:val="4"/>
                <w:color w:val="auto"/>
              </w:rPr>
            </w:pPr>
          </w:p>
        </w:tc>
      </w:tr>
    </w:tbl>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type w:val="continuous"/>
        </w:sectPr>
      </w:pPr>
    </w:p>
    <w:bookmarkStart w:id="54" w:name="page55"/>
    <w:bookmarkEnd w:id="54"/>
    <w:p>
      <w:pPr>
        <w:jc w:val="both"/>
        <w:ind w:firstLine="749"/>
        <w:spacing w:after="0" w:line="269" w:lineRule="auto"/>
        <w:rPr>
          <w:sz w:val="20"/>
          <w:szCs w:val="20"/>
          <w:color w:val="auto"/>
        </w:rPr>
      </w:pPr>
      <w:r>
        <w:rPr>
          <w:rFonts w:ascii="Times New Roman" w:cs="Times New Roman" w:eastAsia="Times New Roman" w:hAnsi="Times New Roman"/>
          <w:sz w:val="22"/>
          <w:szCs w:val="22"/>
          <w:color w:val="auto"/>
        </w:rPr>
        <w:t>If Borrowers shall fail to deliver the Borrowing Base Certificate and/or other information required under Section 9.2 by the date required pursuant to such section, each Applicable Margin shall be conclusively presumed to equal the highest Applicable Margin specified in the pricing table set forth above until the date of delivery of such Borrowing Base Certificate and/or other information, at which time the rate will be adjusted based upon the Borrowing Base Certificate then delivered.</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Application Date</w:t>
      </w:r>
      <w:r>
        <w:rPr>
          <w:rFonts w:ascii="Times New Roman" w:cs="Times New Roman" w:eastAsia="Times New Roman" w:hAnsi="Times New Roman"/>
          <w:sz w:val="22"/>
          <w:szCs w:val="22"/>
          <w:color w:val="auto"/>
        </w:rPr>
        <w:t>" shall have the meaning set forth in Section 2.8(b) hereof.</w:t>
      </w:r>
    </w:p>
    <w:p>
      <w:pPr>
        <w:spacing w:after="0" w:line="233"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Application Event</w:t>
      </w:r>
      <w:r>
        <w:rPr>
          <w:rFonts w:ascii="Times New Roman" w:cs="Times New Roman" w:eastAsia="Times New Roman" w:hAnsi="Times New Roman"/>
          <w:sz w:val="22"/>
          <w:szCs w:val="22"/>
          <w:color w:val="auto"/>
        </w:rPr>
        <w:t>" shall mean the occurrence of (a) a failure by Borrowers to repay all of the Obligations in full on the Maturity Date or if sooner, the date the Obligations are declared due and payable pursuant to the terms hereof, or (b) an Event of Default and the election by Agent or the Required Lenders to require that payments and proceeds of Collateral be applied pursuant to Section 11.5 of this Agreement.</w:t>
      </w:r>
    </w:p>
    <w:p>
      <w:pPr>
        <w:spacing w:after="0" w:line="162" w:lineRule="exact"/>
        <w:rPr>
          <w:sz w:val="20"/>
          <w:szCs w:val="20"/>
          <w:color w:val="auto"/>
        </w:rPr>
      </w:pPr>
    </w:p>
    <w:p>
      <w:pPr>
        <w:jc w:val="both"/>
        <w:ind w:firstLine="749"/>
        <w:spacing w:after="0" w:line="29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Approved Appraiser</w:t>
      </w:r>
      <w:r>
        <w:rPr>
          <w:rFonts w:ascii="Times New Roman" w:cs="Times New Roman" w:eastAsia="Times New Roman" w:hAnsi="Times New Roman"/>
          <w:sz w:val="22"/>
          <w:szCs w:val="22"/>
          <w:color w:val="auto"/>
        </w:rPr>
        <w:t>" shall mean North American Marine Consultants, LLC or such other appraiser reasonably satisfactory to Agent.</w:t>
      </w:r>
    </w:p>
    <w:p>
      <w:pPr>
        <w:spacing w:after="0" w:line="134"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Approved Electronic Communication</w:t>
      </w:r>
      <w:r>
        <w:rPr>
          <w:rFonts w:ascii="Times New Roman" w:cs="Times New Roman" w:eastAsia="Times New Roman" w:hAnsi="Times New Roman"/>
          <w:sz w:val="22"/>
          <w:szCs w:val="22"/>
          <w:color w:val="auto"/>
        </w:rPr>
        <w:t xml:space="preserve">" shall mean each notice, demand, communication, information, document and other material transmitted, posted or otherwise made or communicated by e-mail, E-Fax, the Credit Management Module of PNC's PINACLE® system, or any other equivalent electronic service agreed to by Agent, whether owned, operated or hosted by Agent, any Lender, any of their Affiliates or any other Person, that any party is obligated to, or otherwise chooses to, provide to Agent pursuant to this Agreement or any Other Document, including any financial statement, financial and other report, notice, request, certificate and other information material;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Approved Electronic Communications shall not include any notice, demand, communication, information, document or other material that Agent specifically instructs a Person to deliver in physical form.</w:t>
      </w:r>
    </w:p>
    <w:p>
      <w:pPr>
        <w:spacing w:after="0" w:line="175"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Approved Flag Jurisdiction</w:t>
      </w:r>
      <w:r>
        <w:rPr>
          <w:rFonts w:ascii="Times New Roman" w:cs="Times New Roman" w:eastAsia="Times New Roman" w:hAnsi="Times New Roman"/>
          <w:sz w:val="22"/>
          <w:szCs w:val="22"/>
          <w:color w:val="auto"/>
        </w:rPr>
        <w:t>" shall mean Vanuatu, the Marshall Islands, Mexico, Canada, Liberia and Panama. In connection with re-flagging any Fleet Assets from the United States to any Approved Flag Jurisdiction, Borrowers shall have delivered to Agent and Lenders an updated Acceptable Appraisal giving effect to such re-flagging before any such Fleet Asset may be an Eligible Fleet Asset.</w:t>
      </w:r>
    </w:p>
    <w:p>
      <w:pPr>
        <w:spacing w:after="0" w:line="162"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Approved Operating Jurisdiction</w:t>
      </w:r>
      <w:r>
        <w:rPr>
          <w:rFonts w:ascii="Times New Roman" w:cs="Times New Roman" w:eastAsia="Times New Roman" w:hAnsi="Times New Roman"/>
          <w:sz w:val="22"/>
          <w:szCs w:val="22"/>
          <w:color w:val="auto"/>
        </w:rPr>
        <w:t xml:space="preserve">" shall mean the Commonwealth of the Bahamas and other foreign jurisdictions in which Agent has the satisfactory ability to enforce ship mortgages as determined by Required Lenders in their Permitted Discretion (it being understood that Agent or Required Lenders may reasonably request customary local counsel legal opinions in making such determination);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(1) at least thirty (30) days (or such shorter period acceptable to Agent) prior to moving any Eligible Fleet Assets from the United States to a foreign jurisdiction, Borrowing Agent shall notify Agent and certify that such foreign jurisdiction is an Approved Operating Jurisdiction, and (2) in no event shall an Approved Operating Jurisdiction include Brazil or any other country or location in which it has been determined by a court of law or there is a Law stating that a mortgage on a foreign-flag vessel</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55" w:name="page56"/>
    <w:bookmarkEnd w:id="55"/>
    <w:p>
      <w:pPr>
        <w:jc w:val="both"/>
        <w:spacing w:after="0" w:line="275" w:lineRule="auto"/>
        <w:rPr>
          <w:sz w:val="20"/>
          <w:szCs w:val="20"/>
          <w:color w:val="auto"/>
        </w:rPr>
      </w:pPr>
      <w:r>
        <w:rPr>
          <w:rFonts w:ascii="Times New Roman" w:cs="Times New Roman" w:eastAsia="Times New Roman" w:hAnsi="Times New Roman"/>
          <w:sz w:val="22"/>
          <w:szCs w:val="22"/>
          <w:color w:val="auto"/>
        </w:rPr>
        <w:t>will not be recognized as enforceable in such country or location (each such location described in the foregoing proviso, an "</w:t>
      </w:r>
      <w:r>
        <w:rPr>
          <w:rFonts w:ascii="Times New Roman" w:cs="Times New Roman" w:eastAsia="Times New Roman" w:hAnsi="Times New Roman"/>
          <w:sz w:val="22"/>
          <w:szCs w:val="22"/>
          <w:u w:val="single" w:color="auto"/>
          <w:color w:val="auto"/>
        </w:rPr>
        <w:t>Ineligible Location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further that Agent shall provide written notice to Borrowers of such country or location before such country or location shall be deemed to be a geographic area where Eligible Fleet Assets may not operate.</w:t>
      </w:r>
    </w:p>
    <w:p>
      <w:pPr>
        <w:spacing w:after="0" w:line="156" w:lineRule="exact"/>
        <w:rPr>
          <w:sz w:val="20"/>
          <w:szCs w:val="20"/>
          <w:color w:val="auto"/>
        </w:rPr>
      </w:pPr>
    </w:p>
    <w:p>
      <w:pPr>
        <w:jc w:val="both"/>
        <w:ind w:firstLine="749"/>
        <w:spacing w:after="0" w:line="29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Ascot</w:t>
      </w:r>
      <w:r>
        <w:rPr>
          <w:rFonts w:ascii="Times New Roman" w:cs="Times New Roman" w:eastAsia="Times New Roman" w:hAnsi="Times New Roman"/>
          <w:sz w:val="22"/>
          <w:szCs w:val="22"/>
          <w:color w:val="auto"/>
        </w:rPr>
        <w:t>" shall mean Ascot Surety and Casualty Company and Ascot Insurance Company or any of their affiliates, and their successors and assigns.</w:t>
      </w:r>
    </w:p>
    <w:p>
      <w:pPr>
        <w:spacing w:after="0" w:line="134" w:lineRule="exact"/>
        <w:rPr>
          <w:sz w:val="20"/>
          <w:szCs w:val="20"/>
          <w:color w:val="auto"/>
        </w:rPr>
      </w:pPr>
    </w:p>
    <w:p>
      <w:pPr>
        <w:jc w:val="both"/>
        <w:ind w:firstLine="749"/>
        <w:spacing w:after="0" w:line="29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Ascot Agreement</w:t>
      </w:r>
      <w:r>
        <w:rPr>
          <w:rFonts w:ascii="Times New Roman" w:cs="Times New Roman" w:eastAsia="Times New Roman" w:hAnsi="Times New Roman"/>
          <w:sz w:val="22"/>
          <w:szCs w:val="22"/>
          <w:color w:val="auto"/>
        </w:rPr>
        <w:t>" shall mean that certain General Agreement of Indemnity dated as of April 23, 2024, by and among certain of the Borrowers, Ascot and the other parties thereto from time to time.</w:t>
      </w:r>
    </w:p>
    <w:p>
      <w:pPr>
        <w:spacing w:after="0" w:line="134" w:lineRule="exact"/>
        <w:rPr>
          <w:sz w:val="20"/>
          <w:szCs w:val="20"/>
          <w:color w:val="auto"/>
        </w:rPr>
      </w:pPr>
    </w:p>
    <w:p>
      <w:pPr>
        <w:jc w:val="both"/>
        <w:ind w:firstLine="749"/>
        <w:spacing w:after="0" w:line="29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Assignment of Claims Act</w:t>
      </w:r>
      <w:r>
        <w:rPr>
          <w:rFonts w:ascii="Times New Roman" w:cs="Times New Roman" w:eastAsia="Times New Roman" w:hAnsi="Times New Roman"/>
          <w:sz w:val="22"/>
          <w:szCs w:val="22"/>
          <w:color w:val="auto"/>
        </w:rPr>
        <w:t>" shall mean the Assignment of Claims Act of 1940, as amended (31 U.S.C. Sub-Section 3727 et seq. and 41 U.S.C. Sub-Section 15 et seq.).</w:t>
      </w:r>
    </w:p>
    <w:p>
      <w:pPr>
        <w:spacing w:after="0" w:line="134" w:lineRule="exact"/>
        <w:rPr>
          <w:sz w:val="20"/>
          <w:szCs w:val="20"/>
          <w:color w:val="auto"/>
        </w:rPr>
      </w:pPr>
    </w:p>
    <w:p>
      <w:pPr>
        <w:jc w:val="both"/>
        <w:ind w:firstLine="749"/>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Assignments of Earnings and Charters</w:t>
      </w:r>
      <w:r>
        <w:rPr>
          <w:rFonts w:ascii="Times New Roman" w:cs="Times New Roman" w:eastAsia="Times New Roman" w:hAnsi="Times New Roman"/>
          <w:sz w:val="22"/>
          <w:szCs w:val="22"/>
          <w:color w:val="auto"/>
        </w:rPr>
        <w:t>" shall mean the Assignment of Earnings and Charters (Fleet), the Assignment of Earnings and Charters (GLDD) and any other assignment of earnings and charters by a Credit Party in favor of Agent, in form and substance satisfactory to Agent.</w:t>
      </w:r>
    </w:p>
    <w:p>
      <w:pPr>
        <w:spacing w:after="0" w:line="156" w:lineRule="exact"/>
        <w:rPr>
          <w:sz w:val="20"/>
          <w:szCs w:val="20"/>
          <w:color w:val="auto"/>
        </w:rPr>
      </w:pPr>
    </w:p>
    <w:p>
      <w:pPr>
        <w:jc w:val="both"/>
        <w:ind w:right="20" w:firstLine="749"/>
        <w:spacing w:after="0" w:line="29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Assignment of Earnings and Charters (Fleet)</w:t>
      </w:r>
      <w:r>
        <w:rPr>
          <w:rFonts w:ascii="Times New Roman" w:cs="Times New Roman" w:eastAsia="Times New Roman" w:hAnsi="Times New Roman"/>
          <w:sz w:val="22"/>
          <w:szCs w:val="22"/>
          <w:color w:val="auto"/>
        </w:rPr>
        <w:t>" shall mean any assignment of earnings and charters by Fleet in favor of Agent, in form and substance satisfactory to Agent.</w:t>
      </w:r>
    </w:p>
    <w:p>
      <w:pPr>
        <w:spacing w:after="0" w:line="134" w:lineRule="exact"/>
        <w:rPr>
          <w:sz w:val="20"/>
          <w:szCs w:val="20"/>
          <w:color w:val="auto"/>
        </w:rPr>
      </w:pPr>
    </w:p>
    <w:p>
      <w:pPr>
        <w:jc w:val="both"/>
        <w:ind w:firstLine="749"/>
        <w:spacing w:after="0" w:line="29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Assignment of Earnings and Charters (GLDD)</w:t>
      </w:r>
      <w:r>
        <w:rPr>
          <w:rFonts w:ascii="Times New Roman" w:cs="Times New Roman" w:eastAsia="Times New Roman" w:hAnsi="Times New Roman"/>
          <w:sz w:val="22"/>
          <w:szCs w:val="22"/>
          <w:color w:val="auto"/>
        </w:rPr>
        <w:t>" shall mean any assignment of earnings and charters by GLDD LLC in favor of Agent, in form and substance satisfactory to Agent.</w:t>
      </w:r>
    </w:p>
    <w:p>
      <w:pPr>
        <w:spacing w:after="0" w:line="134" w:lineRule="exact"/>
        <w:rPr>
          <w:sz w:val="20"/>
          <w:szCs w:val="20"/>
          <w:color w:val="auto"/>
        </w:rPr>
      </w:pPr>
    </w:p>
    <w:p>
      <w:pPr>
        <w:jc w:val="both"/>
        <w:ind w:firstLine="749"/>
        <w:spacing w:after="0" w:line="28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Assignments of Insurances</w:t>
      </w:r>
      <w:r>
        <w:rPr>
          <w:rFonts w:ascii="Times New Roman" w:cs="Times New Roman" w:eastAsia="Times New Roman" w:hAnsi="Times New Roman"/>
          <w:sz w:val="22"/>
          <w:szCs w:val="22"/>
          <w:color w:val="auto"/>
        </w:rPr>
        <w:t xml:space="preserve"> " shall mean the Assignment of Insurances (Fleet), the Assignment of Insurances (GLDD) and any other assignment of insurances by a Credit Party in favor of Agent, in form and substance satisfactory to Agent.</w:t>
      </w:r>
    </w:p>
    <w:p>
      <w:pPr>
        <w:spacing w:after="0" w:line="200" w:lineRule="exact"/>
        <w:rPr>
          <w:sz w:val="20"/>
          <w:szCs w:val="20"/>
          <w:color w:val="auto"/>
        </w:rPr>
      </w:pPr>
    </w:p>
    <w:p>
      <w:pPr>
        <w:spacing w:after="0" w:line="221" w:lineRule="exact"/>
        <w:rPr>
          <w:sz w:val="20"/>
          <w:szCs w:val="20"/>
          <w:color w:val="auto"/>
        </w:rPr>
      </w:pPr>
    </w:p>
    <w:p>
      <w:pPr>
        <w:jc w:val="both"/>
        <w:ind w:firstLine="749"/>
        <w:spacing w:after="0" w:line="29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Assignment of Insurances (Fleet)</w:t>
      </w:r>
      <w:r>
        <w:rPr>
          <w:rFonts w:ascii="Times New Roman" w:cs="Times New Roman" w:eastAsia="Times New Roman" w:hAnsi="Times New Roman"/>
          <w:sz w:val="22"/>
          <w:szCs w:val="22"/>
          <w:color w:val="auto"/>
        </w:rPr>
        <w:t>" shall mean any assignment of insurances by Fleet in favor of Agent, in form and substance satisfactory to Agent.</w:t>
      </w:r>
    </w:p>
    <w:p>
      <w:pPr>
        <w:spacing w:after="0" w:line="134" w:lineRule="exact"/>
        <w:rPr>
          <w:sz w:val="20"/>
          <w:szCs w:val="20"/>
          <w:color w:val="auto"/>
        </w:rPr>
      </w:pPr>
    </w:p>
    <w:p>
      <w:pPr>
        <w:jc w:val="both"/>
        <w:ind w:firstLine="749"/>
        <w:spacing w:after="0" w:line="29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Assignment of Insurances (GLDD)</w:t>
      </w:r>
      <w:r>
        <w:rPr>
          <w:rFonts w:ascii="Times New Roman" w:cs="Times New Roman" w:eastAsia="Times New Roman" w:hAnsi="Times New Roman"/>
          <w:sz w:val="22"/>
          <w:szCs w:val="22"/>
          <w:color w:val="auto"/>
        </w:rPr>
        <w:t>" shall mean any assignment of insurances by GLDD LLC in favor of Agent, in form and substance satisfactory to Agent.</w:t>
      </w:r>
    </w:p>
    <w:p>
      <w:pPr>
        <w:spacing w:after="0" w:line="134" w:lineRule="exact"/>
        <w:rPr>
          <w:sz w:val="20"/>
          <w:szCs w:val="20"/>
          <w:color w:val="auto"/>
        </w:rPr>
      </w:pPr>
    </w:p>
    <w:p>
      <w:pPr>
        <w:jc w:val="both"/>
        <w:ind w:firstLine="749"/>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ATB</w:t>
      </w:r>
      <w:r>
        <w:rPr>
          <w:rFonts w:ascii="Times New Roman" w:cs="Times New Roman" w:eastAsia="Times New Roman" w:hAnsi="Times New Roman"/>
          <w:sz w:val="22"/>
          <w:szCs w:val="22"/>
          <w:color w:val="auto"/>
        </w:rPr>
        <w:t>" shall mean the Fleet Assets comprised of (i) the U.S. flag vessel named Ellis Island, Official Number 1256673, and (ii) the U.S. flag vessel named Douglas B Mackie, Official Number 1256691, which are subject to the ATB Ship Mortgage.</w:t>
      </w:r>
    </w:p>
    <w:p>
      <w:pPr>
        <w:spacing w:after="0" w:line="156" w:lineRule="exact"/>
        <w:rPr>
          <w:sz w:val="20"/>
          <w:szCs w:val="20"/>
          <w:color w:val="auto"/>
        </w:rPr>
      </w:pPr>
    </w:p>
    <w:p>
      <w:pPr>
        <w:jc w:val="both"/>
        <w:ind w:firstLine="749"/>
        <w:spacing w:after="0" w:line="29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ATB Conditions</w:t>
      </w:r>
      <w:r>
        <w:rPr>
          <w:rFonts w:ascii="Times New Roman" w:cs="Times New Roman" w:eastAsia="Times New Roman" w:hAnsi="Times New Roman"/>
          <w:sz w:val="22"/>
          <w:szCs w:val="22"/>
          <w:color w:val="auto"/>
        </w:rPr>
        <w:t>" shall mean, with respect to any applicable action, each of the following conditions, after giving effect to such action:</w:t>
      </w:r>
    </w:p>
    <w:p>
      <w:pPr>
        <w:spacing w:after="0" w:line="131" w:lineRule="exact"/>
        <w:rPr>
          <w:sz w:val="20"/>
          <w:szCs w:val="20"/>
          <w:color w:val="auto"/>
        </w:rPr>
      </w:pPr>
    </w:p>
    <w:p>
      <w:pPr>
        <w:ind w:left="5500" w:right="1440" w:hanging="3995"/>
        <w:spacing w:after="0" w:line="847" w:lineRule="auto"/>
        <w:tabs>
          <w:tab w:leader="none" w:pos="1939"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Undrawn Availability is greater than fifty percent (50.0%) of the Maximum Loan Amount;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56" w:name="page57"/>
    <w:bookmarkEnd w:id="56"/>
    <w:p>
      <w:pPr>
        <w:ind w:firstLine="1505"/>
        <w:spacing w:after="0" w:line="258" w:lineRule="auto"/>
        <w:tabs>
          <w:tab w:leader="none" w:pos="1929"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Fixed Charge Coverage Ratio shall be at least 2.00 to 1.00 for the most recently ended fiscal month for which Agent has received financial statements required under Section 9.9;</w:t>
      </w:r>
    </w:p>
    <w:p>
      <w:pPr>
        <w:spacing w:after="0" w:line="158"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Total Leverage Ratio shall not exceed 2.75 to 1.00; and</w:t>
      </w:r>
    </w:p>
    <w:p>
      <w:pPr>
        <w:spacing w:after="0" w:line="206"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Default or Event of Default exists or would be caused thereby.</w:t>
      </w:r>
    </w:p>
    <w:p>
      <w:pPr>
        <w:spacing w:after="0" w:line="210" w:lineRule="exact"/>
        <w:rPr>
          <w:sz w:val="20"/>
          <w:szCs w:val="20"/>
          <w:color w:val="auto"/>
        </w:rPr>
      </w:pPr>
    </w:p>
    <w:p>
      <w:pPr>
        <w:jc w:val="both"/>
        <w:ind w:firstLine="749"/>
        <w:spacing w:after="0" w:line="275" w:lineRule="auto"/>
        <w:rPr>
          <w:sz w:val="20"/>
          <w:szCs w:val="20"/>
          <w:color w:val="auto"/>
        </w:rPr>
      </w:pPr>
      <w:r>
        <w:rPr>
          <w:rFonts w:ascii="Times New Roman" w:cs="Times New Roman" w:eastAsia="Times New Roman" w:hAnsi="Times New Roman"/>
          <w:sz w:val="22"/>
          <w:szCs w:val="22"/>
          <w:color w:val="auto"/>
        </w:rPr>
        <w:t xml:space="preserve">For purposes of clauses (a), (b) and (c) above, each calculation shall be adjusted on a Pro Forma Basis;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that</w:t>
      </w:r>
      <w:r>
        <w:rPr>
          <w:rFonts w:ascii="Times New Roman" w:cs="Times New Roman" w:eastAsia="Times New Roman" w:hAnsi="Times New Roman"/>
          <w:sz w:val="22"/>
          <w:szCs w:val="22"/>
          <w:color w:val="auto"/>
        </w:rPr>
        <w:t>, in connection with any sale-leaseback of the ATB that is a Permitted Disposition, any EBITDA generated by the ATB would not be deducted from EBITDA.</w:t>
      </w:r>
    </w:p>
    <w:p>
      <w:pPr>
        <w:spacing w:after="0" w:line="156" w:lineRule="exact"/>
        <w:rPr>
          <w:sz w:val="20"/>
          <w:szCs w:val="20"/>
          <w:color w:val="auto"/>
        </w:rPr>
      </w:pPr>
    </w:p>
    <w:p>
      <w:pPr>
        <w:jc w:val="both"/>
        <w:ind w:right="20" w:firstLine="749"/>
        <w:spacing w:after="0" w:line="29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ATB Ship Mortgage</w:t>
      </w:r>
      <w:r>
        <w:rPr>
          <w:rFonts w:ascii="Times New Roman" w:cs="Times New Roman" w:eastAsia="Times New Roman" w:hAnsi="Times New Roman"/>
          <w:sz w:val="22"/>
          <w:szCs w:val="22"/>
          <w:color w:val="auto"/>
        </w:rPr>
        <w:t>" shall mean the First Preferred Fleet Mortgage dated as of November 17, 2017, executed by Fleet in favor of Agent and Security Trustee, as such agreement may be amended or modified from time to time.</w:t>
      </w:r>
    </w:p>
    <w:p>
      <w:pPr>
        <w:spacing w:after="0" w:line="134"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Availability</w:t>
      </w:r>
      <w:r>
        <w:rPr>
          <w:rFonts w:ascii="Times New Roman" w:cs="Times New Roman" w:eastAsia="Times New Roman" w:hAnsi="Times New Roman"/>
          <w:sz w:val="22"/>
          <w:szCs w:val="22"/>
          <w:color w:val="auto"/>
        </w:rPr>
        <w:t>" shall mean, as of any date of determination, an amount equal to the Gross Amount less such reserves against the Gross Amount, including without limitation the Equipment Utilization Agreement Reserve, the Currency Reserve, the Preferred Maritime Reserves and reserves related to Cash Management Liabilities and Hedge Liabilities, as Agent may reasonably deem proper and necessary in its Permitted Discretion as of such date of determination.</w:t>
      </w:r>
    </w:p>
    <w:p>
      <w:pPr>
        <w:spacing w:after="0" w:line="111" w:lineRule="exact"/>
        <w:rPr>
          <w:sz w:val="20"/>
          <w:szCs w:val="20"/>
          <w:color w:val="auto"/>
        </w:rPr>
      </w:pPr>
    </w:p>
    <w:p>
      <w:pPr>
        <w:jc w:val="both"/>
        <w:ind w:firstLine="749"/>
        <w:spacing w:after="0" w:line="307" w:lineRule="exact"/>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Bail</w:t>
      </w:r>
      <w:r>
        <w:rPr>
          <w:rFonts w:ascii="MS PGothic" w:cs="MS PGothic" w:eastAsia="MS PGothic" w:hAnsi="MS PGothic"/>
          <w:sz w:val="22"/>
          <w:szCs w:val="22"/>
          <w:u w:val="single" w:color="auto"/>
          <w:color w:val="auto"/>
        </w:rPr>
        <w:t>‑</w:t>
      </w:r>
      <w:r>
        <w:rPr>
          <w:rFonts w:ascii="Times New Roman" w:cs="Times New Roman" w:eastAsia="Times New Roman" w:hAnsi="Times New Roman"/>
          <w:sz w:val="22"/>
          <w:szCs w:val="22"/>
          <w:u w:val="single" w:color="auto"/>
          <w:color w:val="auto"/>
        </w:rPr>
        <w:t>In Action</w:t>
      </w:r>
      <w:r>
        <w:rPr>
          <w:rFonts w:ascii="Times New Roman" w:cs="Times New Roman" w:eastAsia="Times New Roman" w:hAnsi="Times New Roman"/>
          <w:sz w:val="22"/>
          <w:szCs w:val="22"/>
          <w:color w:val="auto"/>
        </w:rPr>
        <w:t>" shall mean the exercise of any Write-Down and Conversion Powers by the applicable Resolution Authority in respect of any liability of an Affected Financial Institution.</w:t>
      </w:r>
    </w:p>
    <w:p>
      <w:pPr>
        <w:spacing w:after="0" w:line="143" w:lineRule="exact"/>
        <w:rPr>
          <w:sz w:val="20"/>
          <w:szCs w:val="20"/>
          <w:color w:val="auto"/>
        </w:rPr>
      </w:pPr>
    </w:p>
    <w:p>
      <w:pPr>
        <w:jc w:val="both"/>
        <w:ind w:firstLine="749"/>
        <w:spacing w:after="0" w:line="286" w:lineRule="exact"/>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Bail</w:t>
      </w:r>
      <w:r>
        <w:rPr>
          <w:rFonts w:ascii="MS PGothic" w:cs="MS PGothic" w:eastAsia="MS PGothic" w:hAnsi="MS PGothic"/>
          <w:sz w:val="22"/>
          <w:szCs w:val="22"/>
          <w:u w:val="single" w:color="auto"/>
          <w:color w:val="auto"/>
        </w:rPr>
        <w:t>‑</w:t>
      </w:r>
      <w:r>
        <w:rPr>
          <w:rFonts w:ascii="Times New Roman" w:cs="Times New Roman" w:eastAsia="Times New Roman" w:hAnsi="Times New Roman"/>
          <w:sz w:val="22"/>
          <w:szCs w:val="22"/>
          <w:u w:val="single" w:color="auto"/>
          <w:color w:val="auto"/>
        </w:rPr>
        <w:t>In Legislation</w:t>
      </w:r>
      <w:r>
        <w:rPr>
          <w:rFonts w:ascii="Times New Roman" w:cs="Times New Roman" w:eastAsia="Times New Roman" w:hAnsi="Times New Roman"/>
          <w:sz w:val="22"/>
          <w:szCs w:val="22"/>
          <w:color w:val="auto"/>
        </w:rPr>
        <w:t>" shall mean, (a) with respect to any EEA Member Country implementing Article 55 of Directive 2014/59/EU of the European Parliament and of the Council of the European Union, the implementing law for such EEA Member Country from time to time which is described in the EU Bail</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200" w:lineRule="exact"/>
        <w:rPr>
          <w:sz w:val="20"/>
          <w:szCs w:val="20"/>
          <w:color w:val="auto"/>
        </w:rPr>
      </w:pPr>
    </w:p>
    <w:p>
      <w:pPr>
        <w:spacing w:after="0" w:line="24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Bankruptcy Code</w:t>
      </w:r>
      <w:r>
        <w:rPr>
          <w:rFonts w:ascii="Times New Roman" w:cs="Times New Roman" w:eastAsia="Times New Roman" w:hAnsi="Times New Roman"/>
          <w:sz w:val="22"/>
          <w:szCs w:val="22"/>
          <w:color w:val="auto"/>
        </w:rPr>
        <w:t>" shall mean Title 11 of the United States Code, as amended.</w:t>
      </w:r>
    </w:p>
    <w:p>
      <w:pPr>
        <w:spacing w:after="0" w:line="233" w:lineRule="exact"/>
        <w:rPr>
          <w:sz w:val="20"/>
          <w:szCs w:val="20"/>
          <w:color w:val="auto"/>
        </w:rPr>
      </w:pPr>
    </w:p>
    <w:p>
      <w:pPr>
        <w:jc w:val="both"/>
        <w:ind w:firstLine="749"/>
        <w:spacing w:after="0" w:line="26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Base Rate</w:t>
      </w:r>
      <w:r>
        <w:rPr>
          <w:rFonts w:ascii="Times New Roman" w:cs="Times New Roman" w:eastAsia="Times New Roman" w:hAnsi="Times New Roman"/>
          <w:sz w:val="22"/>
          <w:szCs w:val="22"/>
          <w:color w:val="auto"/>
        </w:rPr>
        <w:t>" shall mean the base commercial lending rate of PNC as publicly announced to be in effect from time to time, such rate to be adjusted automatically, without notice, on the effective date of any change in such rate. This rate of interest is determined from time to time by PNC as a means of pricing some loans to its customers and is neither tied to any external rate of interest or index nor does it necessarily reflect the lowest rate of interest actually charged by PNC to any particular class or category of customers of PNC.</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57" w:name="page58"/>
    <w:bookmarkEnd w:id="57"/>
    <w:p>
      <w:pPr>
        <w:jc w:val="both"/>
        <w:ind w:firstLine="749"/>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Beneficial Owner</w:t>
      </w:r>
      <w:r>
        <w:rPr>
          <w:rFonts w:ascii="Times New Roman" w:cs="Times New Roman" w:eastAsia="Times New Roman" w:hAnsi="Times New Roman"/>
          <w:sz w:val="22"/>
          <w:szCs w:val="22"/>
          <w:color w:val="auto"/>
        </w:rPr>
        <w:t>" shall mean, for each Borrower, each of the following: (a) each individual, if any, who, directly or indirectly, owns 25% or more of such Borrower's Equity Interests; and (b) a single individual with significant responsibility to control, manage, or direct such Borrower.</w:t>
      </w:r>
    </w:p>
    <w:p>
      <w:pPr>
        <w:spacing w:after="0" w:line="15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Beneficial Owner Regulation</w:t>
      </w:r>
      <w:r>
        <w:rPr>
          <w:rFonts w:ascii="Times New Roman" w:cs="Times New Roman" w:eastAsia="Times New Roman" w:hAnsi="Times New Roman"/>
          <w:sz w:val="22"/>
          <w:szCs w:val="22"/>
          <w:color w:val="auto"/>
        </w:rPr>
        <w:t>" shall mean 31 C.F.R. § 1010.230.</w:t>
      </w:r>
    </w:p>
    <w:p>
      <w:pPr>
        <w:spacing w:after="0" w:line="23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Benefited Lender</w:t>
      </w:r>
      <w:r>
        <w:rPr>
          <w:rFonts w:ascii="Times New Roman" w:cs="Times New Roman" w:eastAsia="Times New Roman" w:hAnsi="Times New Roman"/>
          <w:sz w:val="22"/>
          <w:szCs w:val="22"/>
          <w:color w:val="auto"/>
        </w:rPr>
        <w:t>" shall have the meaning set forth in Section 2.6(e) hereof.</w:t>
      </w:r>
    </w:p>
    <w:p>
      <w:pPr>
        <w:spacing w:after="0" w:line="23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BHC Act Affiliate</w:t>
      </w:r>
      <w:r>
        <w:rPr>
          <w:rFonts w:ascii="Times New Roman" w:cs="Times New Roman" w:eastAsia="Times New Roman" w:hAnsi="Times New Roman"/>
          <w:sz w:val="22"/>
          <w:szCs w:val="22"/>
          <w:color w:val="auto"/>
        </w:rPr>
        <w:t>" shall have the meaning set forth in Section 16.22 hereof.</w:t>
      </w:r>
    </w:p>
    <w:p>
      <w:pPr>
        <w:spacing w:after="0" w:line="233" w:lineRule="exact"/>
        <w:rPr>
          <w:sz w:val="20"/>
          <w:szCs w:val="20"/>
          <w:color w:val="auto"/>
        </w:rPr>
      </w:pPr>
    </w:p>
    <w:p>
      <w:pPr>
        <w:jc w:val="both"/>
        <w:ind w:firstLine="749"/>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Bonding Agreement</w:t>
      </w:r>
      <w:r>
        <w:rPr>
          <w:rFonts w:ascii="Times New Roman" w:cs="Times New Roman" w:eastAsia="Times New Roman" w:hAnsi="Times New Roman"/>
          <w:sz w:val="22"/>
          <w:szCs w:val="22"/>
          <w:color w:val="auto"/>
        </w:rPr>
        <w:t>" shall mean, collectively, the Ascot Agreement and any supplement thereto or replacement thereof, the Chubb Agreement and any supplement thereto or replacement thereof, the Dual Agreement and any supplement thereto or replacement thereof, the Liberty Agreement and any supplement thereto or replacement thereof, the Philly Agreement and any supplement thereto or replacement thereof, and any similar contractual arrangement entered into by GLDD or any of its Subsidiaries with providers of bid, performance or payment bonds (any such provider, an "</w:t>
      </w:r>
      <w:r>
        <w:rPr>
          <w:rFonts w:ascii="Times New Roman" w:cs="Times New Roman" w:eastAsia="Times New Roman" w:hAnsi="Times New Roman"/>
          <w:sz w:val="22"/>
          <w:szCs w:val="22"/>
          <w:u w:val="single" w:color="auto"/>
          <w:color w:val="auto"/>
        </w:rPr>
        <w:t>Additional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Surety Provider"</w:t>
      </w:r>
      <w:r>
        <w:rPr>
          <w:rFonts w:ascii="Times New Roman" w:cs="Times New Roman" w:eastAsia="Times New Roman" w:hAnsi="Times New Roman"/>
          <w:sz w:val="22"/>
          <w:szCs w:val="22"/>
          <w:color w:val="auto"/>
        </w:rPr>
        <w:t>).</w:t>
      </w:r>
    </w:p>
    <w:p>
      <w:pPr>
        <w:spacing w:after="0" w:line="166" w:lineRule="exact"/>
        <w:rPr>
          <w:sz w:val="20"/>
          <w:szCs w:val="20"/>
          <w:color w:val="auto"/>
        </w:rPr>
      </w:pPr>
    </w:p>
    <w:p>
      <w:pPr>
        <w:jc w:val="both"/>
        <w:ind w:firstLine="749"/>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Bonding Obligations</w:t>
      </w:r>
      <w:r>
        <w:rPr>
          <w:rFonts w:ascii="Times New Roman" w:cs="Times New Roman" w:eastAsia="Times New Roman" w:hAnsi="Times New Roman"/>
          <w:sz w:val="22"/>
          <w:szCs w:val="22"/>
          <w:color w:val="auto"/>
        </w:rPr>
        <w:t>" shall mean each of the following categories (independently, and without need to satisfy multiple prongs) (a) obligations incurred by GLDD and its Subsidiaries (including guaranties thereof) with respect to bid, payment, performance, surety, appeal or similar bonds and completion guaranties in the Ordinary Course of Business, (b) obligations incurred by GLDD and its Subsidiaries (including guaranties thereof) under any Bonding Agreement and (c) letters of credit issued by financial institutions that are backed by surety bonds that constitute “Bonding Obligations” under the foregoing clauses (a) and (b).</w:t>
      </w:r>
    </w:p>
    <w:p>
      <w:pPr>
        <w:spacing w:after="0" w:line="166" w:lineRule="exact"/>
        <w:rPr>
          <w:sz w:val="20"/>
          <w:szCs w:val="20"/>
          <w:color w:val="auto"/>
        </w:rPr>
      </w:pPr>
    </w:p>
    <w:p>
      <w:pPr>
        <w:jc w:val="both"/>
        <w:ind w:right="20" w:firstLine="749"/>
        <w:spacing w:after="0" w:line="29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Borrower</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Borrowers</w:t>
      </w:r>
      <w:r>
        <w:rPr>
          <w:rFonts w:ascii="Times New Roman" w:cs="Times New Roman" w:eastAsia="Times New Roman" w:hAnsi="Times New Roman"/>
          <w:sz w:val="22"/>
          <w:szCs w:val="22"/>
          <w:color w:val="auto"/>
        </w:rPr>
        <w:t>" shall have the meaning set forth in the preamble to this Agreement and shall extend to all permitted successors and assigns of such Persons.</w:t>
      </w:r>
    </w:p>
    <w:p>
      <w:pPr>
        <w:spacing w:after="0" w:line="13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Borrowers' Account</w:t>
      </w:r>
      <w:r>
        <w:rPr>
          <w:rFonts w:ascii="Times New Roman" w:cs="Times New Roman" w:eastAsia="Times New Roman" w:hAnsi="Times New Roman"/>
          <w:sz w:val="22"/>
          <w:szCs w:val="22"/>
          <w:color w:val="auto"/>
        </w:rPr>
        <w:t>" shall have the meaning set forth in Section 2.10 hereof.</w:t>
      </w:r>
    </w:p>
    <w:p>
      <w:pPr>
        <w:spacing w:after="0" w:line="23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Borrowing Agent</w:t>
      </w:r>
      <w:r>
        <w:rPr>
          <w:rFonts w:ascii="Times New Roman" w:cs="Times New Roman" w:eastAsia="Times New Roman" w:hAnsi="Times New Roman"/>
          <w:sz w:val="22"/>
          <w:szCs w:val="22"/>
          <w:color w:val="auto"/>
        </w:rPr>
        <w:t>" shall mean GLDD.</w:t>
      </w:r>
    </w:p>
    <w:p>
      <w:pPr>
        <w:spacing w:after="0" w:line="233" w:lineRule="exact"/>
        <w:rPr>
          <w:sz w:val="20"/>
          <w:szCs w:val="20"/>
          <w:color w:val="auto"/>
        </w:rPr>
      </w:pPr>
    </w:p>
    <w:p>
      <w:pPr>
        <w:jc w:val="both"/>
        <w:ind w:firstLine="749"/>
        <w:spacing w:after="0" w:line="27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Borrowing Base Certificate</w:t>
      </w:r>
      <w:r>
        <w:rPr>
          <w:rFonts w:ascii="Times New Roman" w:cs="Times New Roman" w:eastAsia="Times New Roman" w:hAnsi="Times New Roman"/>
          <w:sz w:val="22"/>
          <w:szCs w:val="22"/>
          <w:color w:val="auto"/>
        </w:rPr>
        <w:t>" shall mean a certificate in substantially the form of Exhibit 1.2 hereto duly executed by a Responsible Officer of the Borrowing Agent and delivered to Agent, appropriately completed, by which such Responsible Officer shall certify to Agent the Gross Amount and calculation thereof as of the date set forth in such certificate.</w:t>
      </w:r>
    </w:p>
    <w:p>
      <w:pPr>
        <w:spacing w:after="0" w:line="200" w:lineRule="exact"/>
        <w:rPr>
          <w:sz w:val="20"/>
          <w:szCs w:val="20"/>
          <w:color w:val="auto"/>
        </w:rPr>
      </w:pPr>
    </w:p>
    <w:p>
      <w:pPr>
        <w:spacing w:after="0" w:line="236"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Business Day</w:t>
      </w:r>
      <w:r>
        <w:rPr>
          <w:rFonts w:ascii="Times New Roman" w:cs="Times New Roman" w:eastAsia="Times New Roman" w:hAnsi="Times New Roman"/>
          <w:sz w:val="22"/>
          <w:szCs w:val="22"/>
          <w:color w:val="auto"/>
        </w:rPr>
        <w:t>" shall mean any day other than Saturday or Sunday or a legal holiday on which commercial banks are authorized or required by Law to be closed for business in East Brunswick, New Jersey; provided that when used in connection with an amount that bears interest at a rate based on SOFR or any direct or indirect calculation or determination of SOFR, the "Business Day" means any such day that is also a U.S. Government Securities Business Day.</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58" w:name="page59"/>
    <w:bookmarkEnd w:id="58"/>
    <w:p>
      <w:pPr>
        <w:jc w:val="both"/>
        <w:ind w:firstLine="749"/>
        <w:spacing w:after="0" w:line="26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Capital Expenditures</w:t>
      </w:r>
      <w:r>
        <w:rPr>
          <w:rFonts w:ascii="Times New Roman" w:cs="Times New Roman" w:eastAsia="Times New Roman" w:hAnsi="Times New Roman"/>
          <w:sz w:val="22"/>
          <w:szCs w:val="22"/>
          <w:color w:val="auto"/>
        </w:rPr>
        <w:t>" shall mean, with respect to GLDD on a Consolidated Basis, expenditures made or liabilities incurred for the acquisition of any fixed assets or improvements (or of any replacements or substitutions thereof or additions thereto) which have a useful life of more than one year and which, in accordance with GAAP, would be classified as capital expenditures. Capital Expenditures shall include the total principal portion of Capitalized Lease Obligations.</w:t>
      </w:r>
    </w:p>
    <w:p>
      <w:pPr>
        <w:spacing w:after="0" w:line="162" w:lineRule="exact"/>
        <w:rPr>
          <w:sz w:val="20"/>
          <w:szCs w:val="20"/>
          <w:color w:val="auto"/>
        </w:rPr>
      </w:pPr>
    </w:p>
    <w:p>
      <w:pPr>
        <w:jc w:val="both"/>
        <w:ind w:firstLine="749"/>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Capitalized Lease Obligation</w:t>
      </w:r>
      <w:r>
        <w:rPr>
          <w:rFonts w:ascii="Times New Roman" w:cs="Times New Roman" w:eastAsia="Times New Roman" w:hAnsi="Times New Roman"/>
          <w:sz w:val="22"/>
          <w:szCs w:val="22"/>
          <w:color w:val="auto"/>
        </w:rPr>
        <w:t>" shall mean with respect to GLDD on a Consolidated Basis, any Indebtedness of any Borrower represented by obligations under a lease that is required to be capitalized for financial reporting purposes in accordance with GAAP.</w:t>
      </w:r>
    </w:p>
    <w:p>
      <w:pPr>
        <w:spacing w:after="0" w:line="156" w:lineRule="exact"/>
        <w:rPr>
          <w:sz w:val="20"/>
          <w:szCs w:val="20"/>
          <w:color w:val="auto"/>
        </w:rPr>
      </w:pPr>
    </w:p>
    <w:p>
      <w:pPr>
        <w:jc w:val="both"/>
        <w:ind w:firstLine="749"/>
        <w:spacing w:after="0" w:line="26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Cash Collateralization</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Cash Collateralize</w:t>
      </w:r>
      <w:r>
        <w:rPr>
          <w:rFonts w:ascii="Times New Roman" w:cs="Times New Roman" w:eastAsia="Times New Roman" w:hAnsi="Times New Roman"/>
          <w:sz w:val="22"/>
          <w:szCs w:val="22"/>
          <w:color w:val="auto"/>
        </w:rPr>
        <w:t>" shall mean to pledge and deposit with or deliver to Agent, for the benefit of one or more of the Issuer or the Lenders, as collateral for the Maximum Undrawn Amount of any Letter of Credit,</w:t>
      </w:r>
    </w:p>
    <w:p>
      <w:pPr>
        <w:spacing w:after="0" w:line="2" w:lineRule="exact"/>
        <w:rPr>
          <w:sz w:val="20"/>
          <w:szCs w:val="20"/>
          <w:color w:val="auto"/>
        </w:rPr>
      </w:pPr>
    </w:p>
    <w:p>
      <w:pPr>
        <w:jc w:val="both"/>
        <w:ind w:firstLine="8"/>
        <w:spacing w:after="0" w:line="257" w:lineRule="auto"/>
        <w:tabs>
          <w:tab w:leader="none" w:pos="324"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cash or deposit account balances in the currency in which such Letter of Credit is denominated in an amount equal to 105% of the Maximum Undrawn Amount of such Letter of Credit (or with respect to any Letter of Credit denominated in an Optional Currency, 110% of the Maximum Undrawn Amount of such Letter of Credit), (b) backstop letters of credit entered into on terms and from issuers satisfactory to Agent and Issuer denominated in the currency in which such Letter of Credit is denominated and in an amount equal to 105% of the Maximum Undrawn Amount of such Letter of Credit (or with respect to any Letter of Credit denominated in an Optional Currency, 110% of the Maximum Undrawn Amount of such Letter of Credit), and/or (c) if Agent and Issuer shall agree, in their sole discretion, other credit support, in each case, in the currency in which such Letter of Credit is denominated and pursuant to documentation in form and substance satisfactory to Agent and Issuer. "</w:t>
      </w:r>
      <w:r>
        <w:rPr>
          <w:rFonts w:ascii="Times New Roman" w:cs="Times New Roman" w:eastAsia="Times New Roman" w:hAnsi="Times New Roman"/>
          <w:sz w:val="22"/>
          <w:szCs w:val="22"/>
          <w:u w:val="single" w:color="auto"/>
          <w:color w:val="auto"/>
        </w:rPr>
        <w:t>Cash Collateral</w:t>
      </w:r>
      <w:r>
        <w:rPr>
          <w:rFonts w:ascii="Times New Roman" w:cs="Times New Roman" w:eastAsia="Times New Roman" w:hAnsi="Times New Roman"/>
          <w:sz w:val="22"/>
          <w:szCs w:val="22"/>
          <w:color w:val="auto"/>
        </w:rPr>
        <w:t>" shall have a meaning correlative to the foregoing and shall include the proceeds of such Cash Collateral and other credit support.</w:t>
      </w:r>
    </w:p>
    <w:p>
      <w:pPr>
        <w:spacing w:after="0" w:line="183" w:lineRule="exact"/>
        <w:rPr>
          <w:sz w:val="20"/>
          <w:szCs w:val="20"/>
          <w:color w:val="auto"/>
        </w:rPr>
      </w:pPr>
    </w:p>
    <w:p>
      <w:pPr>
        <w:jc w:val="both"/>
        <w:ind w:firstLine="749"/>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Cash Dominion Period</w:t>
      </w:r>
      <w:r>
        <w:rPr>
          <w:rFonts w:ascii="Times New Roman" w:cs="Times New Roman" w:eastAsia="Times New Roman" w:hAnsi="Times New Roman"/>
          <w:sz w:val="22"/>
          <w:szCs w:val="22"/>
          <w:color w:val="auto"/>
        </w:rPr>
        <w:t>" shall mean the period commencing after the occurrence of a Cash Dominion Trigger Event and continuing until the date when (a) no Event of Default shall exist and be continuing and (b) Undrawn Availability is greater than ten percent (10.0%) of the Maximum Loan Amount for twenty (20) consecutive days.</w:t>
      </w:r>
    </w:p>
    <w:p>
      <w:pPr>
        <w:spacing w:after="0" w:line="156" w:lineRule="exact"/>
        <w:rPr>
          <w:sz w:val="20"/>
          <w:szCs w:val="20"/>
          <w:color w:val="auto"/>
        </w:rPr>
      </w:pPr>
    </w:p>
    <w:p>
      <w:pPr>
        <w:jc w:val="both"/>
        <w:ind w:firstLine="749"/>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Cash Dominion Trigger Event</w:t>
      </w:r>
      <w:r>
        <w:rPr>
          <w:rFonts w:ascii="Times New Roman" w:cs="Times New Roman" w:eastAsia="Times New Roman" w:hAnsi="Times New Roman"/>
          <w:sz w:val="22"/>
          <w:szCs w:val="22"/>
          <w:color w:val="auto"/>
        </w:rPr>
        <w:t>" shall mean the occurrence of any of the following: (a) the occurrence and continuance of any Event of Default, or (b) Undrawn Availability is less than ten percent (10.0%) of the Maximum Loan Amount for five (5) consecutive Business Days.</w:t>
      </w:r>
    </w:p>
    <w:p>
      <w:pPr>
        <w:spacing w:after="0" w:line="156" w:lineRule="exact"/>
        <w:rPr>
          <w:sz w:val="20"/>
          <w:szCs w:val="20"/>
          <w:color w:val="auto"/>
        </w:rPr>
      </w:pPr>
    </w:p>
    <w:p>
      <w:pPr>
        <w:jc w:val="both"/>
        <w:ind w:firstLine="749"/>
        <w:spacing w:after="0" w:line="280" w:lineRule="exact"/>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Cash Equivalents</w:t>
      </w:r>
      <w:r>
        <w:rPr>
          <w:rFonts w:ascii="Times New Roman" w:cs="Times New Roman" w:eastAsia="Times New Roman" w:hAnsi="Times New Roman"/>
          <w:sz w:val="22"/>
          <w:szCs w:val="22"/>
          <w:color w:val="auto"/>
        </w:rPr>
        <w:t>" shall mean, at any time, Investments of GLDD or any of its Subsidiaries in (a) any obligation, maturing not more than one hundred twenty (120) days from the date of creation thereof, which is issued or guaranteed by the United States Government or issued by an agency thereof and backed by the full faith and credit of the United States; (b) commercial paper, maturing not more than one hundred twenty (120) days from the date of creation thereof, which is issued by (i) a corporation (other than an Affiliate of any Credit Party) organized under the laws of any state of the United States or of the District of Columbia which has a short-term credit rating of at least A</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 by S&amp;P and P</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 by Moody's, or (ii) any</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59" w:name="page60"/>
    <w:bookmarkEnd w:id="59"/>
    <w:p>
      <w:pPr>
        <w:jc w:val="both"/>
        <w:spacing w:after="0" w:line="260" w:lineRule="auto"/>
        <w:rPr>
          <w:sz w:val="20"/>
          <w:szCs w:val="20"/>
          <w:color w:val="auto"/>
        </w:rPr>
      </w:pPr>
      <w:r>
        <w:rPr>
          <w:rFonts w:ascii="Times New Roman" w:cs="Times New Roman" w:eastAsia="Times New Roman" w:hAnsi="Times New Roman"/>
          <w:sz w:val="22"/>
          <w:szCs w:val="22"/>
          <w:color w:val="auto"/>
        </w:rPr>
        <w:t>Lender (or its holding company) having a long-term credit rating of at least A by S&amp;P and A2 by Moody's; (c) any certificate of deposit, time or demand deposit (including Eurodollar time deposits) or bankers' acceptance, maturing not more than one hundred twenty (120) days from the date of creation thereof, which is issued by either (i) a commercial banking institution organized under the laws of the United States or any State thereof or the District of Columbia that has a combined capital, surplus and undivided profits of not less than $500,000,000 and has a long-term credit rating of at least A by S&amp;P and A2 by Moody's, (ii) any Lender with a long-term credit rating of at least A by S&amp;P and A2 by Moody's, or (iii)</w:t>
      </w:r>
    </w:p>
    <w:p>
      <w:pPr>
        <w:jc w:val="both"/>
        <w:ind w:firstLine="8"/>
        <w:spacing w:after="0" w:line="271" w:lineRule="exact"/>
        <w:tabs>
          <w:tab w:leader="none" w:pos="418"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branch of any Lender having a long-term credit rating of at least A by S&amp;P and A2 by Moody's, (B) any commercial banking institution organized under the laws of the United States or any State thereof or any Organization for Economic Co-operation and Development country which has a combined capital, surplus and undivided profits of not less than $500,000,000 and has a long-term credit rating of at least A by S&amp;P and A2 by Moody's, or (C) any financial institution organized under the laws of a country where GLDD or any of its Subsidiaries is engaged in a dredging or construction project to the extent such certificates of deposit, time or demand deposits (including Eurodollar time deposits) or bankers acceptances are reasonably necessary in connection with such dredging or construction project with a long-term credit rating of at least A by S&amp;P and A2 by Moody's; (d) fully collateralized repurchase agreements with a term of not more than thirty (30) days for underlying securities of the type described in clause (a) above, entered into with any institution meeting the qualifications specified in clause (c) above; (e) short-term asset management accounts offered by any Lender for the purpose of investing in notes issued by a corporation (other than an Affiliate of any Credit Party) organized under the laws of any state of the United States or of the District of Columbia and having a short-term credit rating of at least A</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 by S&amp;P and P-1 by Moody's; (f) Dollars or money in other currencies received in the Ordinary Course of Business; or (g) money market funds at least ninety-five percent (95%) of the assets of which constitute Cash Equivalents of the kinds described in clauses (a), (b), (c) and (f) of this definition.</w:t>
      </w:r>
    </w:p>
    <w:p>
      <w:pPr>
        <w:spacing w:after="0" w:line="200" w:lineRule="exact"/>
        <w:rPr>
          <w:sz w:val="20"/>
          <w:szCs w:val="20"/>
          <w:color w:val="auto"/>
        </w:rPr>
      </w:pPr>
    </w:p>
    <w:p>
      <w:pPr>
        <w:spacing w:after="0" w:line="249" w:lineRule="exact"/>
        <w:rPr>
          <w:sz w:val="20"/>
          <w:szCs w:val="20"/>
          <w:color w:val="auto"/>
        </w:rPr>
      </w:pPr>
    </w:p>
    <w:p>
      <w:pPr>
        <w:jc w:val="both"/>
        <w:ind w:firstLine="749"/>
        <w:spacing w:after="0" w:line="29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Cash Management Liabilities</w:t>
      </w:r>
      <w:r>
        <w:rPr>
          <w:rFonts w:ascii="Times New Roman" w:cs="Times New Roman" w:eastAsia="Times New Roman" w:hAnsi="Times New Roman"/>
          <w:sz w:val="22"/>
          <w:szCs w:val="22"/>
          <w:color w:val="auto"/>
        </w:rPr>
        <w:t>" shall have the meaning provided in the definition of "Cash Management Products and Services."</w:t>
      </w:r>
    </w:p>
    <w:p>
      <w:pPr>
        <w:spacing w:after="0" w:line="134" w:lineRule="exact"/>
        <w:rPr>
          <w:sz w:val="20"/>
          <w:szCs w:val="20"/>
          <w:color w:val="auto"/>
        </w:rPr>
      </w:pPr>
    </w:p>
    <w:p>
      <w:pPr>
        <w:jc w:val="both"/>
        <w:ind w:firstLine="749"/>
        <w:spacing w:after="0" w:line="26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Cash Management Products and Services</w:t>
      </w:r>
      <w:r>
        <w:rPr>
          <w:rFonts w:ascii="Times New Roman" w:cs="Times New Roman" w:eastAsia="Times New Roman" w:hAnsi="Times New Roman"/>
          <w:sz w:val="22"/>
          <w:szCs w:val="22"/>
          <w:color w:val="auto"/>
        </w:rPr>
        <w:t>" shall mean agreements or other arrangements under which Agent or any Lender or any Affiliate of Agent or a Lender provides any of the following products or services to any Credit Party: (a) credit cards; (b) credit card processing services; (c) debit cards and stored value cards; (d) commercial cards; (e) ACH transactions; and (f) cash management and treasury management services and products, including without limitation controlled disbursement accounts or services, lockboxes, automated clearinghouse transactions, overdrafts, interstate depository network services. The indebtedness, obligations and liabilities of any Credit Party to the provider of any Cash Management Products and Services (including all obligations and liabilities owing to such provider in respect of any returned items deposited with such provider) (the "</w:t>
      </w:r>
      <w:r>
        <w:rPr>
          <w:rFonts w:ascii="Times New Roman" w:cs="Times New Roman" w:eastAsia="Times New Roman" w:hAnsi="Times New Roman"/>
          <w:sz w:val="22"/>
          <w:szCs w:val="22"/>
          <w:u w:val="single" w:color="auto"/>
          <w:color w:val="auto"/>
        </w:rPr>
        <w:t>Cash Management Liabilities</w:t>
      </w:r>
      <w:r>
        <w:rPr>
          <w:rFonts w:ascii="Times New Roman" w:cs="Times New Roman" w:eastAsia="Times New Roman" w:hAnsi="Times New Roman"/>
          <w:sz w:val="22"/>
          <w:szCs w:val="22"/>
          <w:color w:val="auto"/>
        </w:rPr>
        <w:t>") shall be "Obligations" and otherwise treated as Obligations for purposes of this Agreement and each of the Other Documents, but only so long as such provider (if not PNC or an Affiliate of PNC) has notified Agent in writing of such Cash Management Products and Services within ten (10) days after the later to occur of (i) entering</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60" w:name="page61"/>
    <w:bookmarkEnd w:id="60"/>
    <w:p>
      <w:pPr>
        <w:jc w:val="both"/>
        <w:spacing w:after="0" w:line="275" w:lineRule="auto"/>
        <w:rPr>
          <w:sz w:val="20"/>
          <w:szCs w:val="20"/>
          <w:color w:val="auto"/>
        </w:rPr>
      </w:pPr>
      <w:r>
        <w:rPr>
          <w:rFonts w:ascii="Times New Roman" w:cs="Times New Roman" w:eastAsia="Times New Roman" w:hAnsi="Times New Roman"/>
          <w:sz w:val="22"/>
          <w:szCs w:val="22"/>
          <w:color w:val="auto"/>
        </w:rPr>
        <w:t>into such agreement or arrangement or (ii) with the consent of Agent and Borrowing Agent, such provider or its Affiliates becoming a Lender hereunder at any time after the Amendment No. 1 Closing Date (in each case as such time may be extended as agreed to by Agent and the Borrowing Agent).</w:t>
      </w:r>
    </w:p>
    <w:p>
      <w:pPr>
        <w:spacing w:after="0" w:line="156" w:lineRule="exact"/>
        <w:rPr>
          <w:sz w:val="20"/>
          <w:szCs w:val="20"/>
          <w:color w:val="auto"/>
        </w:rPr>
      </w:pPr>
    </w:p>
    <w:p>
      <w:pPr>
        <w:jc w:val="both"/>
        <w:ind w:firstLine="749"/>
        <w:spacing w:after="0" w:line="29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CEA</w:t>
      </w:r>
      <w:r>
        <w:rPr>
          <w:rFonts w:ascii="Times New Roman" w:cs="Times New Roman" w:eastAsia="Times New Roman" w:hAnsi="Times New Roman"/>
          <w:sz w:val="22"/>
          <w:szCs w:val="22"/>
          <w:color w:val="auto"/>
        </w:rPr>
        <w:t>" shall mean the Commodity Exchange Act (7 U.S.C. §1 et seq.), as amended from time to time, and any successor statute.</w:t>
      </w:r>
    </w:p>
    <w:p>
      <w:pPr>
        <w:spacing w:after="0" w:line="134" w:lineRule="exact"/>
        <w:rPr>
          <w:sz w:val="20"/>
          <w:szCs w:val="20"/>
          <w:color w:val="auto"/>
        </w:rPr>
      </w:pPr>
    </w:p>
    <w:p>
      <w:pPr>
        <w:jc w:val="both"/>
        <w:ind w:right="20" w:firstLine="749"/>
        <w:spacing w:after="0" w:line="29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CERCLA</w:t>
      </w:r>
      <w:r>
        <w:rPr>
          <w:rFonts w:ascii="Times New Roman" w:cs="Times New Roman" w:eastAsia="Times New Roman" w:hAnsi="Times New Roman"/>
          <w:sz w:val="22"/>
          <w:szCs w:val="22"/>
          <w:color w:val="auto"/>
        </w:rPr>
        <w:t>" shall mean the Comprehensive Environmental Response, Compensation and Liability Act of 1980, as amended, 42 U.S.C. §§9601 et seq.</w:t>
      </w:r>
    </w:p>
    <w:p>
      <w:pPr>
        <w:spacing w:after="0" w:line="134" w:lineRule="exact"/>
        <w:rPr>
          <w:sz w:val="20"/>
          <w:szCs w:val="20"/>
          <w:color w:val="auto"/>
        </w:rPr>
      </w:pPr>
    </w:p>
    <w:p>
      <w:pPr>
        <w:jc w:val="both"/>
        <w:ind w:right="20" w:firstLine="749"/>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Certificate of Beneficial Ownership</w:t>
      </w:r>
      <w:r>
        <w:rPr>
          <w:rFonts w:ascii="Times New Roman" w:cs="Times New Roman" w:eastAsia="Times New Roman" w:hAnsi="Times New Roman"/>
          <w:sz w:val="22"/>
          <w:szCs w:val="22"/>
          <w:color w:val="auto"/>
        </w:rPr>
        <w:t>" shall mean, for each Borrower, a certificate in form and substance reasonably satisfactory to Agent, certifying, among other things, the Beneficial Owner, as required by the Beneficial Owner Regulation, of such Borrower.</w:t>
      </w:r>
    </w:p>
    <w:p>
      <w:pPr>
        <w:spacing w:after="0" w:line="15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CFTC</w:t>
      </w:r>
      <w:r>
        <w:rPr>
          <w:rFonts w:ascii="Times New Roman" w:cs="Times New Roman" w:eastAsia="Times New Roman" w:hAnsi="Times New Roman"/>
          <w:sz w:val="22"/>
          <w:szCs w:val="22"/>
          <w:color w:val="auto"/>
        </w:rPr>
        <w:t>" shall mean the Commodity Futures Trading Commission.</w:t>
      </w:r>
    </w:p>
    <w:p>
      <w:pPr>
        <w:spacing w:after="0" w:line="233" w:lineRule="exact"/>
        <w:rPr>
          <w:sz w:val="20"/>
          <w:szCs w:val="20"/>
          <w:color w:val="auto"/>
        </w:rPr>
      </w:pPr>
    </w:p>
    <w:p>
      <w:pPr>
        <w:jc w:val="both"/>
        <w:ind w:firstLine="749"/>
        <w:spacing w:after="0" w:line="26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Change in Law</w:t>
      </w:r>
      <w:r>
        <w:rPr>
          <w:rFonts w:ascii="Times New Roman" w:cs="Times New Roman" w:eastAsia="Times New Roman" w:hAnsi="Times New Roman"/>
          <w:sz w:val="22"/>
          <w:szCs w:val="22"/>
          <w:color w:val="auto"/>
        </w:rPr>
        <w:t xml:space="preserve">" shall mean the occurrence, after the Closing Date, of any of the following: (a) the adoption or taking effect of any Applicable Law; (b) any change in any Applicable Law or in the administration, implementation, interpretation or application thereof by any Governmental Body; or (c) the making or issuance of any request, rule, guideline or directive (whether or not having the force of law) by any Governmental Body;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notwithstanding anything herein to the contrary, (x) the Dodd-Frank Wall Street Reform and Consumer Protection Act and all requests, rules, regulations, guidelines, interpretations or directives thereunder or issued in connection therewith (whether or not having the force of Applicable Law) and (y) all requests, rules, regulations, guidelines, interpretations or directives promulgated by the Bank for International Settlements, the Basel Committee on Banking Supervision (or any successor or similar authority) or the United States or foreign regulatory authorities (whether or not having the force of law), in each case pursuant to Basel III, shall in each case be deemed to be a Change in Law regardless of the date enacted, adopted, issued, promulgated or implemented.</w:t>
      </w:r>
    </w:p>
    <w:p>
      <w:pPr>
        <w:spacing w:after="0" w:line="200" w:lineRule="exact"/>
        <w:rPr>
          <w:sz w:val="20"/>
          <w:szCs w:val="20"/>
          <w:color w:val="auto"/>
        </w:rPr>
      </w:pPr>
    </w:p>
    <w:p>
      <w:pPr>
        <w:spacing w:after="0" w:line="24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Change of Control</w:t>
      </w:r>
      <w:r>
        <w:rPr>
          <w:rFonts w:ascii="Times New Roman" w:cs="Times New Roman" w:eastAsia="Times New Roman" w:hAnsi="Times New Roman"/>
          <w:sz w:val="22"/>
          <w:szCs w:val="22"/>
          <w:color w:val="auto"/>
        </w:rPr>
        <w:t>" shall mean:</w:t>
      </w:r>
    </w:p>
    <w:p>
      <w:pPr>
        <w:spacing w:after="0" w:line="229" w:lineRule="exact"/>
        <w:rPr>
          <w:sz w:val="20"/>
          <w:szCs w:val="20"/>
          <w:color w:val="auto"/>
        </w:rPr>
      </w:pPr>
    </w:p>
    <w:p>
      <w:pPr>
        <w:jc w:val="both"/>
        <w:ind w:firstLine="1505"/>
        <w:spacing w:after="0" w:line="248" w:lineRule="auto"/>
        <w:tabs>
          <w:tab w:leader="none" w:pos="1929" w:val="left"/>
        </w:tabs>
        <w:numPr>
          <w:ilvl w:val="0"/>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"person" or "group" (as such terms are used in Sections 13(d) and 14(d) of the Exchange Act, but excluding any employee benefit plan of such person or its Subsidiaries, and any person or entity acting in its capacity as trustee, agent or other fiduciary or administrator of any such plan) becomes the "beneficial owner" (as defined in Rules 13d-3 and 13d-5 under the Exchange Act, except that a "person" or "group" shall be deemed to have "beneficial ownership" of all Equity Interest that such "person" or "group" has the right to acquire, whether such right is exercisable immediately or only after the passage of time (such right, an "option right")), directly or indirectly, of more than fifty percent (50.0%) of the Equity Interests of GLDD entitled to vote in the election of members of the board of directors (or equivalent governing body) of GLDD; or</w:t>
      </w:r>
    </w:p>
    <w:p>
      <w:pPr>
        <w:spacing w:after="0" w:line="170" w:lineRule="exact"/>
        <w:rPr>
          <w:rFonts w:ascii="Times New Roman" w:cs="Times New Roman" w:eastAsia="Times New Roman" w:hAnsi="Times New Roman"/>
          <w:sz w:val="21"/>
          <w:szCs w:val="21"/>
          <w:color w:val="auto"/>
        </w:rPr>
      </w:pPr>
    </w:p>
    <w:p>
      <w:pPr>
        <w:ind w:right="60" w:firstLine="1505"/>
        <w:spacing w:after="0" w:line="258" w:lineRule="auto"/>
        <w:tabs>
          <w:tab w:leader="none" w:pos="1929"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"Change of Control" (or any similar or comparable definition or provision) occurs under any agreement governing Note Indenture Obligations; or</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61" w:name="page62"/>
    <w:bookmarkEnd w:id="61"/>
    <w:p>
      <w:pPr>
        <w:ind w:left="1940" w:hanging="435"/>
        <w:spacing w:after="0"/>
        <w:tabs>
          <w:tab w:leader="none" w:pos="1940" w:val="left"/>
        </w:tabs>
        <w:numPr>
          <w:ilvl w:val="0"/>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majority of the members of the board of directors (or other equivalent governing body) of GLDD are not</w:t>
      </w:r>
    </w:p>
    <w:p>
      <w:pPr>
        <w:spacing w:after="0" w:line="25"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Continuing Directors.</w:t>
      </w:r>
    </w:p>
    <w:p>
      <w:pPr>
        <w:spacing w:after="0" w:line="186" w:lineRule="exact"/>
        <w:rPr>
          <w:sz w:val="20"/>
          <w:szCs w:val="20"/>
          <w:color w:val="auto"/>
        </w:rPr>
      </w:pPr>
    </w:p>
    <w:p>
      <w:pPr>
        <w:jc w:val="both"/>
        <w:ind w:right="20" w:firstLine="749"/>
        <w:spacing w:after="0" w:line="29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Chubb</w:t>
      </w:r>
      <w:r>
        <w:rPr>
          <w:rFonts w:ascii="Times New Roman" w:cs="Times New Roman" w:eastAsia="Times New Roman" w:hAnsi="Times New Roman"/>
          <w:sz w:val="22"/>
          <w:szCs w:val="22"/>
          <w:color w:val="auto"/>
        </w:rPr>
        <w:t>" shall mean Westchester Fire Insurance Company or any of its affiliates, including, but not limited to FEDERAL INSURANCE COMPANY, its successors and assigns.</w:t>
      </w:r>
    </w:p>
    <w:p>
      <w:pPr>
        <w:spacing w:after="0" w:line="134" w:lineRule="exact"/>
        <w:rPr>
          <w:sz w:val="20"/>
          <w:szCs w:val="20"/>
          <w:color w:val="auto"/>
        </w:rPr>
      </w:pPr>
    </w:p>
    <w:p>
      <w:pPr>
        <w:jc w:val="both"/>
        <w:ind w:firstLine="749"/>
        <w:spacing w:after="0" w:line="29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Chubb Agreement</w:t>
      </w:r>
      <w:r>
        <w:rPr>
          <w:rFonts w:ascii="Times New Roman" w:cs="Times New Roman" w:eastAsia="Times New Roman" w:hAnsi="Times New Roman"/>
          <w:sz w:val="22"/>
          <w:szCs w:val="22"/>
          <w:color w:val="auto"/>
        </w:rPr>
        <w:t>" shall mean that certain General Agreement of Indemnity dated as of April 7, 2015, by and among certain of the Borrowers, Chubb and the other parties thereto from time to time.</w:t>
      </w:r>
    </w:p>
    <w:p>
      <w:pPr>
        <w:spacing w:after="0" w:line="13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CIP Regulations</w:t>
      </w:r>
      <w:r>
        <w:rPr>
          <w:rFonts w:ascii="Times New Roman" w:cs="Times New Roman" w:eastAsia="Times New Roman" w:hAnsi="Times New Roman"/>
          <w:sz w:val="22"/>
          <w:szCs w:val="22"/>
          <w:color w:val="auto"/>
        </w:rPr>
        <w:t>" shall have the meaning set forth in Section 14.12 hereof.</w:t>
      </w:r>
    </w:p>
    <w:p>
      <w:pPr>
        <w:spacing w:after="0" w:line="23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Closing Date</w:t>
      </w:r>
      <w:r>
        <w:rPr>
          <w:rFonts w:ascii="Times New Roman" w:cs="Times New Roman" w:eastAsia="Times New Roman" w:hAnsi="Times New Roman"/>
          <w:sz w:val="22"/>
          <w:szCs w:val="22"/>
          <w:color w:val="auto"/>
        </w:rPr>
        <w:t>" shall mean July 29, 2022.</w:t>
      </w:r>
    </w:p>
    <w:p>
      <w:pPr>
        <w:spacing w:after="0" w:line="233" w:lineRule="exact"/>
        <w:rPr>
          <w:sz w:val="20"/>
          <w:szCs w:val="20"/>
          <w:color w:val="auto"/>
        </w:rPr>
      </w:pPr>
    </w:p>
    <w:p>
      <w:pPr>
        <w:jc w:val="both"/>
        <w:ind w:right="20" w:firstLine="749"/>
        <w:spacing w:after="0" w:line="29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Code</w:t>
      </w:r>
      <w:r>
        <w:rPr>
          <w:rFonts w:ascii="Times New Roman" w:cs="Times New Roman" w:eastAsia="Times New Roman" w:hAnsi="Times New Roman"/>
          <w:sz w:val="22"/>
          <w:szCs w:val="22"/>
          <w:color w:val="auto"/>
        </w:rPr>
        <w:t>" shall mean the Internal Revenue Code of 1986, as the same may be amended or supplemented from time to time, and any successor statute of similar import, and the rules and regulations thereunder, as from time to time in effect.</w:t>
      </w:r>
    </w:p>
    <w:p>
      <w:pPr>
        <w:spacing w:after="0" w:line="134" w:lineRule="exact"/>
        <w:rPr>
          <w:sz w:val="20"/>
          <w:szCs w:val="20"/>
          <w:color w:val="auto"/>
        </w:rPr>
      </w:pPr>
    </w:p>
    <w:p>
      <w:pPr>
        <w:jc w:val="both"/>
        <w:ind w:firstLine="749"/>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Collateral</w:t>
      </w:r>
      <w:r>
        <w:rPr>
          <w:rFonts w:ascii="Times New Roman" w:cs="Times New Roman" w:eastAsia="Times New Roman" w:hAnsi="Times New Roman"/>
          <w:sz w:val="22"/>
          <w:szCs w:val="22"/>
          <w:color w:val="auto"/>
        </w:rPr>
        <w:t>" shall mean all right, title and interest of each Credit Party in all of the following property and assets of such Credit Party, in each case whether now existing or hereafter arising or created and whether now owned or hereafter acquired and wherever located:</w:t>
      </w:r>
    </w:p>
    <w:p>
      <w:pPr>
        <w:spacing w:after="0" w:line="153" w:lineRule="exact"/>
        <w:rPr>
          <w:sz w:val="20"/>
          <w:szCs w:val="20"/>
          <w:color w:val="auto"/>
        </w:rPr>
      </w:pPr>
    </w:p>
    <w:p>
      <w:pPr>
        <w:ind w:left="1940" w:hanging="435"/>
        <w:spacing w:after="0"/>
        <w:tabs>
          <w:tab w:leader="none" w:pos="1940"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Receivables and all supporting obligations relating thereto;</w:t>
      </w:r>
    </w:p>
    <w:p>
      <w:pPr>
        <w:spacing w:after="0" w:line="206"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Equipment (including, without limitation, Fleet Assets) and fixtures;</w:t>
      </w:r>
    </w:p>
    <w:p>
      <w:pPr>
        <w:spacing w:after="0" w:line="206"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general intangibles (including all payment intangibles and all software) and all supporting obligations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related thereto;</w:t>
      </w:r>
    </w:p>
    <w:p>
      <w:pPr>
        <w:spacing w:after="0" w:line="182" w:lineRule="exact"/>
        <w:rPr>
          <w:sz w:val="20"/>
          <w:szCs w:val="20"/>
          <w:color w:val="auto"/>
        </w:rPr>
      </w:pPr>
    </w:p>
    <w:p>
      <w:pPr>
        <w:ind w:left="1940" w:hanging="435"/>
        <w:spacing w:after="0"/>
        <w:tabs>
          <w:tab w:leader="none" w:pos="1940"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Inventory;</w:t>
      </w:r>
    </w:p>
    <w:p>
      <w:pPr>
        <w:spacing w:after="0" w:line="206"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securities, financial assets and investment property (including all Equity Interests issued by a Subsidiary to</w:t>
      </w:r>
    </w:p>
    <w:p>
      <w:pPr>
        <w:spacing w:after="0" w:line="25"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such Credit Party);</w:t>
      </w:r>
    </w:p>
    <w:p>
      <w:pPr>
        <w:spacing w:after="0" w:line="182" w:lineRule="exact"/>
        <w:rPr>
          <w:rFonts w:ascii="Times New Roman" w:cs="Times New Roman" w:eastAsia="Times New Roman" w:hAnsi="Times New Roman"/>
          <w:sz w:val="21"/>
          <w:szCs w:val="21"/>
          <w:color w:val="auto"/>
        </w:rPr>
      </w:pPr>
    </w:p>
    <w:p>
      <w:pPr>
        <w:jc w:val="both"/>
        <w:ind w:firstLine="1505"/>
        <w:spacing w:after="0" w:line="236" w:lineRule="auto"/>
        <w:tabs>
          <w:tab w:leader="none" w:pos="1929"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contract rights, rights of payment which have been earned under a contract rights, chattel paper (including electronic chattel paper and tangible chattel paper), commercial tort claims (whether now existing or hereafter arising); documents (including all warehouse receipts and bills of lading), deposit accounts, goods, instruments (including promissory notes), letters of credit (whether or not the respective letter of credit is evidenced by a writing) and letter-of-credit rights, cash, certificates of deposit, insurance proceeds (including hazard, flood and credit insurance), security agreements, eminent domain proceeds, condemnation proceeds, tort claim proceeds and all supporting obligations;</w:t>
      </w:r>
    </w:p>
    <w:p>
      <w:pPr>
        <w:spacing w:after="0" w:line="181" w:lineRule="exact"/>
        <w:rPr>
          <w:rFonts w:ascii="Times New Roman" w:cs="Times New Roman" w:eastAsia="Times New Roman" w:hAnsi="Times New Roman"/>
          <w:sz w:val="22"/>
          <w:szCs w:val="22"/>
          <w:color w:val="auto"/>
        </w:rPr>
      </w:pPr>
    </w:p>
    <w:p>
      <w:pPr>
        <w:ind w:right="80" w:firstLine="1505"/>
        <w:spacing w:after="0" w:line="258" w:lineRule="auto"/>
        <w:tabs>
          <w:tab w:leader="none" w:pos="1929"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ledger sheets, ledger cards, files, correspondence, records, books of account, business papers, computers, computer software (owned by any Credit Party or in which</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62" w:name="page63"/>
    <w:bookmarkEnd w:id="62"/>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it has an interest), computer programs, tapes, disks and documents, including all of such property relating to the property described in clauses (a) through (f) of this definition; and</w:t>
      </w:r>
    </w:p>
    <w:p>
      <w:pPr>
        <w:spacing w:after="0" w:line="158" w:lineRule="exact"/>
        <w:rPr>
          <w:sz w:val="20"/>
          <w:szCs w:val="20"/>
          <w:color w:val="auto"/>
        </w:rPr>
      </w:pPr>
    </w:p>
    <w:p>
      <w:pPr>
        <w:ind w:left="1500"/>
        <w:spacing w:after="0"/>
        <w:tabs>
          <w:tab w:leader="none" w:pos="1920" w:val="left"/>
        </w:tabs>
        <w:rPr>
          <w:sz w:val="20"/>
          <w:szCs w:val="20"/>
          <w:color w:val="auto"/>
        </w:rPr>
      </w:pPr>
      <w:r>
        <w:rPr>
          <w:rFonts w:ascii="Times New Roman" w:cs="Times New Roman" w:eastAsia="Times New Roman" w:hAnsi="Times New Roman"/>
          <w:sz w:val="22"/>
          <w:szCs w:val="22"/>
          <w:color w:val="auto"/>
        </w:rPr>
        <w:t>(h)</w:t>
      </w:r>
      <w:r>
        <w:rPr>
          <w:sz w:val="20"/>
          <w:szCs w:val="20"/>
          <w:color w:val="auto"/>
        </w:rPr>
        <w:tab/>
      </w:r>
      <w:r>
        <w:rPr>
          <w:rFonts w:ascii="Times New Roman" w:cs="Times New Roman" w:eastAsia="Times New Roman" w:hAnsi="Times New Roman"/>
          <w:sz w:val="21"/>
          <w:szCs w:val="21"/>
          <w:color w:val="auto"/>
        </w:rPr>
        <w:t>all proceeds and products of the property described in clauses (a) through (g) of this definition, in whatever</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form.</w:t>
      </w:r>
    </w:p>
    <w:p>
      <w:pPr>
        <w:spacing w:after="0" w:line="18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Notwithstanding the forgoing, Collateral shall not include any Excluded Property.</w:t>
      </w:r>
    </w:p>
    <w:p>
      <w:pPr>
        <w:spacing w:after="0" w:line="233" w:lineRule="exact"/>
        <w:rPr>
          <w:sz w:val="20"/>
          <w:szCs w:val="20"/>
          <w:color w:val="auto"/>
        </w:rPr>
      </w:pPr>
    </w:p>
    <w:p>
      <w:pPr>
        <w:jc w:val="both"/>
        <w:ind w:firstLine="749"/>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Collection Account</w:t>
      </w:r>
      <w:r>
        <w:rPr>
          <w:rFonts w:ascii="Times New Roman" w:cs="Times New Roman" w:eastAsia="Times New Roman" w:hAnsi="Times New Roman"/>
          <w:sz w:val="22"/>
          <w:szCs w:val="22"/>
          <w:color w:val="auto"/>
        </w:rPr>
        <w:t>" shall mean a deposit account of a Credit Party maintained at the Primary Depository Institution which is used exclusively for deposits of collections and proceeds of Collateral and not as a disbursement or operating account upon which checks or other drafts may be drawn.</w:t>
      </w:r>
    </w:p>
    <w:p>
      <w:pPr>
        <w:spacing w:after="0" w:line="156" w:lineRule="exact"/>
        <w:rPr>
          <w:sz w:val="20"/>
          <w:szCs w:val="20"/>
          <w:color w:val="auto"/>
        </w:rPr>
      </w:pPr>
    </w:p>
    <w:p>
      <w:pPr>
        <w:jc w:val="both"/>
        <w:ind w:firstLine="749"/>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Commitment Transfer Supplement</w:t>
      </w:r>
      <w:r>
        <w:rPr>
          <w:rFonts w:ascii="Times New Roman" w:cs="Times New Roman" w:eastAsia="Times New Roman" w:hAnsi="Times New Roman"/>
          <w:sz w:val="22"/>
          <w:szCs w:val="22"/>
          <w:color w:val="auto"/>
        </w:rPr>
        <w:t>" shall mean a document in the form of Exhibit 16.3 hereto, properly completed and otherwise in form and substance satisfactory to Agent by which the Purchasing Lender purchases and assumes a portion of the obligation of a Lender to make Advances under this Agreement.</w:t>
      </w:r>
    </w:p>
    <w:p>
      <w:pPr>
        <w:spacing w:after="0" w:line="156" w:lineRule="exact"/>
        <w:rPr>
          <w:sz w:val="20"/>
          <w:szCs w:val="20"/>
          <w:color w:val="auto"/>
        </w:rPr>
      </w:pPr>
    </w:p>
    <w:p>
      <w:pPr>
        <w:jc w:val="both"/>
        <w:ind w:right="20" w:firstLine="749"/>
        <w:spacing w:after="0" w:line="29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Compliance Certificate</w:t>
      </w:r>
      <w:r>
        <w:rPr>
          <w:rFonts w:ascii="Times New Roman" w:cs="Times New Roman" w:eastAsia="Times New Roman" w:hAnsi="Times New Roman"/>
          <w:sz w:val="22"/>
          <w:szCs w:val="22"/>
          <w:color w:val="auto"/>
        </w:rPr>
        <w:t>" shall mean a compliance certificate substantially in the form of Exhibit 1.2(a) hereto to be signed by a Responsible Officer of Borrowing Agent.</w:t>
      </w:r>
    </w:p>
    <w:p>
      <w:pPr>
        <w:spacing w:after="0" w:line="13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Computation Date</w:t>
      </w:r>
      <w:r>
        <w:rPr>
          <w:rFonts w:ascii="Times New Roman" w:cs="Times New Roman" w:eastAsia="Times New Roman" w:hAnsi="Times New Roman"/>
          <w:sz w:val="22"/>
          <w:szCs w:val="22"/>
          <w:color w:val="auto"/>
        </w:rPr>
        <w:t>" shall have the meaning set forth in Section 2.25 hereof.</w:t>
      </w:r>
    </w:p>
    <w:p>
      <w:pPr>
        <w:spacing w:after="0" w:line="233" w:lineRule="exact"/>
        <w:rPr>
          <w:sz w:val="20"/>
          <w:szCs w:val="20"/>
          <w:color w:val="auto"/>
        </w:rPr>
      </w:pPr>
    </w:p>
    <w:p>
      <w:pPr>
        <w:jc w:val="both"/>
        <w:ind w:firstLine="749"/>
        <w:spacing w:after="0" w:line="26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Conforming Changes</w:t>
      </w:r>
      <w:r>
        <w:rPr>
          <w:rFonts w:ascii="Times New Roman" w:cs="Times New Roman" w:eastAsia="Times New Roman" w:hAnsi="Times New Roman"/>
          <w:sz w:val="22"/>
          <w:szCs w:val="22"/>
          <w:color w:val="auto"/>
        </w:rPr>
        <w:t>" shall mean, with respect to the Term SOFR Rate or any Benchmark Replacement, any technical, administrative or operational changes (including changes to the definition of "Alternate Base Rate," the definition of "Business Day," the definition of "Interest Period," timing and frequency of determining rates and making payments of interest, timing of borrowing requests or prepayment, conversion or continuation notices, the applicability and length of lookback periods, the applicability of breakage provisions, and other technical, administrative or operational matters) that the Agent decides may be appropriate to reflect the adoption and implementation of the Term SOFR Rate or such Benchmark Replacement and to permit the administration thereof by the Agent in a manner substantially consistent with market practice (or, if the Agent decides that adoption of any portion of such market practice is not administratively feasible or if the Agent determines that no market practice for the administration of the Term SOFR Rate or the Benchmark Replacement exists, in such other manner of administration as the Agent decides is reasonably necessary in connection with the administration of this Agreement and the Other Documents).</w:t>
      </w:r>
    </w:p>
    <w:p>
      <w:pPr>
        <w:spacing w:after="0" w:line="171" w:lineRule="exact"/>
        <w:rPr>
          <w:sz w:val="20"/>
          <w:szCs w:val="20"/>
          <w:color w:val="auto"/>
        </w:rPr>
      </w:pPr>
    </w:p>
    <w:p>
      <w:pPr>
        <w:jc w:val="both"/>
        <w:ind w:firstLine="749"/>
        <w:spacing w:after="0" w:line="29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Connection Income Taxes</w:t>
      </w:r>
      <w:r>
        <w:rPr>
          <w:rFonts w:ascii="Times New Roman" w:cs="Times New Roman" w:eastAsia="Times New Roman" w:hAnsi="Times New Roman"/>
          <w:sz w:val="22"/>
          <w:szCs w:val="22"/>
          <w:color w:val="auto"/>
        </w:rPr>
        <w:t>" shall mean Other Connection Taxes that are imposed on or measured by net income (however denominated) or that are franchise Taxes or branch profits Taxes.</w:t>
      </w:r>
    </w:p>
    <w:p>
      <w:pPr>
        <w:spacing w:after="0" w:line="134" w:lineRule="exact"/>
        <w:rPr>
          <w:sz w:val="20"/>
          <w:szCs w:val="20"/>
          <w:color w:val="auto"/>
        </w:rPr>
      </w:pPr>
    </w:p>
    <w:p>
      <w:pPr>
        <w:jc w:val="both"/>
        <w:ind w:firstLine="749"/>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Consents</w:t>
      </w:r>
      <w:r>
        <w:rPr>
          <w:rFonts w:ascii="Times New Roman" w:cs="Times New Roman" w:eastAsia="Times New Roman" w:hAnsi="Times New Roman"/>
          <w:sz w:val="22"/>
          <w:szCs w:val="22"/>
          <w:color w:val="auto"/>
        </w:rPr>
        <w:t>" shall mean all licenses, permits, consents, approvals, authorizations, qualifications and orders of Governmental Bodies and other third parties, domestic or foreign, necessary to carry on any Credit Party's business or necessary (including to avoid a conflict or breach under any agreement, instrument, other document, license, permit or other</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22"/>
          <w:szCs w:val="22"/>
          <w:color w:val="auto"/>
        </w:rPr>
        <w:t>authorization) for the execution, delivery or performance of this Agreement and the Other Documents.</w:t>
      </w:r>
    </w:p>
    <w:p>
      <w:pPr>
        <w:spacing w:after="0" w:line="233" w:lineRule="exact"/>
        <w:rPr>
          <w:sz w:val="20"/>
          <w:szCs w:val="20"/>
          <w:color w:val="auto"/>
        </w:rPr>
      </w:pPr>
    </w:p>
    <w:p>
      <w:pPr>
        <w:jc w:val="both"/>
        <w:ind w:firstLine="749"/>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Consolidated Liquidity</w:t>
      </w:r>
      <w:r>
        <w:rPr>
          <w:rFonts w:ascii="Times New Roman" w:cs="Times New Roman" w:eastAsia="Times New Roman" w:hAnsi="Times New Roman"/>
          <w:sz w:val="22"/>
          <w:szCs w:val="22"/>
          <w:color w:val="auto"/>
        </w:rPr>
        <w:t xml:space="preserve">" means, for any period, an amount determined for GLDD and its Subsidiaries on a consolidated basis equal to the sum of (a) unrestricted cash and Cash Equivalents of GLDD and its Subsidiaries,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(b) Undrawn Availability.</w:t>
      </w:r>
    </w:p>
    <w:p>
      <w:pPr>
        <w:spacing w:after="0" w:line="156" w:lineRule="exact"/>
        <w:rPr>
          <w:sz w:val="20"/>
          <w:szCs w:val="20"/>
          <w:color w:val="auto"/>
        </w:rPr>
      </w:pPr>
    </w:p>
    <w:p>
      <w:pPr>
        <w:jc w:val="both"/>
        <w:ind w:firstLine="749"/>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Continuing Directors</w:t>
      </w:r>
      <w:r>
        <w:rPr>
          <w:rFonts w:ascii="Times New Roman" w:cs="Times New Roman" w:eastAsia="Times New Roman" w:hAnsi="Times New Roman"/>
          <w:sz w:val="22"/>
          <w:szCs w:val="22"/>
          <w:color w:val="auto"/>
        </w:rPr>
        <w:t>" shall mean the directors of GLDD on the Closing Date and each other director of GLDD, if, in each case, such other director's nomination for election to the board of directors (or equivalent governing body) of GLDD is recommended by at least 51% of the then Continuing Directors.</w:t>
      </w:r>
    </w:p>
    <w:p>
      <w:pPr>
        <w:spacing w:after="0" w:line="15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Contract Rate</w:t>
      </w:r>
      <w:r>
        <w:rPr>
          <w:rFonts w:ascii="Times New Roman" w:cs="Times New Roman" w:eastAsia="Times New Roman" w:hAnsi="Times New Roman"/>
          <w:sz w:val="22"/>
          <w:szCs w:val="22"/>
          <w:color w:val="auto"/>
        </w:rPr>
        <w:t>" shall have the meaning set forth in Section 3.1 hereof.</w:t>
      </w:r>
    </w:p>
    <w:p>
      <w:pPr>
        <w:spacing w:after="0" w:line="23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Controlled Account Bank</w:t>
      </w:r>
      <w:r>
        <w:rPr>
          <w:rFonts w:ascii="Times New Roman" w:cs="Times New Roman" w:eastAsia="Times New Roman" w:hAnsi="Times New Roman"/>
          <w:sz w:val="22"/>
          <w:szCs w:val="22"/>
          <w:color w:val="auto"/>
        </w:rPr>
        <w:t>" shall have the meaning set forth in Section 4.8(h) hereof.</w:t>
      </w:r>
    </w:p>
    <w:p>
      <w:pPr>
        <w:spacing w:after="0" w:line="23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Controlled Accounts</w:t>
      </w:r>
      <w:r>
        <w:rPr>
          <w:rFonts w:ascii="Times New Roman" w:cs="Times New Roman" w:eastAsia="Times New Roman" w:hAnsi="Times New Roman"/>
          <w:sz w:val="22"/>
          <w:szCs w:val="22"/>
          <w:color w:val="auto"/>
        </w:rPr>
        <w:t>" shall have the meaning set forth in Section 4.8(h) hereof.</w:t>
      </w:r>
    </w:p>
    <w:p>
      <w:pPr>
        <w:spacing w:after="0" w:line="233" w:lineRule="exact"/>
        <w:rPr>
          <w:sz w:val="20"/>
          <w:szCs w:val="20"/>
          <w:color w:val="auto"/>
        </w:rPr>
      </w:pPr>
    </w:p>
    <w:p>
      <w:pPr>
        <w:jc w:val="both"/>
        <w:ind w:firstLine="749"/>
        <w:spacing w:after="0" w:line="26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Covenant Testing Period</w:t>
      </w:r>
      <w:r>
        <w:rPr>
          <w:rFonts w:ascii="Times New Roman" w:cs="Times New Roman" w:eastAsia="Times New Roman" w:hAnsi="Times New Roman"/>
          <w:sz w:val="22"/>
          <w:szCs w:val="22"/>
          <w:color w:val="auto"/>
        </w:rPr>
        <w:t>" shall mean a period (a) commencing on the last day of the fiscal month of GLDD most recently ended prior to a Covenant Trigger Date for which Borrowers have delivered to Agent financial statements pursuant to Section 9.9, and (b) continuing through and including the first (1st) day after such Covenant Trigger Date that Undrawn Availability has equaled or exceeded twelve and one-half percent (12.5%) of the Maximum Loan Amount for thirty (30) consecutive days.</w:t>
      </w:r>
    </w:p>
    <w:p>
      <w:pPr>
        <w:spacing w:after="0" w:line="169" w:lineRule="exact"/>
        <w:rPr>
          <w:sz w:val="20"/>
          <w:szCs w:val="20"/>
          <w:color w:val="auto"/>
        </w:rPr>
      </w:pPr>
    </w:p>
    <w:p>
      <w:pPr>
        <w:jc w:val="both"/>
        <w:ind w:firstLine="749"/>
        <w:spacing w:after="0" w:line="29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Covenant Trigger Date</w:t>
      </w:r>
      <w:r>
        <w:rPr>
          <w:rFonts w:ascii="Times New Roman" w:cs="Times New Roman" w:eastAsia="Times New Roman" w:hAnsi="Times New Roman"/>
          <w:sz w:val="22"/>
          <w:szCs w:val="22"/>
          <w:color w:val="auto"/>
        </w:rPr>
        <w:t>" shall mean any date Undrawn Availability is less than twelve and one-half percent (12.5%) of the Maximum Loan Amount for five (5) consecutive days.</w:t>
      </w:r>
    </w:p>
    <w:p>
      <w:pPr>
        <w:spacing w:after="0" w:line="134"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Covered Entity</w:t>
      </w:r>
      <w:r>
        <w:rPr>
          <w:rFonts w:ascii="Times New Roman" w:cs="Times New Roman" w:eastAsia="Times New Roman" w:hAnsi="Times New Roman"/>
          <w:sz w:val="22"/>
          <w:szCs w:val="22"/>
          <w:color w:val="auto"/>
        </w:rPr>
        <w:t>" shall mean (a) each Credit Party, each of Credit Party's Subsidiaries and all pledgors of Collateral and (b) each Person that, directly or indirectly, is in control of a Person described in clause (a) above. For purposes of this definition, (A) control of a Person (other than GLDD) shall mean the direct or indirect (x) ownership of, or power to vote, twenty-five percent (25%) or more of the issued and outstanding equity interests having ordinary voting power for the election of directors of such Person or other Persons performing similar functions for such Person, or (y) power to direct or cause the direction of the management and policies of such Person whether by ownership of equity interests, contract or otherwise and (B) control of GLDD shall mean the direct or indirect power to direct or cause the direction of the management and policies of such Person whether by ownership of equity interests, contract or otherwise.</w:t>
      </w:r>
    </w:p>
    <w:p>
      <w:pPr>
        <w:spacing w:after="0" w:line="17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Covered Party</w:t>
      </w:r>
      <w:r>
        <w:rPr>
          <w:rFonts w:ascii="Times New Roman" w:cs="Times New Roman" w:eastAsia="Times New Roman" w:hAnsi="Times New Roman"/>
          <w:sz w:val="22"/>
          <w:szCs w:val="22"/>
          <w:color w:val="auto"/>
        </w:rPr>
        <w:t>" shall have the meaning set forth in Section 16.22 hereof.</w:t>
      </w:r>
    </w:p>
    <w:p>
      <w:pPr>
        <w:spacing w:after="0" w:line="233" w:lineRule="exact"/>
        <w:rPr>
          <w:sz w:val="20"/>
          <w:szCs w:val="20"/>
          <w:color w:val="auto"/>
        </w:rPr>
      </w:pPr>
    </w:p>
    <w:p>
      <w:pPr>
        <w:jc w:val="both"/>
        <w:ind w:firstLine="749"/>
        <w:spacing w:after="0" w:line="29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Credit Party</w:t>
      </w:r>
      <w:r>
        <w:rPr>
          <w:rFonts w:ascii="Times New Roman" w:cs="Times New Roman" w:eastAsia="Times New Roman" w:hAnsi="Times New Roman"/>
          <w:sz w:val="22"/>
          <w:szCs w:val="22"/>
          <w:color w:val="auto"/>
        </w:rPr>
        <w:t>" shall mean each Borrower and each Guarantor; and "</w:t>
      </w:r>
      <w:r>
        <w:rPr>
          <w:rFonts w:ascii="Times New Roman" w:cs="Times New Roman" w:eastAsia="Times New Roman" w:hAnsi="Times New Roman"/>
          <w:sz w:val="22"/>
          <w:szCs w:val="22"/>
          <w:u w:val="single" w:color="auto"/>
          <w:color w:val="auto"/>
        </w:rPr>
        <w:t>Credit Parties</w:t>
      </w:r>
      <w:r>
        <w:rPr>
          <w:rFonts w:ascii="Times New Roman" w:cs="Times New Roman" w:eastAsia="Times New Roman" w:hAnsi="Times New Roman"/>
          <w:sz w:val="22"/>
          <w:szCs w:val="22"/>
          <w:color w:val="auto"/>
        </w:rPr>
        <w:t>" shall mean all such Persons, collectively.</w:t>
      </w:r>
    </w:p>
    <w:p>
      <w:pPr>
        <w:spacing w:after="0" w:line="13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Currency Losses</w:t>
      </w:r>
      <w:r>
        <w:rPr>
          <w:rFonts w:ascii="Times New Roman" w:cs="Times New Roman" w:eastAsia="Times New Roman" w:hAnsi="Times New Roman"/>
          <w:sz w:val="22"/>
          <w:szCs w:val="22"/>
          <w:color w:val="auto"/>
        </w:rPr>
        <w:t>" shall have the meaning set forth in Section 2.14(f) hereof.</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64" w:name="page65"/>
    <w:bookmarkEnd w:id="64"/>
    <w:p>
      <w:pPr>
        <w:jc w:val="both"/>
        <w:ind w:firstLine="749"/>
        <w:spacing w:after="0" w:line="26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Currency Reserve</w:t>
      </w:r>
      <w:r>
        <w:rPr>
          <w:rFonts w:ascii="Times New Roman" w:cs="Times New Roman" w:eastAsia="Times New Roman" w:hAnsi="Times New Roman"/>
          <w:sz w:val="22"/>
          <w:szCs w:val="22"/>
          <w:color w:val="auto"/>
        </w:rPr>
        <w:t>" shall mean, with respect to any Letter of Credit denominated in an Optional Currency, an amount equal to the Dollar Equivalent of such amount as Agent determines in its Permitted Discretion for potential currency fluctuations; provided, that Agent shall in its determination of the amount of such reserve take into account whether such Optional Currency is pegged to the Dollar.</w:t>
      </w:r>
    </w:p>
    <w:p>
      <w:pPr>
        <w:spacing w:after="0" w:line="162"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Custome</w:t>
      </w:r>
      <w:r>
        <w:rPr>
          <w:rFonts w:ascii="Times New Roman" w:cs="Times New Roman" w:eastAsia="Times New Roman" w:hAnsi="Times New Roman"/>
          <w:sz w:val="22"/>
          <w:szCs w:val="22"/>
          <w:color w:val="auto"/>
        </w:rPr>
        <w:t>r" shall mean the account debtor with respect to any Receivable and/or the prospective purchaser of goods, services or both with respect to any contract or contract right, and/or any party who enters into or proposes to enter into any contract or other arrangement with any Credit Party, pursuant to which such Credit Party is to deliver any personal property or perform any services.</w:t>
      </w:r>
    </w:p>
    <w:p>
      <w:pPr>
        <w:spacing w:after="0" w:line="162"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Daily Simple SOFR</w:t>
      </w:r>
      <w:r>
        <w:rPr>
          <w:rFonts w:ascii="Times New Roman" w:cs="Times New Roman" w:eastAsia="Times New Roman" w:hAnsi="Times New Roman"/>
          <w:sz w:val="22"/>
          <w:szCs w:val="22"/>
          <w:color w:val="auto"/>
        </w:rPr>
        <w:t>" shall mean, for any day (a "</w:t>
      </w:r>
      <w:r>
        <w:rPr>
          <w:rFonts w:ascii="Times New Roman" w:cs="Times New Roman" w:eastAsia="Times New Roman" w:hAnsi="Times New Roman"/>
          <w:sz w:val="22"/>
          <w:szCs w:val="22"/>
          <w:u w:val="single" w:color="auto"/>
          <w:color w:val="auto"/>
        </w:rPr>
        <w:t>SOFR Rate Day</w:t>
      </w:r>
      <w:r>
        <w:rPr>
          <w:rFonts w:ascii="Times New Roman" w:cs="Times New Roman" w:eastAsia="Times New Roman" w:hAnsi="Times New Roman"/>
          <w:sz w:val="22"/>
          <w:szCs w:val="22"/>
          <w:color w:val="auto"/>
        </w:rPr>
        <w:t>"), the interest rate per annum determined by the Agent by dividing (the resulting quotient rounded upwards, at the Agent's discretion, to the nearest 1/100th of 1%) (A) SOFR for the day (the "</w:t>
      </w:r>
      <w:r>
        <w:rPr>
          <w:rFonts w:ascii="Times New Roman" w:cs="Times New Roman" w:eastAsia="Times New Roman" w:hAnsi="Times New Roman"/>
          <w:sz w:val="22"/>
          <w:szCs w:val="22"/>
          <w:u w:val="single" w:color="auto"/>
          <w:color w:val="auto"/>
        </w:rPr>
        <w:t>SOFR Determination Date</w:t>
      </w:r>
      <w:r>
        <w:rPr>
          <w:rFonts w:ascii="Times New Roman" w:cs="Times New Roman" w:eastAsia="Times New Roman" w:hAnsi="Times New Roman"/>
          <w:sz w:val="22"/>
          <w:szCs w:val="22"/>
          <w:color w:val="auto"/>
        </w:rPr>
        <w:t xml:space="preserve">") that is two (2) Business Days prior to (i) such SOFR Rate Day if such SOFR Rate Day is a Business Day or (ii) the Business Day immediately preceding such SOFR Rate Day if such SOFR Rate Day is not a Business Day, by (B) a number equal to 1.00 minus the SOFR Reserve Percentage, in each case, as such SOFR is published by the Federal Reserve Bank of New York (or a successor administrator of the secured overnight financing rate) on the website of the Federal Reserve Bank of New York, currently at </w:t>
      </w:r>
      <w:r>
        <w:rPr>
          <w:rFonts w:ascii="Times New Roman" w:cs="Times New Roman" w:eastAsia="Times New Roman" w:hAnsi="Times New Roman"/>
          <w:sz w:val="21"/>
          <w:szCs w:val="21"/>
          <w:color w:val="auto"/>
        </w:rPr>
        <w:t>http://www.newyorkfed.org</w:t>
      </w:r>
      <w:r>
        <w:rPr>
          <w:rFonts w:ascii="Times New Roman" w:cs="Times New Roman" w:eastAsia="Times New Roman" w:hAnsi="Times New Roman"/>
          <w:sz w:val="22"/>
          <w:szCs w:val="22"/>
          <w:color w:val="auto"/>
        </w:rPr>
        <w:t>, or any successor source identified by the Federal Reserve Bank of New York or its successor administrator for the secured overnight financing rate from time to time. If Daily Simple SOFR as determined above would be less than the SOFR Floor, then Daily Simple SOFR shall be deemed to be the SOFR Floor. If SOFR for any SOFR Determination Date has not been published or replaced with a Benchmark Replacement by 5:00 p.m. (Pittsburgh, Pennsylvania time) on the second Business Day immediately following such SOFR Determination Date, then SOFR for such SOFR Determination Date will be SOFR for the first Business Day preceding such SOFR Determination Date for which SOFR was published in accordance with the definition of "SOFR"; provided that SOFR determined pursuant to this sentence shall be used for purposes of calculating Daily Simple SOFR for no more than 3 consecutive SOFR Rate Days. If and when Daily Simple SOFR as determined above changes, any applicable rate of interest based on Daily Simple SOFR will change automatically without notice to the Borrowers, effective on the date of any such change.</w:t>
      </w:r>
    </w:p>
    <w:p>
      <w:pPr>
        <w:spacing w:after="0" w:line="183"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Debt Payments</w:t>
      </w:r>
      <w:r>
        <w:rPr>
          <w:rFonts w:ascii="Times New Roman" w:cs="Times New Roman" w:eastAsia="Times New Roman" w:hAnsi="Times New Roman"/>
          <w:sz w:val="22"/>
          <w:szCs w:val="22"/>
          <w:color w:val="auto"/>
        </w:rPr>
        <w:t xml:space="preserve">" shall mean for any period, with respect to GLDD on a Consolidated Basis, all cash actually expended to make: (a) interest payments on any Advances or other Indebtedness,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(b) scheduled principal payments on Indebtedness,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(c) payments for all fees, commissions and charges set forth herein or with respect to Indebtedness,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(d) scheduled payments on Capitalized Lease Obligations.</w:t>
      </w:r>
    </w:p>
    <w:p>
      <w:pPr>
        <w:spacing w:after="0" w:line="162" w:lineRule="exact"/>
        <w:rPr>
          <w:sz w:val="20"/>
          <w:szCs w:val="20"/>
          <w:color w:val="auto"/>
        </w:rPr>
      </w:pPr>
    </w:p>
    <w:p>
      <w:pPr>
        <w:jc w:val="both"/>
        <w:ind w:firstLine="749"/>
        <w:spacing w:after="0" w:line="295" w:lineRule="auto"/>
        <w:rPr>
          <w:sz w:val="20"/>
          <w:szCs w:val="20"/>
          <w:color w:val="auto"/>
        </w:rPr>
      </w:pPr>
      <w:r>
        <w:rPr>
          <w:rFonts w:ascii="Times New Roman" w:cs="Times New Roman" w:eastAsia="Times New Roman" w:hAnsi="Times New Roman"/>
          <w:sz w:val="22"/>
          <w:szCs w:val="22"/>
          <w:color w:val="auto"/>
        </w:rPr>
        <w:t>For purposes of this Agreement, Debt Payments shall be adjusted on a Pro Forma Basis for any period in which a Specified Transaction is consummated.</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65" w:name="page66"/>
    <w:bookmarkEnd w:id="65"/>
    <w:p>
      <w:pPr>
        <w:jc w:val="both"/>
        <w:ind w:right="20" w:firstLine="749"/>
        <w:spacing w:after="0" w:line="29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Default</w:t>
      </w:r>
      <w:r>
        <w:rPr>
          <w:rFonts w:ascii="Times New Roman" w:cs="Times New Roman" w:eastAsia="Times New Roman" w:hAnsi="Times New Roman"/>
          <w:sz w:val="22"/>
          <w:szCs w:val="22"/>
          <w:color w:val="auto"/>
        </w:rPr>
        <w:t>" shall mean an event, circumstance or condition which, with the giving of notice or passage of time or both, would constitute an Event of Default.</w:t>
      </w:r>
    </w:p>
    <w:p>
      <w:pPr>
        <w:spacing w:after="0" w:line="13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Default Rate</w:t>
      </w:r>
      <w:r>
        <w:rPr>
          <w:rFonts w:ascii="Times New Roman" w:cs="Times New Roman" w:eastAsia="Times New Roman" w:hAnsi="Times New Roman"/>
          <w:sz w:val="22"/>
          <w:szCs w:val="22"/>
          <w:color w:val="auto"/>
        </w:rPr>
        <w:t>" shall have the meaning set forth in Section 3.1 hereof.</w:t>
      </w:r>
    </w:p>
    <w:p>
      <w:pPr>
        <w:spacing w:after="0" w:line="23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Default Right</w:t>
      </w:r>
      <w:r>
        <w:rPr>
          <w:rFonts w:ascii="Times New Roman" w:cs="Times New Roman" w:eastAsia="Times New Roman" w:hAnsi="Times New Roman"/>
          <w:sz w:val="22"/>
          <w:szCs w:val="22"/>
          <w:color w:val="auto"/>
        </w:rPr>
        <w:t>" shall have the meaning set forth in Section 16.22 hereof.</w:t>
      </w:r>
    </w:p>
    <w:p>
      <w:pPr>
        <w:spacing w:after="0" w:line="233" w:lineRule="exact"/>
        <w:rPr>
          <w:sz w:val="20"/>
          <w:szCs w:val="20"/>
          <w:color w:val="auto"/>
        </w:rPr>
      </w:pPr>
    </w:p>
    <w:p>
      <w:pPr>
        <w:jc w:val="both"/>
        <w:ind w:firstLine="749"/>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Defaulting Lender</w:t>
      </w:r>
      <w:r>
        <w:rPr>
          <w:rFonts w:ascii="Times New Roman" w:cs="Times New Roman" w:eastAsia="Times New Roman" w:hAnsi="Times New Roman"/>
          <w:sz w:val="22"/>
          <w:szCs w:val="22"/>
          <w:color w:val="auto"/>
        </w:rPr>
        <w:t>" shall mean any Lender that: (a) has failed, within two (2) Business Days of the date required, to (i) fund any portion of its Revolving Commitment Percentage of Advances, (ii) if applicable, fund any portion of its Participation Commitment in Letters of Credit or Swing Loans or (iii) pay over to Agent, Issuer, Swing Loan Lender or any Lender any other amount required to be paid by it hereunder, unless, in the case of clause (i) above, such Lender notifies Agent in writing that such failure is the result of such Lender's good faith determination that a condition precedent to funding (specifically identified and including a particular Default or Event of Default, if any) has not been satisfied; (b) has notified Borrowers or Agent in writing, or has made a public statement to the effect, that it does not intend or expect to comply with any of its funding obligations under this Agreement (unless such writing or public statement indicates that such position is based on such Lender's good faith determination that a condition precedent (specifically identified and including a particular Default or Event of Default, if any) to funding a loan under this Agreement cannot be satisfied) or generally under other agreements in which it commits to extend credit; (c) has failed, within two (2) Business Days after request by Agent or the Borrowers, acting in good faith, to provide a certification in writing from an authorized officer of such Lender that it will comply with its obligations (and is financially able to meet such obligations) to fund prospective Advances and, if applicable, participations in then outstanding Letters of Credit and Swing Loans under this Agreement, provided that such Lender shall cease to be a Defaulting Lender pursuant to this clause (c) upon Agent's and the Borrowers' receipt of such certification in form and substance satisfactory to Agent and the Borrowers; (d) has become, or has a direct or indirect parent company that has become, the subject of an Insolvency Event; (e) has failed at any time to comply with the provisions of Section 2.6(e) with respect to purchasing participations from the other Lenders, whereby such Lender's share of any payment received, whether by setoff or otherwise, is in excess of its pro rata share of such payments due and payable to all of the Lenders; or (f) has become the subject of a Bail-In Action. Any determination by Agent that a Lender is a Defaulting Lender under any one or more of clauses (a) through (f) above shall be conclusive and binding absent manifest error, and such Lender shall be deemed to be a Defaulting Lender (subject to Section 2.22(e)) upon delivery of written notice of such determination to the Borrowers and each Lender.</w:t>
      </w:r>
    </w:p>
    <w:p>
      <w:pPr>
        <w:spacing w:after="0" w:line="19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Designated Lender</w:t>
      </w:r>
      <w:r>
        <w:rPr>
          <w:rFonts w:ascii="Times New Roman" w:cs="Times New Roman" w:eastAsia="Times New Roman" w:hAnsi="Times New Roman"/>
          <w:sz w:val="22"/>
          <w:szCs w:val="22"/>
          <w:color w:val="auto"/>
        </w:rPr>
        <w:t>" shall have the meaning set forth in Section 16.2(d) hereof.</w:t>
      </w:r>
    </w:p>
    <w:p>
      <w:pPr>
        <w:spacing w:after="0" w:line="233"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Disqualified Equity Interests</w:t>
      </w:r>
      <w:r>
        <w:rPr>
          <w:rFonts w:ascii="Times New Roman" w:cs="Times New Roman" w:eastAsia="Times New Roman" w:hAnsi="Times New Roman"/>
          <w:sz w:val="22"/>
          <w:szCs w:val="22"/>
          <w:color w:val="auto"/>
        </w:rPr>
        <w:t>" shall mean any Equity Interest that, by its terms (or by the terms of any security or other Equity Interest into which it is convertible or for which it is exchangeable) or upon the happening of any event or condition, (a) matures or is mandatorily redeemable (other than solely for Equity Interests that are not Disqualified Equity Interests), pursuant to a sinking fund obligation or otherwise (except as a result of a change of control or</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66" w:name="page67"/>
    <w:bookmarkEnd w:id="66"/>
    <w:p>
      <w:pPr>
        <w:jc w:val="both"/>
        <w:spacing w:after="0" w:line="260" w:lineRule="auto"/>
        <w:rPr>
          <w:sz w:val="20"/>
          <w:szCs w:val="20"/>
          <w:color w:val="auto"/>
        </w:rPr>
      </w:pPr>
      <w:r>
        <w:rPr>
          <w:rFonts w:ascii="Times New Roman" w:cs="Times New Roman" w:eastAsia="Times New Roman" w:hAnsi="Times New Roman"/>
          <w:sz w:val="22"/>
          <w:szCs w:val="22"/>
          <w:color w:val="auto"/>
        </w:rPr>
        <w:t xml:space="preserve">asset sale so long as any rights of the holders thereof upon the occurrence of a change of control or asset sale event shall be subject to the prior repayment in full of the Obligations that are accrued and payable), (b) is redeemable at the option of the holder thereof (other than solely for Equity Interests that are not Disqualified Equity Interests) (except as a result of a change of control or asset sale so long as any rights of the holders thereof upon the occurrence of a change of control or asset sale event shall be subject to the prior repayment in full of the Obligations that are accrued and payable), in whole or in part, (c) provides for the scheduled payment of dividends in cash or (d) is or becomes convertible into or exchangeable for Indebtedness or any other Equity Interest that would constitute Disqualified Equity Interests, in each case for clauses (a) through (d) above, prior to the date that is ninety-one (91) days after the Maturity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if such Equity Interest is issued pursuant to a plan for the benefit of GLDD or its Subsidiaries or by any such plan to such employees, such Equity Interests shall not constitute Disqualified Equity Interest solely because it may be required to be repurchased by GLDD or its Subsidiaries in order to satisfy applicable statutory or regulatory obligations.</w:t>
      </w:r>
    </w:p>
    <w:p>
      <w:pPr>
        <w:spacing w:after="0" w:line="17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Document</w:t>
      </w:r>
      <w:r>
        <w:rPr>
          <w:rFonts w:ascii="Times New Roman" w:cs="Times New Roman" w:eastAsia="Times New Roman" w:hAnsi="Times New Roman"/>
          <w:sz w:val="22"/>
          <w:szCs w:val="22"/>
          <w:color w:val="auto"/>
        </w:rPr>
        <w:t>" shall have the meaning given to the term "document" in the Uniform Commercial Code.</w:t>
      </w:r>
    </w:p>
    <w:p>
      <w:pPr>
        <w:spacing w:after="0" w:line="233" w:lineRule="exact"/>
        <w:rPr>
          <w:sz w:val="20"/>
          <w:szCs w:val="20"/>
          <w:color w:val="auto"/>
        </w:rPr>
      </w:pPr>
    </w:p>
    <w:p>
      <w:pPr>
        <w:jc w:val="both"/>
        <w:ind w:firstLine="749"/>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Documented Vessels</w:t>
      </w:r>
      <w:r>
        <w:rPr>
          <w:rFonts w:ascii="Times New Roman" w:cs="Times New Roman" w:eastAsia="Times New Roman" w:hAnsi="Times New Roman"/>
          <w:sz w:val="22"/>
          <w:szCs w:val="22"/>
          <w:color w:val="auto"/>
        </w:rPr>
        <w:t>" shall mean the Fleet Assets of a Credit Party subject to a certificate of documentation or certificate of registry, official name and official number, including, without limitation, the vessels listed on Schedule 1.3 and identified as Documented Vessels therein.</w:t>
      </w:r>
    </w:p>
    <w:p>
      <w:pPr>
        <w:spacing w:after="0" w:line="15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Dollar</w:t>
      </w:r>
      <w:r>
        <w:rPr>
          <w:rFonts w:ascii="Times New Roman" w:cs="Times New Roman" w:eastAsia="Times New Roman" w:hAnsi="Times New Roman"/>
          <w:sz w:val="22"/>
          <w:szCs w:val="22"/>
          <w:color w:val="auto"/>
        </w:rPr>
        <w:t>" and the sign "</w:t>
      </w:r>
      <w:r>
        <w:rPr>
          <w:rFonts w:ascii="Times New Roman" w:cs="Times New Roman" w:eastAsia="Times New Roman" w:hAnsi="Times New Roman"/>
          <w:sz w:val="22"/>
          <w:szCs w:val="22"/>
          <w:u w:val="single" w:color="auto"/>
          <w:color w:val="auto"/>
        </w:rPr>
        <w:t>$</w:t>
      </w:r>
      <w:r>
        <w:rPr>
          <w:rFonts w:ascii="Times New Roman" w:cs="Times New Roman" w:eastAsia="Times New Roman" w:hAnsi="Times New Roman"/>
          <w:sz w:val="22"/>
          <w:szCs w:val="22"/>
          <w:color w:val="auto"/>
        </w:rPr>
        <w:t>" shall mean lawful money of the United States of America.</w:t>
      </w:r>
    </w:p>
    <w:p>
      <w:pPr>
        <w:spacing w:after="0" w:line="233"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Dollar Equivalent</w:t>
      </w:r>
      <w:r>
        <w:rPr>
          <w:rFonts w:ascii="Times New Roman" w:cs="Times New Roman" w:eastAsia="Times New Roman" w:hAnsi="Times New Roman"/>
          <w:sz w:val="22"/>
          <w:szCs w:val="22"/>
          <w:color w:val="auto"/>
        </w:rPr>
        <w:t>" shall mean, as of any Computation Date, (a) with respect to any amount denominated in Dollars, such amount, and (b) with respect to any amount denominated in another currency, the equivalent amount thereof in Dollars as determined by Agent, at such time on the basis of the Spot Rate (determined in respect of the most recent Computation Date or such other date determined by Agent) for the purchase of Dollars with such currency.</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Domestic Rate Loan</w:t>
      </w:r>
      <w:r>
        <w:rPr>
          <w:rFonts w:ascii="Times New Roman" w:cs="Times New Roman" w:eastAsia="Times New Roman" w:hAnsi="Times New Roman"/>
          <w:sz w:val="22"/>
          <w:szCs w:val="22"/>
          <w:color w:val="auto"/>
        </w:rPr>
        <w:t>" shall mean any Advance that bears interest based upon the Alternate Base Rate.</w:t>
      </w:r>
    </w:p>
    <w:p>
      <w:pPr>
        <w:spacing w:after="0" w:line="233" w:lineRule="exact"/>
        <w:rPr>
          <w:sz w:val="20"/>
          <w:szCs w:val="20"/>
          <w:color w:val="auto"/>
        </w:rPr>
      </w:pPr>
    </w:p>
    <w:p>
      <w:pPr>
        <w:jc w:val="both"/>
        <w:ind w:firstLine="749"/>
        <w:spacing w:after="0" w:line="29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Domestic Subsidiary</w:t>
      </w:r>
      <w:r>
        <w:rPr>
          <w:rFonts w:ascii="Times New Roman" w:cs="Times New Roman" w:eastAsia="Times New Roman" w:hAnsi="Times New Roman"/>
          <w:sz w:val="22"/>
          <w:szCs w:val="22"/>
          <w:color w:val="auto"/>
        </w:rPr>
        <w:t>" shall mean any Subsidiary of any Person that is organized or incorporated in the United States, any State or territory thereof or the District of Columbia.</w:t>
      </w:r>
    </w:p>
    <w:p>
      <w:pPr>
        <w:spacing w:after="0" w:line="13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Drawing Date</w:t>
      </w:r>
      <w:r>
        <w:rPr>
          <w:rFonts w:ascii="Times New Roman" w:cs="Times New Roman" w:eastAsia="Times New Roman" w:hAnsi="Times New Roman"/>
          <w:sz w:val="22"/>
          <w:szCs w:val="22"/>
          <w:color w:val="auto"/>
        </w:rPr>
        <w:t>" shall have the meaning set forth in Section 2.14(b) hereof.</w:t>
      </w:r>
    </w:p>
    <w:p>
      <w:pPr>
        <w:spacing w:after="0" w:line="233" w:lineRule="exact"/>
        <w:rPr>
          <w:sz w:val="20"/>
          <w:szCs w:val="20"/>
          <w:color w:val="auto"/>
        </w:rPr>
      </w:pPr>
    </w:p>
    <w:p>
      <w:pPr>
        <w:jc w:val="both"/>
        <w:ind w:firstLine="749"/>
        <w:spacing w:after="0" w:line="29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Dual</w:t>
      </w:r>
      <w:r>
        <w:rPr>
          <w:rFonts w:ascii="Times New Roman" w:cs="Times New Roman" w:eastAsia="Times New Roman" w:hAnsi="Times New Roman"/>
          <w:sz w:val="22"/>
          <w:szCs w:val="22"/>
          <w:color w:val="auto"/>
        </w:rPr>
        <w:t>" shall mean AXIS INSURANCE COMPANY and AXIS REINSURANCE COMPANY or any of their affiliates, and their successors and assigns.</w:t>
      </w:r>
    </w:p>
    <w:p>
      <w:pPr>
        <w:spacing w:after="0" w:line="134" w:lineRule="exact"/>
        <w:rPr>
          <w:sz w:val="20"/>
          <w:szCs w:val="20"/>
          <w:color w:val="auto"/>
        </w:rPr>
      </w:pPr>
    </w:p>
    <w:p>
      <w:pPr>
        <w:jc w:val="both"/>
        <w:ind w:right="20" w:firstLine="749"/>
        <w:spacing w:after="0" w:line="29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Dual Agreement</w:t>
      </w:r>
      <w:r>
        <w:rPr>
          <w:rFonts w:ascii="Times New Roman" w:cs="Times New Roman" w:eastAsia="Times New Roman" w:hAnsi="Times New Roman"/>
          <w:sz w:val="22"/>
          <w:szCs w:val="22"/>
          <w:color w:val="auto"/>
        </w:rPr>
        <w:t>" shall mean that certain General Agreement of Indemnity dated as of April 23, 2024, by and among certain of the Borrowers, Dual and the other parties thereto from time to time.</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67" w:name="page68"/>
    <w:bookmarkEnd w:id="67"/>
    <w:p>
      <w:pPr>
        <w:ind w:firstLine="749"/>
        <w:spacing w:after="0" w:line="29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EBITDA</w:t>
      </w:r>
      <w:r>
        <w:rPr>
          <w:rFonts w:ascii="Times New Roman" w:cs="Times New Roman" w:eastAsia="Times New Roman" w:hAnsi="Times New Roman"/>
          <w:sz w:val="22"/>
          <w:szCs w:val="22"/>
          <w:color w:val="auto"/>
        </w:rPr>
        <w:t>" shall mean, for any period, with respect to GLDD on a Consolidated Basis, the sum of the following, without duplication, in accordance with GAAP:</w:t>
      </w:r>
    </w:p>
    <w:p>
      <w:pPr>
        <w:spacing w:after="0" w:line="131" w:lineRule="exact"/>
        <w:rPr>
          <w:sz w:val="20"/>
          <w:szCs w:val="20"/>
          <w:color w:val="auto"/>
        </w:rPr>
      </w:pPr>
    </w:p>
    <w:p>
      <w:pPr>
        <w:ind w:left="1940" w:hanging="435"/>
        <w:spacing w:after="0"/>
        <w:tabs>
          <w:tab w:leader="none" w:pos="1940"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Net Income for such period, </w:t>
      </w:r>
      <w:r>
        <w:rPr>
          <w:rFonts w:ascii="Times New Roman" w:cs="Times New Roman" w:eastAsia="Times New Roman" w:hAnsi="Times New Roman"/>
          <w:sz w:val="22"/>
          <w:szCs w:val="22"/>
          <w:u w:val="single" w:color="auto"/>
          <w:color w:val="auto"/>
        </w:rPr>
        <w:t>plus</w:t>
      </w:r>
    </w:p>
    <w:p>
      <w:pPr>
        <w:spacing w:after="0" w:line="206"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sum of the following, without duplication, to the extent deducted in determining Net Income for such</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period:</w:t>
      </w:r>
    </w:p>
    <w:p>
      <w:pPr>
        <w:spacing w:after="0" w:line="186" w:lineRule="exact"/>
        <w:rPr>
          <w:sz w:val="20"/>
          <w:szCs w:val="20"/>
          <w:color w:val="auto"/>
        </w:rPr>
      </w:pPr>
    </w:p>
    <w:p>
      <w:pPr>
        <w:ind w:left="1960" w:hanging="455"/>
        <w:spacing w:after="0"/>
        <w:tabs>
          <w:tab w:leader="none" w:pos="196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federal, state, local and foreign income and franchise taxes,</w:t>
      </w:r>
    </w:p>
    <w:p>
      <w:pPr>
        <w:spacing w:after="0" w:line="233" w:lineRule="exact"/>
        <w:rPr>
          <w:rFonts w:ascii="Times New Roman" w:cs="Times New Roman" w:eastAsia="Times New Roman" w:hAnsi="Times New Roman"/>
          <w:sz w:val="22"/>
          <w:szCs w:val="22"/>
          <w:color w:val="auto"/>
        </w:rPr>
      </w:pPr>
    </w:p>
    <w:p>
      <w:pPr>
        <w:ind w:left="1960" w:hanging="455"/>
        <w:spacing w:after="0"/>
        <w:tabs>
          <w:tab w:leader="none" w:pos="196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total interest expense (net of interest income) for such period,</w:t>
      </w:r>
    </w:p>
    <w:p>
      <w:pPr>
        <w:spacing w:after="0" w:line="233" w:lineRule="exact"/>
        <w:rPr>
          <w:rFonts w:ascii="Times New Roman" w:cs="Times New Roman" w:eastAsia="Times New Roman" w:hAnsi="Times New Roman"/>
          <w:sz w:val="22"/>
          <w:szCs w:val="22"/>
          <w:color w:val="auto"/>
        </w:rPr>
      </w:pPr>
    </w:p>
    <w:p>
      <w:pPr>
        <w:ind w:left="760" w:right="100" w:firstLine="745"/>
        <w:spacing w:after="0" w:line="295" w:lineRule="auto"/>
        <w:tabs>
          <w:tab w:leader="none" w:pos="1958"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depreciation, depletion and amortization expense (including amortization of intangible assets (including goodwill)),</w:t>
      </w:r>
    </w:p>
    <w:p>
      <w:pPr>
        <w:spacing w:after="0" w:line="134" w:lineRule="exact"/>
        <w:rPr>
          <w:rFonts w:ascii="Times New Roman" w:cs="Times New Roman" w:eastAsia="Times New Roman" w:hAnsi="Times New Roman"/>
          <w:sz w:val="22"/>
          <w:szCs w:val="22"/>
          <w:color w:val="auto"/>
        </w:rPr>
      </w:pPr>
    </w:p>
    <w:p>
      <w:pPr>
        <w:jc w:val="both"/>
        <w:ind w:left="760" w:firstLine="745"/>
        <w:spacing w:after="0" w:line="265" w:lineRule="auto"/>
        <w:tabs>
          <w:tab w:leader="none" w:pos="1958"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non-cash charges, expenses and losses (including, for the avoidance of doubt, non-cash stock compensation but excluding any such non-cash charges or losses to the extent, (x) there were cash charges with respect to such charges and losses in past accounting periods, (y) there is a reasonable expectation that there will be cash charges with respect to such charges and losses in future accounting periods, or (z) they consist of write downs of accounts receivable that exceed $2,000,000 in the aggregate during any fiscal year),</w:t>
      </w:r>
    </w:p>
    <w:p>
      <w:pPr>
        <w:spacing w:after="0" w:line="169" w:lineRule="exact"/>
        <w:rPr>
          <w:rFonts w:ascii="Times New Roman" w:cs="Times New Roman" w:eastAsia="Times New Roman" w:hAnsi="Times New Roman"/>
          <w:sz w:val="22"/>
          <w:szCs w:val="22"/>
          <w:color w:val="auto"/>
        </w:rPr>
      </w:pPr>
    </w:p>
    <w:p>
      <w:pPr>
        <w:jc w:val="both"/>
        <w:ind w:left="760" w:firstLine="745"/>
        <w:spacing w:after="0" w:line="261" w:lineRule="auto"/>
        <w:tabs>
          <w:tab w:leader="none" w:pos="1958"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Transaction Costs (other than Transaction Costs incurred in connection with (v) the Transactions occurring on the Amendment No. 2 Closing Date to the extent such Transaction Costs exceed $300,000 in the aggregate, (w) the Transactions occurring on the Amendment No. 1 Closing Date to the extent such Transaction Costs exceed $14,000,000 in the aggregate, (x) any Permitted Note Refinancing to the extent such Transaction Costs exceed $6,500,000 in the aggregate during any fiscal year, (y) any additional Note Indenture Obligations to the extent such Transaction Costs exceed $3,000,000 in the aggregate during any fiscal year, and (z) any Permitted Acquisition (or any proposed Permitted Acquisition not consummated) or the amendment, consent or waiver of this Agreement or any of the Other Documents or otherwise unrelated to the Transactions to the extent such Transaction Costs exceed $2,000,000 in the aggregate during any fiscal year),</w:t>
      </w:r>
    </w:p>
    <w:p>
      <w:pPr>
        <w:spacing w:after="0" w:line="169" w:lineRule="exact"/>
        <w:rPr>
          <w:rFonts w:ascii="Times New Roman" w:cs="Times New Roman" w:eastAsia="Times New Roman" w:hAnsi="Times New Roman"/>
          <w:sz w:val="22"/>
          <w:szCs w:val="22"/>
          <w:color w:val="auto"/>
        </w:rPr>
      </w:pPr>
    </w:p>
    <w:p>
      <w:pPr>
        <w:jc w:val="both"/>
        <w:ind w:left="760" w:firstLine="745"/>
        <w:spacing w:after="0" w:line="269" w:lineRule="auto"/>
        <w:tabs>
          <w:tab w:leader="none" w:pos="1958"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amounts included in the calculation of Net Income for amortization or non-cash charges for the write-off or impairment of goodwill, intangibles or other purchase accounting adjustments related to the accounting for the Transactions or other acquisitions under GAAP (including Financial Accounting Standards Codification 350 and 805),</w:t>
      </w:r>
    </w:p>
    <w:p>
      <w:pPr>
        <w:spacing w:after="0" w:line="161" w:lineRule="exact"/>
        <w:rPr>
          <w:rFonts w:ascii="Times New Roman" w:cs="Times New Roman" w:eastAsia="Times New Roman" w:hAnsi="Times New Roman"/>
          <w:sz w:val="22"/>
          <w:szCs w:val="22"/>
          <w:color w:val="auto"/>
        </w:rPr>
      </w:pPr>
    </w:p>
    <w:p>
      <w:pPr>
        <w:jc w:val="both"/>
        <w:ind w:left="760" w:firstLine="745"/>
        <w:spacing w:after="0" w:line="275" w:lineRule="auto"/>
        <w:tabs>
          <w:tab w:leader="none" w:pos="1958"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non-recurring restructuring charges or reserves and business optimization expense (including any non-recurring restructuring costs and integration costs incurred in connection with Permitted Acquisitions after the Closing Date), costs related to the closure or consolidation of facilities, relocation and severance expenses,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68" w:name="page69"/>
    <w:bookmarkEnd w:id="68"/>
    <w:p>
      <w:pPr>
        <w:jc w:val="both"/>
        <w:ind w:left="760"/>
        <w:spacing w:after="0" w:line="269" w:lineRule="auto"/>
        <w:rPr>
          <w:sz w:val="20"/>
          <w:szCs w:val="20"/>
          <w:color w:val="auto"/>
        </w:rPr>
      </w:pPr>
      <w:r>
        <w:rPr>
          <w:rFonts w:ascii="Times New Roman" w:cs="Times New Roman" w:eastAsia="Times New Roman" w:hAnsi="Times New Roman"/>
          <w:sz w:val="22"/>
          <w:szCs w:val="22"/>
          <w:color w:val="auto"/>
        </w:rPr>
        <w:t>systems establishment costs and conversion costs to the extent factually supportable, verifiable, and certified as such by a Responsible Officer of Borrowing Agent and approved by Agent in its Permitted Discretion, provided that the aggregate amount of add-backs made pursuant to this subclause (vii), shall not exceed $6,000,000 during any fiscal year, and</w:t>
      </w:r>
    </w:p>
    <w:p>
      <w:pPr>
        <w:spacing w:after="0" w:line="162" w:lineRule="exact"/>
        <w:rPr>
          <w:sz w:val="20"/>
          <w:szCs w:val="20"/>
          <w:color w:val="auto"/>
        </w:rPr>
      </w:pPr>
    </w:p>
    <w:p>
      <w:pPr>
        <w:jc w:val="both"/>
        <w:ind w:left="760" w:firstLine="745"/>
        <w:spacing w:after="0" w:line="269" w:lineRule="auto"/>
        <w:tabs>
          <w:tab w:leader="none" w:pos="2408"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fees and expenses incurred in connection with the negotiation or entering into of any Bonding Agreement or any amendment, restatement, supplement or other modification of any Bonding Agreement in each case to the extent not in the Ordinary Course of Business, provided that the aggregate amount of add-backs made pursuant to this clause (viii), shall not exceed $100,000 during any fiscal year, </w:t>
      </w:r>
      <w:r>
        <w:rPr>
          <w:rFonts w:ascii="Times New Roman" w:cs="Times New Roman" w:eastAsia="Times New Roman" w:hAnsi="Times New Roman"/>
          <w:sz w:val="22"/>
          <w:szCs w:val="22"/>
          <w:u w:val="single" w:color="auto"/>
          <w:color w:val="auto"/>
        </w:rPr>
        <w:t>plus</w:t>
      </w:r>
    </w:p>
    <w:p>
      <w:pPr>
        <w:spacing w:after="0" w:line="158" w:lineRule="exact"/>
        <w:rPr>
          <w:sz w:val="20"/>
          <w:szCs w:val="20"/>
          <w:color w:val="auto"/>
        </w:rPr>
      </w:pPr>
    </w:p>
    <w:p>
      <w:pPr>
        <w:jc w:val="both"/>
        <w:ind w:firstLine="1505"/>
        <w:spacing w:after="0" w:line="244" w:lineRule="auto"/>
        <w:tabs>
          <w:tab w:leader="none" w:pos="1929"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cash distributions received by GLDD and any of its wholly-owned Subsidiaries during such period from any non-wholly owned Subsidiary of GLDD or other equity joint venture to the extent the net income attributable to such non-wholly owned Subsidiary or equity joint venture is excluded from Net Income.</w:t>
      </w:r>
    </w:p>
    <w:p>
      <w:pPr>
        <w:spacing w:after="0" w:line="1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For purposes of this Agreement, EBITDA shall be adjusted on a Pro Forma Basis.</w:t>
      </w:r>
    </w:p>
    <w:p>
      <w:pPr>
        <w:spacing w:after="0" w:line="233" w:lineRule="exact"/>
        <w:rPr>
          <w:sz w:val="20"/>
          <w:szCs w:val="20"/>
          <w:color w:val="auto"/>
        </w:rPr>
      </w:pPr>
    </w:p>
    <w:p>
      <w:pPr>
        <w:jc w:val="both"/>
        <w:ind w:firstLine="749"/>
        <w:spacing w:after="0" w:line="26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EEA Financial Institution</w:t>
      </w:r>
      <w:r>
        <w:rPr>
          <w:rFonts w:ascii="Times New Roman" w:cs="Times New Roman" w:eastAsia="Times New Roman" w:hAnsi="Times New Roman"/>
          <w:sz w:val="22"/>
          <w:szCs w:val="22"/>
          <w:color w:val="auto"/>
        </w:rPr>
        <w:t>" shall mean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169" w:lineRule="exact"/>
        <w:rPr>
          <w:sz w:val="20"/>
          <w:szCs w:val="20"/>
          <w:color w:val="auto"/>
        </w:rPr>
      </w:pPr>
    </w:p>
    <w:p>
      <w:pPr>
        <w:jc w:val="both"/>
        <w:ind w:firstLine="749"/>
        <w:spacing w:after="0" w:line="29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EEA Member Country</w:t>
      </w:r>
      <w:r>
        <w:rPr>
          <w:rFonts w:ascii="Times New Roman" w:cs="Times New Roman" w:eastAsia="Times New Roman" w:hAnsi="Times New Roman"/>
          <w:sz w:val="22"/>
          <w:szCs w:val="22"/>
          <w:color w:val="auto"/>
        </w:rPr>
        <w:t>" shall mean any of the member states of the European Union, Iceland, Liechtenstein, and Norway.</w:t>
      </w:r>
    </w:p>
    <w:p>
      <w:pPr>
        <w:spacing w:after="0" w:line="134" w:lineRule="exact"/>
        <w:rPr>
          <w:sz w:val="20"/>
          <w:szCs w:val="20"/>
          <w:color w:val="auto"/>
        </w:rPr>
      </w:pPr>
    </w:p>
    <w:p>
      <w:pPr>
        <w:jc w:val="both"/>
        <w:ind w:firstLine="749"/>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EEA Resolution Authority</w:t>
      </w:r>
      <w:r>
        <w:rPr>
          <w:rFonts w:ascii="Times New Roman" w:cs="Times New Roman" w:eastAsia="Times New Roman" w:hAnsi="Times New Roman"/>
          <w:sz w:val="22"/>
          <w:szCs w:val="22"/>
          <w:color w:val="auto"/>
        </w:rPr>
        <w:t>" shall mean any public administrative authority or any person entrusted with public administrative authority of any EEA Member Country (including any deluge) having responsibility for the resolution of any EEA Financial Institution.</w:t>
      </w:r>
    </w:p>
    <w:p>
      <w:pPr>
        <w:spacing w:after="0" w:line="106" w:lineRule="exact"/>
        <w:rPr>
          <w:sz w:val="20"/>
          <w:szCs w:val="20"/>
          <w:color w:val="auto"/>
        </w:rPr>
      </w:pPr>
    </w:p>
    <w:p>
      <w:pPr>
        <w:jc w:val="both"/>
        <w:ind w:right="20" w:firstLine="749"/>
        <w:spacing w:after="0" w:line="307" w:lineRule="exact"/>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EU Bail</w:t>
      </w:r>
      <w:r>
        <w:rPr>
          <w:rFonts w:ascii="MS PGothic" w:cs="MS PGothic" w:eastAsia="MS PGothic" w:hAnsi="MS PGothic"/>
          <w:sz w:val="22"/>
          <w:szCs w:val="22"/>
          <w:u w:val="single" w:color="auto"/>
          <w:color w:val="auto"/>
        </w:rPr>
        <w:t>‑</w:t>
      </w:r>
      <w:r>
        <w:rPr>
          <w:rFonts w:ascii="Times New Roman" w:cs="Times New Roman" w:eastAsia="Times New Roman" w:hAnsi="Times New Roman"/>
          <w:sz w:val="22"/>
          <w:szCs w:val="22"/>
          <w:u w:val="single" w:color="auto"/>
          <w:color w:val="auto"/>
        </w:rPr>
        <w:t>In Legislation Schedule</w:t>
      </w:r>
      <w:r>
        <w:rPr>
          <w:rFonts w:ascii="Times New Roman" w:cs="Times New Roman" w:eastAsia="Times New Roman" w:hAnsi="Times New Roman"/>
          <w:sz w:val="22"/>
          <w:szCs w:val="22"/>
          <w:color w:val="auto"/>
        </w:rPr>
        <w:t>" shall mean the EU Bail</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In Legislation Schedule published by the Loan Market Association (or any successor person), as in effect from time to time.</w:t>
      </w:r>
    </w:p>
    <w:p>
      <w:pPr>
        <w:spacing w:after="0" w:line="193" w:lineRule="exact"/>
        <w:rPr>
          <w:sz w:val="20"/>
          <w:szCs w:val="20"/>
          <w:color w:val="auto"/>
        </w:rPr>
      </w:pPr>
    </w:p>
    <w:p>
      <w:pPr>
        <w:jc w:val="both"/>
        <w:ind w:firstLine="749"/>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shall mean, with respect to a Swap, the date indicated in a document or agreement to be the date on which such document or agreement becomes effective, or, if there is no such indication, the date of execution of such document or agreement.</w:t>
      </w:r>
    </w:p>
    <w:p>
      <w:pPr>
        <w:spacing w:after="0" w:line="156" w:lineRule="exact"/>
        <w:rPr>
          <w:sz w:val="20"/>
          <w:szCs w:val="20"/>
          <w:color w:val="auto"/>
        </w:rPr>
      </w:pPr>
    </w:p>
    <w:p>
      <w:pPr>
        <w:jc w:val="both"/>
        <w:ind w:firstLine="749"/>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Eligibility Date</w:t>
      </w:r>
      <w:r>
        <w:rPr>
          <w:rFonts w:ascii="Times New Roman" w:cs="Times New Roman" w:eastAsia="Times New Roman" w:hAnsi="Times New Roman"/>
          <w:sz w:val="22"/>
          <w:szCs w:val="22"/>
          <w:color w:val="auto"/>
        </w:rPr>
        <w:t>" shall mean, with respect to each Borrower and Guarantor and each Swap, the date on which this Agreement or any Other Document becomes effective with respect to such Swap (for the avoidance of doubt, the Eligibility Date shall be the Effective Date of such Swap if this Agreement or any Other Document is then in effect with respect to</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69" w:name="page70"/>
    <w:bookmarkEnd w:id="69"/>
    <w:p>
      <w:pPr>
        <w:jc w:val="both"/>
        <w:spacing w:after="0" w:line="295" w:lineRule="auto"/>
        <w:rPr>
          <w:sz w:val="20"/>
          <w:szCs w:val="20"/>
          <w:color w:val="auto"/>
        </w:rPr>
      </w:pPr>
      <w:r>
        <w:rPr>
          <w:rFonts w:ascii="Times New Roman" w:cs="Times New Roman" w:eastAsia="Times New Roman" w:hAnsi="Times New Roman"/>
          <w:sz w:val="22"/>
          <w:szCs w:val="22"/>
          <w:color w:val="auto"/>
        </w:rPr>
        <w:t>such Borrower or Guarantor, and otherwise it shall be the Effective Date of this Agreement and/or such Other Document(s) to which such Borrower or Guarantor is a party).</w:t>
      </w:r>
    </w:p>
    <w:p>
      <w:pPr>
        <w:spacing w:after="0" w:line="134" w:lineRule="exact"/>
        <w:rPr>
          <w:sz w:val="20"/>
          <w:szCs w:val="20"/>
          <w:color w:val="auto"/>
        </w:rPr>
      </w:pPr>
    </w:p>
    <w:p>
      <w:pPr>
        <w:jc w:val="both"/>
        <w:ind w:firstLine="749"/>
        <w:spacing w:after="0" w:line="29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Eligible Contract Participant</w:t>
      </w:r>
      <w:r>
        <w:rPr>
          <w:rFonts w:ascii="Times New Roman" w:cs="Times New Roman" w:eastAsia="Times New Roman" w:hAnsi="Times New Roman"/>
          <w:sz w:val="22"/>
          <w:szCs w:val="22"/>
          <w:color w:val="auto"/>
        </w:rPr>
        <w:t>" shall mean an "eligible contract participant" as defined in the CEA and regulations thereunder.</w:t>
      </w:r>
    </w:p>
    <w:p>
      <w:pPr>
        <w:spacing w:after="0" w:line="134" w:lineRule="exact"/>
        <w:rPr>
          <w:sz w:val="20"/>
          <w:szCs w:val="20"/>
          <w:color w:val="auto"/>
        </w:rPr>
      </w:pPr>
    </w:p>
    <w:p>
      <w:pPr>
        <w:jc w:val="both"/>
        <w:ind w:firstLine="749"/>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Eligible Fleet Assets</w:t>
      </w:r>
      <w:r>
        <w:rPr>
          <w:rFonts w:ascii="Times New Roman" w:cs="Times New Roman" w:eastAsia="Times New Roman" w:hAnsi="Times New Roman"/>
          <w:sz w:val="22"/>
          <w:szCs w:val="22"/>
          <w:color w:val="auto"/>
        </w:rPr>
        <w:t>" shall mean Fleet Assets of a Credit Party which Agent, in its Permitted Discretion, shall deem Eligible Fleet Assets, based on such considerations as Agent may from time to time deem appropriate. A Fleet Asset shall not be an Eligible Fleet Asset if:</w:t>
      </w:r>
    </w:p>
    <w:p>
      <w:pPr>
        <w:spacing w:after="0" w:line="153" w:lineRule="exact"/>
        <w:rPr>
          <w:sz w:val="20"/>
          <w:szCs w:val="20"/>
          <w:color w:val="auto"/>
        </w:rPr>
      </w:pPr>
    </w:p>
    <w:p>
      <w:pPr>
        <w:ind w:left="1940" w:hanging="435"/>
        <w:spacing w:after="0"/>
        <w:tabs>
          <w:tab w:leader="none" w:pos="194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is not subject to a perfected first priority security interest in favor of Agent;</w:t>
      </w:r>
    </w:p>
    <w:p>
      <w:pPr>
        <w:spacing w:after="0" w:line="206"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is subject to any Lien other than a Permitted Encumbrance;</w:t>
      </w:r>
    </w:p>
    <w:p>
      <w:pPr>
        <w:spacing w:after="0" w:line="206"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is not owned by a Credit Party with good, valid, and marketable title thereto;</w:t>
      </w:r>
    </w:p>
    <w:p>
      <w:pPr>
        <w:spacing w:after="0" w:line="206" w:lineRule="exact"/>
        <w:rPr>
          <w:rFonts w:ascii="Times New Roman" w:cs="Times New Roman" w:eastAsia="Times New Roman" w:hAnsi="Times New Roman"/>
          <w:sz w:val="22"/>
          <w:szCs w:val="22"/>
          <w:color w:val="auto"/>
        </w:rPr>
      </w:pPr>
    </w:p>
    <w:p>
      <w:pPr>
        <w:jc w:val="both"/>
        <w:ind w:firstLine="1505"/>
        <w:spacing w:after="0" w:line="238" w:lineRule="auto"/>
        <w:tabs>
          <w:tab w:leader="none" w:pos="1929"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is located in (1) any Sanctioned Jurisdiction, (2) any Listed Area as defined by the Joint War Committee, unless Borrowers shall (if not already in place), at their sole cost and expense, obtain and maintain, or cause or procure to be obtained and maintained on such Fleet Asset, war risks (including war protection and indemnity liability) covering, inter alia, the perils of terrorism, piracy, confiscation, expropriation, seizure and blocking and trapping or (3) any other location other than the United States or an Approved Operating Jurisdiction;</w:t>
      </w:r>
    </w:p>
    <w:p>
      <w:pPr>
        <w:spacing w:after="0" w:line="176"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is in-transit other than in the Ordinary Course of Business;</w:t>
      </w:r>
    </w:p>
    <w:p>
      <w:pPr>
        <w:spacing w:after="0" w:line="206"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is not in good working order and marketable condition (ordinary wear and tear excepted);</w:t>
      </w:r>
    </w:p>
    <w:p>
      <w:pPr>
        <w:spacing w:after="0" w:line="206"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is worn out, obsolete, damaged or defective;</w:t>
      </w:r>
    </w:p>
    <w:p>
      <w:pPr>
        <w:spacing w:after="0" w:line="206"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is leased by a Credit Party except in a Permitted Disposition or it is leased to a Credit Party;</w:t>
      </w:r>
    </w:p>
    <w:p>
      <w:pPr>
        <w:spacing w:after="0" w:line="206"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is a Documented Vessel with respect to which Credit Parties have failed to comply with Section 4.12;</w:t>
      </w:r>
    </w:p>
    <w:p>
      <w:pPr>
        <w:spacing w:after="0" w:line="206"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is not covered by an Acceptable Appraisal;</w:t>
      </w:r>
    </w:p>
    <w:p>
      <w:pPr>
        <w:spacing w:after="0" w:line="206"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is in lay-up status or out of class;</w:t>
      </w:r>
    </w:p>
    <w:p>
      <w:pPr>
        <w:spacing w:after="0" w:line="206"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is eligible to be a Documented Vessel (as determined by Agent in its Permitted Discretion) but is not a</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Documented Vessel;</w:t>
      </w:r>
    </w:p>
    <w:p>
      <w:pPr>
        <w:spacing w:after="0" w:line="182"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is not flagged in the United States or another Approved Flag Jurisdiction;</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70" w:name="page71"/>
    <w:bookmarkEnd w:id="70"/>
    <w:p>
      <w:pPr>
        <w:ind w:right="20" w:firstLine="1505"/>
        <w:spacing w:after="0" w:line="258" w:lineRule="auto"/>
        <w:tabs>
          <w:tab w:leader="none" w:pos="1929"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is a Fleet Asset acquired in a Permitted Acquisition, with respect to which Agent has not completed a collateral audit and appraisal; or</w:t>
      </w:r>
    </w:p>
    <w:p>
      <w:pPr>
        <w:spacing w:after="0" w:line="158"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is seized by or forfeited to a Governmental Body.</w:t>
      </w:r>
    </w:p>
    <w:p>
      <w:pPr>
        <w:spacing w:after="0" w:line="210" w:lineRule="exact"/>
        <w:rPr>
          <w:sz w:val="20"/>
          <w:szCs w:val="20"/>
          <w:color w:val="auto"/>
        </w:rPr>
      </w:pPr>
    </w:p>
    <w:p>
      <w:pPr>
        <w:jc w:val="both"/>
        <w:ind w:firstLine="749"/>
        <w:spacing w:after="0" w:line="29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Eligible New Fleet Assets</w:t>
      </w:r>
      <w:r>
        <w:rPr>
          <w:rFonts w:ascii="Times New Roman" w:cs="Times New Roman" w:eastAsia="Times New Roman" w:hAnsi="Times New Roman"/>
          <w:sz w:val="22"/>
          <w:szCs w:val="22"/>
          <w:color w:val="auto"/>
        </w:rPr>
        <w:t>" shall mean any New Fleet Asset which satisfies all of the criteria of an Eligible Fleet Asset, except it is not covered by an Acceptable Appraisal.</w:t>
      </w:r>
    </w:p>
    <w:p>
      <w:pPr>
        <w:spacing w:after="0" w:line="134" w:lineRule="exact"/>
        <w:rPr>
          <w:sz w:val="20"/>
          <w:szCs w:val="20"/>
          <w:color w:val="auto"/>
        </w:rPr>
      </w:pPr>
    </w:p>
    <w:p>
      <w:pPr>
        <w:jc w:val="both"/>
        <w:ind w:firstLine="749"/>
        <w:spacing w:after="0" w:line="27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Eligible Receivables</w:t>
      </w:r>
      <w:r>
        <w:rPr>
          <w:rFonts w:ascii="Times New Roman" w:cs="Times New Roman" w:eastAsia="Times New Roman" w:hAnsi="Times New Roman"/>
          <w:sz w:val="22"/>
          <w:szCs w:val="22"/>
          <w:color w:val="auto"/>
        </w:rPr>
        <w:t>" shall mean each Receivable constituting an account of a Credit Party arising in the Ordinary Course of Business and which Agent, in its Permitted Discretion, shall deem to be an Eligible Receivable, based on such considerations as Agent may from time to time deem appropriate. In addition, no Receivable shall be an Eligible Receivable if:</w:t>
      </w:r>
    </w:p>
    <w:p>
      <w:pPr>
        <w:spacing w:after="0" w:line="200" w:lineRule="exact"/>
        <w:rPr>
          <w:sz w:val="20"/>
          <w:szCs w:val="20"/>
          <w:color w:val="auto"/>
        </w:rPr>
      </w:pPr>
    </w:p>
    <w:p>
      <w:pPr>
        <w:spacing w:after="0" w:line="232" w:lineRule="exact"/>
        <w:rPr>
          <w:sz w:val="20"/>
          <w:szCs w:val="20"/>
          <w:color w:val="auto"/>
        </w:rPr>
      </w:pPr>
    </w:p>
    <w:p>
      <w:pPr>
        <w:ind w:right="20" w:firstLine="1505"/>
        <w:spacing w:after="0" w:line="258" w:lineRule="auto"/>
        <w:tabs>
          <w:tab w:leader="none" w:pos="1929"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is not subject to Agent's first priority perfected security interest and no other Lien (other than Permitted Encumbrances), or is not evidenced by an invoice or other documentary evidence satisfactory to Agent;</w:t>
      </w:r>
    </w:p>
    <w:p>
      <w:pPr>
        <w:spacing w:after="0" w:line="158" w:lineRule="exact"/>
        <w:rPr>
          <w:rFonts w:ascii="Times New Roman" w:cs="Times New Roman" w:eastAsia="Times New Roman" w:hAnsi="Times New Roman"/>
          <w:sz w:val="22"/>
          <w:szCs w:val="22"/>
          <w:color w:val="auto"/>
        </w:rPr>
      </w:pPr>
    </w:p>
    <w:p>
      <w:pPr>
        <w:ind w:firstLine="1505"/>
        <w:spacing w:after="0" w:line="258" w:lineRule="auto"/>
        <w:tabs>
          <w:tab w:leader="none" w:pos="1929"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arises out of a sale made by any Credit Party to an Affiliate of any Credit Party or to a Person controlled by an Affiliate of any Credit Party;</w:t>
      </w:r>
    </w:p>
    <w:p>
      <w:pPr>
        <w:spacing w:after="0" w:line="158" w:lineRule="exact"/>
        <w:rPr>
          <w:rFonts w:ascii="Times New Roman" w:cs="Times New Roman" w:eastAsia="Times New Roman" w:hAnsi="Times New Roman"/>
          <w:sz w:val="22"/>
          <w:szCs w:val="22"/>
          <w:color w:val="auto"/>
        </w:rPr>
      </w:pPr>
    </w:p>
    <w:p>
      <w:pPr>
        <w:ind w:right="20" w:firstLine="1505"/>
        <w:spacing w:after="0" w:line="258" w:lineRule="auto"/>
        <w:tabs>
          <w:tab w:leader="none" w:pos="1929"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is due or unpaid more than ninety (90) days after the original invoice date or sixty (60) days after the original due date or has selling terms in excess of thirty (30) days;</w:t>
      </w:r>
    </w:p>
    <w:p>
      <w:pPr>
        <w:spacing w:after="0" w:line="158" w:lineRule="exact"/>
        <w:rPr>
          <w:rFonts w:ascii="Times New Roman" w:cs="Times New Roman" w:eastAsia="Times New Roman" w:hAnsi="Times New Roman"/>
          <w:sz w:val="22"/>
          <w:szCs w:val="22"/>
          <w:color w:val="auto"/>
        </w:rPr>
      </w:pPr>
    </w:p>
    <w:p>
      <w:pPr>
        <w:ind w:right="20" w:firstLine="1505"/>
        <w:spacing w:after="0" w:line="258" w:lineRule="auto"/>
        <w:tabs>
          <w:tab w:leader="none" w:pos="1929"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covenant, representation or warranty contained in this Agreement with respect to such Receivable has been breached and remains uncured;</w:t>
      </w:r>
    </w:p>
    <w:p>
      <w:pPr>
        <w:spacing w:after="0" w:line="158"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fifty percent (50%) or more of the Receivables from such Customer are not deemed Eligible Receivables</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hereunder;</w:t>
      </w:r>
    </w:p>
    <w:p>
      <w:pPr>
        <w:spacing w:after="0" w:line="182"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Insolvency Event shall have occurred with respect to such Customer;</w:t>
      </w:r>
    </w:p>
    <w:p>
      <w:pPr>
        <w:spacing w:after="0" w:line="206" w:lineRule="exact"/>
        <w:rPr>
          <w:rFonts w:ascii="Times New Roman" w:cs="Times New Roman" w:eastAsia="Times New Roman" w:hAnsi="Times New Roman"/>
          <w:sz w:val="22"/>
          <w:szCs w:val="22"/>
          <w:color w:val="auto"/>
        </w:rPr>
      </w:pPr>
    </w:p>
    <w:p>
      <w:pPr>
        <w:ind w:right="20" w:firstLine="1505"/>
        <w:spacing w:after="0" w:line="258" w:lineRule="auto"/>
        <w:tabs>
          <w:tab w:leader="none" w:pos="1929"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sale is to a Customer outside the continental United States of America or a province of Canada, unless the sale is on letter of credit, guaranty or acceptance terms, in each case acceptable to Agent;</w:t>
      </w:r>
    </w:p>
    <w:p>
      <w:pPr>
        <w:spacing w:after="0" w:line="158" w:lineRule="exact"/>
        <w:rPr>
          <w:rFonts w:ascii="Times New Roman" w:cs="Times New Roman" w:eastAsia="Times New Roman" w:hAnsi="Times New Roman"/>
          <w:sz w:val="22"/>
          <w:szCs w:val="22"/>
          <w:color w:val="auto"/>
        </w:rPr>
      </w:pPr>
    </w:p>
    <w:p>
      <w:pPr>
        <w:ind w:right="60" w:firstLine="1505"/>
        <w:spacing w:after="0" w:line="258" w:lineRule="auto"/>
        <w:tabs>
          <w:tab w:leader="none" w:pos="1929"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sale to the Customer is on a bill-and-hold, guaranteed sale, sale-and-return, sale on approval, consignment or any other repurchase or return basis or is evidenced by chattel paper;</w:t>
      </w:r>
    </w:p>
    <w:p>
      <w:pPr>
        <w:spacing w:after="0" w:line="154"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Intentionally Omitted</w:t>
      </w:r>
      <w:r>
        <w:rPr>
          <w:rFonts w:ascii="Times New Roman" w:cs="Times New Roman" w:eastAsia="Times New Roman" w:hAnsi="Times New Roman"/>
          <w:sz w:val="22"/>
          <w:szCs w:val="22"/>
          <w:color w:val="auto"/>
        </w:rPr>
        <w:t>];</w:t>
      </w:r>
    </w:p>
    <w:p>
      <w:pPr>
        <w:spacing w:after="0" w:line="210" w:lineRule="exact"/>
        <w:rPr>
          <w:rFonts w:ascii="Times New Roman" w:cs="Times New Roman" w:eastAsia="Times New Roman" w:hAnsi="Times New Roman"/>
          <w:sz w:val="22"/>
          <w:szCs w:val="22"/>
          <w:color w:val="auto"/>
        </w:rPr>
      </w:pPr>
    </w:p>
    <w:p>
      <w:pPr>
        <w:jc w:val="both"/>
        <w:ind w:firstLine="1505"/>
        <w:spacing w:after="0" w:line="244" w:lineRule="auto"/>
        <w:tabs>
          <w:tab w:leader="none" w:pos="1929"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Customer is the United States of America, any state or any department, agency or instrumentality of any of them, unless the applicable Credit Party assigns its right to payment of such Receivable to Agent pursuant to the Assignment of Claims Act or has otherwise complied with other applicable statutes or ordinances;</w:t>
      </w:r>
    </w:p>
    <w:p>
      <w:pPr>
        <w:spacing w:after="0" w:line="173" w:lineRule="exact"/>
        <w:rPr>
          <w:rFonts w:ascii="Times New Roman" w:cs="Times New Roman" w:eastAsia="Times New Roman" w:hAnsi="Times New Roman"/>
          <w:sz w:val="22"/>
          <w:szCs w:val="22"/>
          <w:color w:val="auto"/>
        </w:rPr>
      </w:pPr>
    </w:p>
    <w:p>
      <w:pPr>
        <w:ind w:right="20" w:firstLine="1505"/>
        <w:spacing w:after="0" w:line="258" w:lineRule="auto"/>
        <w:tabs>
          <w:tab w:leader="none" w:pos="1929"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goods giving rise to such Receivable have not been delivered to and accepted by the Customer or the services giving rise to such Receivable have not been performed</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22"/>
          <w:szCs w:val="22"/>
          <w:color w:val="auto"/>
        </w:rPr>
        <w:t>by the applicable Credit Party and accepted by the Customer or the Receivable otherwise does not represent a final sale;</w:t>
      </w:r>
    </w:p>
    <w:p>
      <w:pPr>
        <w:spacing w:after="0" w:line="206" w:lineRule="exact"/>
        <w:rPr>
          <w:sz w:val="20"/>
          <w:szCs w:val="20"/>
          <w:color w:val="auto"/>
        </w:rPr>
      </w:pPr>
    </w:p>
    <w:p>
      <w:pPr>
        <w:jc w:val="both"/>
        <w:ind w:firstLine="1505"/>
        <w:spacing w:after="0" w:line="244" w:lineRule="auto"/>
        <w:tabs>
          <w:tab w:leader="none" w:pos="1929"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Receivable is subject to any offset, deduction, defense, dispute, credits or counterclaim (but such Receivable shall only be ineligible to the extent of such offset, deduction, defense, credit or counterclaim), the Customer is also a creditor or supplier of a Credit Party or the Receivable is contingent in any respect or for any reason;</w:t>
      </w:r>
    </w:p>
    <w:p>
      <w:pPr>
        <w:spacing w:after="0" w:line="173" w:lineRule="exact"/>
        <w:rPr>
          <w:rFonts w:ascii="Times New Roman" w:cs="Times New Roman" w:eastAsia="Times New Roman" w:hAnsi="Times New Roman"/>
          <w:sz w:val="22"/>
          <w:szCs w:val="22"/>
          <w:color w:val="auto"/>
        </w:rPr>
      </w:pPr>
    </w:p>
    <w:p>
      <w:pPr>
        <w:jc w:val="both"/>
        <w:ind w:firstLine="1505"/>
        <w:spacing w:after="0" w:line="244" w:lineRule="auto"/>
        <w:tabs>
          <w:tab w:leader="none" w:pos="1929"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applicable Credit Party has made any agreement with any Customer for any deduction therefrom, except for discounts or allowances made in the Ordinary Course of Business for prompt payment, all of which discounts or allowances are reflected in the calculation of the face value of each respective invoice related thereto;</w:t>
      </w:r>
    </w:p>
    <w:p>
      <w:pPr>
        <w:spacing w:after="0" w:line="173"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return, rejection or repossession of the merchandise has occurred or the rendition of services has been</w:t>
      </w:r>
    </w:p>
    <w:p>
      <w:pPr>
        <w:spacing w:after="0" w:line="25"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disputed;</w:t>
      </w:r>
    </w:p>
    <w:p>
      <w:pPr>
        <w:spacing w:after="0" w:line="182" w:lineRule="exact"/>
        <w:rPr>
          <w:rFonts w:ascii="Times New Roman" w:cs="Times New Roman" w:eastAsia="Times New Roman" w:hAnsi="Times New Roman"/>
          <w:sz w:val="21"/>
          <w:szCs w:val="21"/>
          <w:color w:val="auto"/>
        </w:rPr>
      </w:pPr>
    </w:p>
    <w:p>
      <w:pPr>
        <w:ind w:left="1940" w:hanging="435"/>
        <w:spacing w:after="0"/>
        <w:tabs>
          <w:tab w:leader="none" w:pos="1940"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Receivable is not payable to a Credit Party in Dollars;</w:t>
      </w:r>
    </w:p>
    <w:p>
      <w:pPr>
        <w:spacing w:after="0" w:line="206" w:lineRule="exact"/>
        <w:rPr>
          <w:rFonts w:ascii="Times New Roman" w:cs="Times New Roman" w:eastAsia="Times New Roman" w:hAnsi="Times New Roman"/>
          <w:sz w:val="22"/>
          <w:szCs w:val="22"/>
          <w:color w:val="auto"/>
        </w:rPr>
      </w:pPr>
    </w:p>
    <w:p>
      <w:pPr>
        <w:ind w:right="20" w:firstLine="1505"/>
        <w:spacing w:after="0" w:line="258" w:lineRule="auto"/>
        <w:tabs>
          <w:tab w:leader="none" w:pos="1929"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Receivable arises from a transaction that is subject to a performance bond, bid bond, customs bond, appeal bond, surety bond, performance guarantee, completion guarantee or similar obligation;</w:t>
      </w:r>
    </w:p>
    <w:p>
      <w:pPr>
        <w:spacing w:after="0" w:line="158" w:lineRule="exact"/>
        <w:rPr>
          <w:rFonts w:ascii="Times New Roman" w:cs="Times New Roman" w:eastAsia="Times New Roman" w:hAnsi="Times New Roman"/>
          <w:sz w:val="22"/>
          <w:szCs w:val="22"/>
          <w:color w:val="auto"/>
        </w:rPr>
      </w:pPr>
    </w:p>
    <w:p>
      <w:pPr>
        <w:ind w:firstLine="1505"/>
        <w:spacing w:after="0" w:line="258" w:lineRule="auto"/>
        <w:tabs>
          <w:tab w:leader="none" w:pos="1929"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Receivables were acquired in connection with a Permitted Acquisition, unless Agent has completed a collateral audit with respect thereto;</w:t>
      </w:r>
    </w:p>
    <w:p>
      <w:pPr>
        <w:spacing w:after="0" w:line="158"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Customer is a Sanctioned Person; or</w:t>
      </w:r>
    </w:p>
    <w:p>
      <w:pPr>
        <w:spacing w:after="0" w:line="206"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such Receivable is not otherwise satisfactory to Agent as determined by Agent in its Permitted Discretion.</w:t>
      </w:r>
    </w:p>
    <w:p>
      <w:pPr>
        <w:spacing w:after="0" w:line="221" w:lineRule="exact"/>
        <w:rPr>
          <w:sz w:val="20"/>
          <w:szCs w:val="20"/>
          <w:color w:val="auto"/>
        </w:rPr>
      </w:pPr>
    </w:p>
    <w:p>
      <w:pPr>
        <w:jc w:val="both"/>
        <w:ind w:firstLine="749"/>
        <w:spacing w:after="0" w:line="26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Embargoed Property</w:t>
      </w:r>
      <w:r>
        <w:rPr>
          <w:rFonts w:ascii="Times New Roman" w:cs="Times New Roman" w:eastAsia="Times New Roman" w:hAnsi="Times New Roman"/>
          <w:sz w:val="22"/>
          <w:szCs w:val="22"/>
          <w:color w:val="auto"/>
        </w:rPr>
        <w:t>" shall mean any property (a) in which a Sanctioned Person holds an interest; (b) beneficially owned, directly or indirectly, by a Sanctioned Person; (c) that is due to or from a Sanctioned Person; (d) that is located in a Sanctioned Jurisdiction; or (e) that would otherwise cause any actual or possible violation by the Lenders or Agent of any applicable Anti-Terrorism Law if the Lenders were to obtain an encumbrance on, lien on, pledge of or security interest in such property or provide services in consideration of such property.</w:t>
      </w:r>
    </w:p>
    <w:p>
      <w:pPr>
        <w:spacing w:after="0" w:line="169"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Employee Benefit Plan</w:t>
      </w:r>
      <w:r>
        <w:rPr>
          <w:rFonts w:ascii="Times New Roman" w:cs="Times New Roman" w:eastAsia="Times New Roman" w:hAnsi="Times New Roman"/>
          <w:sz w:val="22"/>
          <w:szCs w:val="22"/>
          <w:color w:val="auto"/>
        </w:rPr>
        <w:t>" shall mean any employee benefit plan within the meaning of Section 3(3) of ERISA that is maintained for employees of any Credit Party or any ERISA Affiliate including any Pension Plan that has at any time within the preceding six (6) years been maintained, funded or administered for the employees of any Credit Party or any current or former ERISA Affiliate.</w:t>
      </w:r>
    </w:p>
    <w:p>
      <w:pPr>
        <w:spacing w:after="0" w:line="162" w:lineRule="exact"/>
        <w:rPr>
          <w:sz w:val="20"/>
          <w:szCs w:val="20"/>
          <w:color w:val="auto"/>
        </w:rPr>
      </w:pPr>
    </w:p>
    <w:p>
      <w:pPr>
        <w:jc w:val="both"/>
        <w:ind w:firstLine="749"/>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Environmental Claim</w:t>
      </w:r>
      <w:r>
        <w:rPr>
          <w:rFonts w:ascii="Times New Roman" w:cs="Times New Roman" w:eastAsia="Times New Roman" w:hAnsi="Times New Roman"/>
          <w:sz w:val="22"/>
          <w:szCs w:val="22"/>
          <w:color w:val="auto"/>
        </w:rPr>
        <w:t>" shall mean any and all administrative, regulatory or judicial actions, suits, written demands, demand letters, written claims, liens, notices of violation, investigations (other than internal reports prepared by any Person in the Ordinary Course of</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72" w:name="page73"/>
    <w:bookmarkEnd w:id="72"/>
    <w:p>
      <w:pPr>
        <w:jc w:val="both"/>
        <w:spacing w:after="0" w:line="265" w:lineRule="auto"/>
        <w:rPr>
          <w:sz w:val="20"/>
          <w:szCs w:val="20"/>
          <w:color w:val="auto"/>
        </w:rPr>
      </w:pPr>
      <w:r>
        <w:rPr>
          <w:rFonts w:ascii="Times New Roman" w:cs="Times New Roman" w:eastAsia="Times New Roman" w:hAnsi="Times New Roman"/>
          <w:sz w:val="22"/>
          <w:szCs w:val="22"/>
          <w:color w:val="auto"/>
        </w:rPr>
        <w:t>Business and not in response to any Governmental Body) or proceedings relating in any way to any actual or alleged violation of or liability under any Environmental Law or relating to any permit issued, under any such Environmental Law, including, without limitation, any and all orders by Governmental Bodies for enforcement, cleanup, removal, response, remedial or other actions, contribution, cost recovery, compensation or injunctive relief resulting from any release of Hazardous Materials giving rise to any alleged injury or threat of injury to human health or the environment.</w:t>
      </w:r>
    </w:p>
    <w:p>
      <w:pPr>
        <w:spacing w:after="0" w:line="169" w:lineRule="exact"/>
        <w:rPr>
          <w:sz w:val="20"/>
          <w:szCs w:val="20"/>
          <w:color w:val="auto"/>
        </w:rPr>
      </w:pPr>
    </w:p>
    <w:p>
      <w:pPr>
        <w:jc w:val="both"/>
        <w:ind w:firstLine="749"/>
        <w:spacing w:after="0" w:line="26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Environmental Laws</w:t>
      </w:r>
      <w:r>
        <w:rPr>
          <w:rFonts w:ascii="Times New Roman" w:cs="Times New Roman" w:eastAsia="Times New Roman" w:hAnsi="Times New Roman"/>
          <w:sz w:val="22"/>
          <w:szCs w:val="22"/>
          <w:color w:val="auto"/>
        </w:rPr>
        <w:t>" shall mean any and all federal, foreign, state, provincial and local laws, statutes, ordinances, codes, rules and regulations, permits, licenses and orders of courts or Governmental Bodies, relating to the protection of human health or the environment, including, but not limited to, those pertaining to the manufacture, processing, distribution, use, treatment, storage, disposal, transportation, handling, reporting, licensing, permitting, investigation or remediation of Hazardous Materials.</w:t>
      </w:r>
    </w:p>
    <w:p>
      <w:pPr>
        <w:spacing w:after="0" w:line="169" w:lineRule="exact"/>
        <w:rPr>
          <w:sz w:val="20"/>
          <w:szCs w:val="20"/>
          <w:color w:val="auto"/>
        </w:rPr>
      </w:pPr>
    </w:p>
    <w:p>
      <w:pPr>
        <w:jc w:val="both"/>
        <w:ind w:firstLine="749"/>
        <w:spacing w:after="0" w:line="29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Equipment</w:t>
      </w:r>
      <w:r>
        <w:rPr>
          <w:rFonts w:ascii="Times New Roman" w:cs="Times New Roman" w:eastAsia="Times New Roman" w:hAnsi="Times New Roman"/>
          <w:sz w:val="22"/>
          <w:szCs w:val="22"/>
          <w:color w:val="auto"/>
        </w:rPr>
        <w:t>" shall mean equipment as defined in the Uniform Commercial Code and includes, without limitation, the Fleet Assets.</w:t>
      </w:r>
    </w:p>
    <w:p>
      <w:pPr>
        <w:spacing w:after="0" w:line="134" w:lineRule="exact"/>
        <w:rPr>
          <w:sz w:val="20"/>
          <w:szCs w:val="20"/>
          <w:color w:val="auto"/>
        </w:rPr>
      </w:pPr>
    </w:p>
    <w:p>
      <w:pPr>
        <w:jc w:val="both"/>
        <w:ind w:firstLine="749"/>
        <w:spacing w:after="0" w:line="27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Equipment Utilization Agreement (Ascot)</w:t>
      </w:r>
      <w:r>
        <w:rPr>
          <w:rFonts w:ascii="Times New Roman" w:cs="Times New Roman" w:eastAsia="Times New Roman" w:hAnsi="Times New Roman"/>
          <w:sz w:val="22"/>
          <w:szCs w:val="22"/>
          <w:color w:val="auto"/>
        </w:rPr>
        <w:t>" shall mean that certain Equipment Utilization Agreement dated as of the Amendment No. 1 Closing Date by and among the Borrowers, Agent, Second Lien Agent, Ascot and the other parties from time to time party thereto, as the same may be amended, restated, supplemented or otherwise modified from time to time.</w:t>
      </w:r>
    </w:p>
    <w:p>
      <w:pPr>
        <w:spacing w:after="0" w:line="200" w:lineRule="exact"/>
        <w:rPr>
          <w:sz w:val="20"/>
          <w:szCs w:val="20"/>
          <w:color w:val="auto"/>
        </w:rPr>
      </w:pPr>
    </w:p>
    <w:p>
      <w:pPr>
        <w:spacing w:after="0" w:line="236" w:lineRule="exact"/>
        <w:rPr>
          <w:sz w:val="20"/>
          <w:szCs w:val="20"/>
          <w:color w:val="auto"/>
        </w:rPr>
      </w:pPr>
    </w:p>
    <w:p>
      <w:pPr>
        <w:jc w:val="both"/>
        <w:ind w:firstLine="749"/>
        <w:spacing w:after="0" w:line="27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Equipment Utilization Agreement (Chubb)</w:t>
      </w:r>
      <w:r>
        <w:rPr>
          <w:rFonts w:ascii="Times New Roman" w:cs="Times New Roman" w:eastAsia="Times New Roman" w:hAnsi="Times New Roman"/>
          <w:sz w:val="22"/>
          <w:szCs w:val="22"/>
          <w:color w:val="auto"/>
        </w:rPr>
        <w:t>" shall mean that certain Equipment Utilization Agreement dated as of the Amendment No. 1 Closing Date by and among the Borrowers, Agent, Second Lien Agent, Chubb and the other parties from time to time party thereto, as the same may be amended, restated, supplemented or otherwise modified from time to time.</w:t>
      </w:r>
    </w:p>
    <w:p>
      <w:pPr>
        <w:spacing w:after="0" w:line="200" w:lineRule="exact"/>
        <w:rPr>
          <w:sz w:val="20"/>
          <w:szCs w:val="20"/>
          <w:color w:val="auto"/>
        </w:rPr>
      </w:pPr>
    </w:p>
    <w:p>
      <w:pPr>
        <w:spacing w:after="0" w:line="236" w:lineRule="exact"/>
        <w:rPr>
          <w:sz w:val="20"/>
          <w:szCs w:val="20"/>
          <w:color w:val="auto"/>
        </w:rPr>
      </w:pPr>
    </w:p>
    <w:p>
      <w:pPr>
        <w:jc w:val="both"/>
        <w:ind w:firstLine="749"/>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Equipment Utilization Agreement (Dual)</w:t>
      </w:r>
      <w:r>
        <w:rPr>
          <w:rFonts w:ascii="Times New Roman" w:cs="Times New Roman" w:eastAsia="Times New Roman" w:hAnsi="Times New Roman"/>
          <w:sz w:val="22"/>
          <w:szCs w:val="22"/>
          <w:color w:val="auto"/>
        </w:rPr>
        <w:t>" shall mean that certain Equipment Utilization Agreement dated as of the Amendment No. 1 Closing Date by and among the Borrowers, Agent, Second Lien Agent, Dual and the other parties from time to time party thereto, as the same may be amended, restated, supplemented or otherwise modified from time to time.</w:t>
      </w:r>
    </w:p>
    <w:p>
      <w:pPr>
        <w:spacing w:after="0" w:line="156" w:lineRule="exact"/>
        <w:rPr>
          <w:sz w:val="20"/>
          <w:szCs w:val="20"/>
          <w:color w:val="auto"/>
        </w:rPr>
      </w:pPr>
    </w:p>
    <w:p>
      <w:pPr>
        <w:jc w:val="both"/>
        <w:ind w:firstLine="749"/>
        <w:spacing w:after="0" w:line="27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Equipment Utilization Agreement (Multi-Surety)</w:t>
      </w:r>
      <w:r>
        <w:rPr>
          <w:rFonts w:ascii="Times New Roman" w:cs="Times New Roman" w:eastAsia="Times New Roman" w:hAnsi="Times New Roman"/>
          <w:sz w:val="22"/>
          <w:szCs w:val="22"/>
          <w:color w:val="auto"/>
        </w:rPr>
        <w:t>" shall mean that certain Equipment Utilization Agreement dated as of the Amendment No. 1 Closing Date by and among the Borrowers, Agent, Second Lien Agent, Liberty and the other parties from time to time party thereto, as the same may be amended, restated, supplemented or otherwise modified from time to time.</w:t>
      </w:r>
    </w:p>
    <w:p>
      <w:pPr>
        <w:spacing w:after="0" w:line="200" w:lineRule="exact"/>
        <w:rPr>
          <w:sz w:val="20"/>
          <w:szCs w:val="20"/>
          <w:color w:val="auto"/>
        </w:rPr>
      </w:pPr>
    </w:p>
    <w:p>
      <w:pPr>
        <w:spacing w:after="0" w:line="236" w:lineRule="exact"/>
        <w:rPr>
          <w:sz w:val="20"/>
          <w:szCs w:val="20"/>
          <w:color w:val="auto"/>
        </w:rPr>
      </w:pPr>
    </w:p>
    <w:p>
      <w:pPr>
        <w:jc w:val="both"/>
        <w:ind w:firstLine="749"/>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Equipment Utilization Agreement (Philly)</w:t>
      </w:r>
      <w:r>
        <w:rPr>
          <w:rFonts w:ascii="Times New Roman" w:cs="Times New Roman" w:eastAsia="Times New Roman" w:hAnsi="Times New Roman"/>
          <w:sz w:val="22"/>
          <w:szCs w:val="22"/>
          <w:color w:val="auto"/>
        </w:rPr>
        <w:t>" shall mean that certain Equipment Utilization Agreement dated as of the Amendment No. 1 Closing Date, by and among the Borrowers, Agent, Second Lien Agent, Philly and the other parties from time to time party</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22"/>
          <w:szCs w:val="22"/>
          <w:color w:val="auto"/>
        </w:rPr>
        <w:t>thereto, as the same may be amended, restated, supplemented or otherwise modified from time to time.</w:t>
      </w:r>
    </w:p>
    <w:p>
      <w:pPr>
        <w:spacing w:after="0" w:line="233" w:lineRule="exact"/>
        <w:rPr>
          <w:sz w:val="20"/>
          <w:szCs w:val="20"/>
          <w:color w:val="auto"/>
        </w:rPr>
      </w:pPr>
    </w:p>
    <w:p>
      <w:pPr>
        <w:jc w:val="both"/>
        <w:ind w:firstLine="749"/>
        <w:spacing w:after="0" w:line="26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Equipment Utilization Agreements</w:t>
      </w:r>
      <w:r>
        <w:rPr>
          <w:rFonts w:ascii="Times New Roman" w:cs="Times New Roman" w:eastAsia="Times New Roman" w:hAnsi="Times New Roman"/>
          <w:sz w:val="22"/>
          <w:szCs w:val="22"/>
          <w:color w:val="auto"/>
        </w:rPr>
        <w:t>" shall mean (i) as of the Amendment No. 1 Closing Date, the Equipment Utilization Agreement (Ascot), the Equipment Utilization Agreement (Chubb), the Equipment Utilization Agreement (Dual), the Equipment Utilization Agreement (Multi-Surety) and the Equipment Utilization Agreement (Philly) and (ii) after the Amendment No. 1 Closing Date, any additional equipment utilization agreement entered into by the Agent, the Second Lien Agent and an Additional Surety Provider.</w:t>
      </w:r>
    </w:p>
    <w:p>
      <w:pPr>
        <w:spacing w:after="0" w:line="169" w:lineRule="exact"/>
        <w:rPr>
          <w:sz w:val="20"/>
          <w:szCs w:val="20"/>
          <w:color w:val="auto"/>
        </w:rPr>
      </w:pPr>
    </w:p>
    <w:p>
      <w:pPr>
        <w:jc w:val="both"/>
        <w:ind w:firstLine="749"/>
        <w:spacing w:after="0" w:line="28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Equipment Utilization Agreement Reserve</w:t>
      </w:r>
      <w:r>
        <w:rPr>
          <w:rFonts w:ascii="Times New Roman" w:cs="Times New Roman" w:eastAsia="Times New Roman" w:hAnsi="Times New Roman"/>
          <w:sz w:val="22"/>
          <w:szCs w:val="22"/>
          <w:color w:val="auto"/>
        </w:rPr>
        <w:t>" shall mean a reserve in the amount of the Applicable Monthly Access Fees (as defined in each Equipment Utilization Agreement) paid to Agent pursuant to the Equipment Utilization Agreements.</w:t>
      </w:r>
    </w:p>
    <w:p>
      <w:pPr>
        <w:spacing w:after="0" w:line="200" w:lineRule="exact"/>
        <w:rPr>
          <w:sz w:val="20"/>
          <w:szCs w:val="20"/>
          <w:color w:val="auto"/>
        </w:rPr>
      </w:pPr>
    </w:p>
    <w:p>
      <w:pPr>
        <w:spacing w:after="0" w:line="221"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Equity Interests</w:t>
      </w:r>
      <w:r>
        <w:rPr>
          <w:rFonts w:ascii="Times New Roman" w:cs="Times New Roman" w:eastAsia="Times New Roman" w:hAnsi="Times New Roman"/>
          <w:sz w:val="22"/>
          <w:szCs w:val="22"/>
          <w:color w:val="auto"/>
        </w:rPr>
        <w:t>" shall mean, with respect to any Person, any and all shares, rights to purchase, options, warrants, general, limited or limited liability partnership interests, member interests, participation or other equivalents of or interest in (regardless of how designated) equity of such Person, whether voting or nonvoting, including common stock, preferred stock, convertible securities or any other "equity security" (as such term is defined in Rule 3a11-1 of the General Rules and Regulations promulgated by the SEC under the Exchange Act), including in each case all of the following rights relating to such Equity Interests, whether arising under the Organizational Documents of the Person issuing such Equity Interests (the "issuer") or under the applicable laws of such issuer's jurisdiction of organization relating to the formation, existence and governance of corporations, limited liability companies or partnerships or business trusts or other legal entities, as the case may be: (i) all economic rights (including all rights to receive dividends and distributions) relating to such Equity Interests;</w:t>
      </w:r>
    </w:p>
    <w:p>
      <w:pPr>
        <w:spacing w:after="0" w:line="7" w:lineRule="exact"/>
        <w:rPr>
          <w:sz w:val="20"/>
          <w:szCs w:val="20"/>
          <w:color w:val="auto"/>
        </w:rPr>
      </w:pPr>
    </w:p>
    <w:p>
      <w:pPr>
        <w:jc w:val="both"/>
        <w:ind w:firstLine="8"/>
        <w:spacing w:after="0" w:line="257" w:lineRule="auto"/>
        <w:tabs>
          <w:tab w:leader="none" w:pos="333"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voting rights and rights to consent to any particular action(s) by the applicable issuer; (iii) all management rights with respect to such issuer; (iv) in the case of any Equity Interests consisting of a general partner interest in a partnership, all powers and rights as a general partner with respect to the management, operations and control of the business and affairs of the applicable issuer; (v) in the case of any Equity Interests consisting of the membership/limited liability company interests of a managing member in a limited liability company, all powers and rights as a managing member with respect to the management, operations and control of the business and affairs of the applicable issuer; (vi) all rights to designate or appoint or vote for or remove any officers, directors, manager(s), general partner(s) or managing member(s) of such issuer and/or any members of any board of members/managers/partners/directors that may at any time have any rights to manage and direct the business and affairs of the applicable issuer under its Organizational Documents as in effect from time to time or under Applicable Law; (vii) all rights to amend the Organizational Documents of such issuer, (viii) in the case of any Equity Interests in a partnership or limited liability company, the status of the holder of such Equity Interests as a "partner", general or limited, or "member" (as applicable) under the applicable Organizational Documents and/or Applicable Law; and (ix) all certificates evidencing such Equity Interests.</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74" w:name="page75"/>
    <w:bookmarkEnd w:id="74"/>
    <w:p>
      <w:pPr>
        <w:jc w:val="both"/>
        <w:ind w:firstLine="749"/>
        <w:spacing w:after="0" w:line="29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ERISA</w:t>
      </w:r>
      <w:r>
        <w:rPr>
          <w:rFonts w:ascii="Times New Roman" w:cs="Times New Roman" w:eastAsia="Times New Roman" w:hAnsi="Times New Roman"/>
          <w:sz w:val="22"/>
          <w:szCs w:val="22"/>
          <w:color w:val="auto"/>
        </w:rPr>
        <w:t>" shall mean the Employee Retirement Income Security Act of 1974 and the rules and regulations thereunder, each as may be amended or supplemented from time to time.</w:t>
      </w:r>
    </w:p>
    <w:p>
      <w:pPr>
        <w:spacing w:after="0" w:line="134" w:lineRule="exact"/>
        <w:rPr>
          <w:sz w:val="20"/>
          <w:szCs w:val="20"/>
          <w:color w:val="auto"/>
        </w:rPr>
      </w:pPr>
    </w:p>
    <w:p>
      <w:pPr>
        <w:jc w:val="both"/>
        <w:ind w:firstLine="749"/>
        <w:spacing w:after="0" w:line="29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ERISA Affiliate</w:t>
      </w:r>
      <w:r>
        <w:rPr>
          <w:rFonts w:ascii="Times New Roman" w:cs="Times New Roman" w:eastAsia="Times New Roman" w:hAnsi="Times New Roman"/>
          <w:sz w:val="22"/>
          <w:szCs w:val="22"/>
          <w:color w:val="auto"/>
        </w:rPr>
        <w:t>" shall mean any Person who together with any Credit Party or any of its Subsidiaries is treated as a single employer within the meaning of Section 414(b), (c), (m) or (o) of the Code or Section 4001(b) of ERISA.</w:t>
      </w:r>
    </w:p>
    <w:p>
      <w:pPr>
        <w:spacing w:after="0" w:line="13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Event of Default</w:t>
      </w:r>
      <w:r>
        <w:rPr>
          <w:rFonts w:ascii="Times New Roman" w:cs="Times New Roman" w:eastAsia="Times New Roman" w:hAnsi="Times New Roman"/>
          <w:sz w:val="22"/>
          <w:szCs w:val="22"/>
          <w:color w:val="auto"/>
        </w:rPr>
        <w:t>" shall have the meaning set forth in Article X hereof.</w:t>
      </w:r>
    </w:p>
    <w:p>
      <w:pPr>
        <w:spacing w:after="0" w:line="23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Exchange Act</w:t>
      </w:r>
      <w:r>
        <w:rPr>
          <w:rFonts w:ascii="Times New Roman" w:cs="Times New Roman" w:eastAsia="Times New Roman" w:hAnsi="Times New Roman"/>
          <w:sz w:val="22"/>
          <w:szCs w:val="22"/>
          <w:color w:val="auto"/>
        </w:rPr>
        <w:t>" shall mean the Securities Exchange Act of 1934, as amended.</w:t>
      </w:r>
    </w:p>
    <w:p>
      <w:pPr>
        <w:spacing w:after="0" w:line="233"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Excluded Deposit Account</w:t>
      </w:r>
      <w:r>
        <w:rPr>
          <w:rFonts w:ascii="Times New Roman" w:cs="Times New Roman" w:eastAsia="Times New Roman" w:hAnsi="Times New Roman"/>
          <w:sz w:val="22"/>
          <w:szCs w:val="22"/>
          <w:color w:val="auto"/>
        </w:rPr>
        <w:t>" shall mean a deposit account of the Credit Parties that is (i) a payroll account, (ii) a withholding tax or fiduciary account, (iii) deposit account No. 86661-01364 of GLDD LLC maintained at Bank of America, N.A. so long as such account is used only as a disbursement account, (iv) a deposit account located outside of the United States to the extent the aggregate balance in all such accounts does not exceed $15,000,000 for more than five (5) consecutive Business Days (or such longer time as extended in Agent's sole discretion for valid business purposes disclosed to the Agent) and such accounts are used only to fund projects in the Ordinary Course of Business, and (v) any other domestic account to the extent the aggregate balance in all such accounts does not exceed $2,000,000 at any time.</w:t>
      </w:r>
    </w:p>
    <w:p>
      <w:pPr>
        <w:spacing w:after="0" w:line="173" w:lineRule="exact"/>
        <w:rPr>
          <w:sz w:val="20"/>
          <w:szCs w:val="20"/>
          <w:color w:val="auto"/>
        </w:rPr>
      </w:pPr>
    </w:p>
    <w:p>
      <w:pPr>
        <w:jc w:val="both"/>
        <w:ind w:firstLine="749"/>
        <w:spacing w:after="0" w:line="26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Excluded Equity Issuance</w:t>
      </w:r>
      <w:r>
        <w:rPr>
          <w:rFonts w:ascii="Times New Roman" w:cs="Times New Roman" w:eastAsia="Times New Roman" w:hAnsi="Times New Roman"/>
          <w:sz w:val="22"/>
          <w:szCs w:val="22"/>
          <w:color w:val="auto"/>
        </w:rPr>
        <w:t>" shall mean (a) in the event that GLDD or any of its Subsidiaries forms any Subsidiary in accordance with this Agreement, the issuance by such Subsidiary of Equity Interests to GLDD or such Subsidiary, as applicable, (b) the issuance of Equity Interests by GLDD in order to finance the purchase consideration (or a portion thereof) in connection with a Permitted Acquisition (including the issuance of Equity Interests by GLDD to the seller in a Permitted Acquisition) or to finance any Capital Expenditures to the extent permitted under this Agreement or as consideration for any Permitted Investment, (c) the issuance of Equity Interests by GLDD (i) pursuant to the exercise of options or warrants, (ii) pursuant to the conversion of any debt securities to equity or the conversion of any class of equity securities to any other class of equity securities, (iii) issued, sold or granted in lieu of paying management fees or consulting fees in cash, or (iv) to any member of management, officer, independent director or employee of any Credit Party, (d) the issuance of any director's qualifying shares, and (e) the issuance of Equity Interests that is a Permitted Restricted Payment.</w:t>
      </w:r>
    </w:p>
    <w:p>
      <w:pPr>
        <w:spacing w:after="0" w:line="175"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Excluded Hedge Liability or Liabilities</w:t>
      </w:r>
      <w:r>
        <w:rPr>
          <w:rFonts w:ascii="Times New Roman" w:cs="Times New Roman" w:eastAsia="Times New Roman" w:hAnsi="Times New Roman"/>
          <w:sz w:val="22"/>
          <w:szCs w:val="22"/>
          <w:color w:val="auto"/>
        </w:rPr>
        <w:t>" shall mean, with respect to each Borrower and Guarantor, each of its Swap Obligations if, and only to the extent that, all or any portion of this Agreement or any Other Document that relates to such Swap Obligation is or becomes illegal under the CEA, or any rule, regulation or order of the CFTC, solely by virtue of such Borrower's and/or Guarantor's failure to qualify as an Eligible Contract Participant on the Eligibility Date for such Swap. Notwithstanding anything to the contrary contained in the foregoing or in any other provision of this Agreement or any Other Document, the foregoing is subject to the following provisos: (a) if a Swap Obligation arises under a master agreement governing more than one Swap, this definition shall apply only to the portion of such Swap Obligation that is attributable to Swaps for which such guaranty or security interest is or</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75" w:name="page76"/>
    <w:bookmarkEnd w:id="75"/>
    <w:p>
      <w:pPr>
        <w:jc w:val="both"/>
        <w:spacing w:after="0" w:line="267" w:lineRule="auto"/>
        <w:rPr>
          <w:sz w:val="20"/>
          <w:szCs w:val="20"/>
          <w:color w:val="auto"/>
        </w:rPr>
      </w:pPr>
      <w:r>
        <w:rPr>
          <w:rFonts w:ascii="Times New Roman" w:cs="Times New Roman" w:eastAsia="Times New Roman" w:hAnsi="Times New Roman"/>
          <w:sz w:val="22"/>
          <w:szCs w:val="22"/>
          <w:color w:val="auto"/>
        </w:rPr>
        <w:t>becomes illegal under the CEA, or any rule, regulations or order of the CFTC, solely as a result of the failure by such Borrower or Guarantor for any reason to qualify as an Eligible Contract Participant on the Eligibility Date for such Swap;</w:t>
      </w:r>
    </w:p>
    <w:p>
      <w:pPr>
        <w:spacing w:after="0" w:line="2" w:lineRule="exact"/>
        <w:rPr>
          <w:sz w:val="20"/>
          <w:szCs w:val="20"/>
          <w:color w:val="auto"/>
        </w:rPr>
      </w:pPr>
    </w:p>
    <w:p>
      <w:pPr>
        <w:jc w:val="both"/>
        <w:ind w:firstLine="8"/>
        <w:spacing w:after="0" w:line="258" w:lineRule="auto"/>
        <w:tabs>
          <w:tab w:leader="none" w:pos="335"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 guarantee of a Swap Obligation would cause such obligation to be an Excluded Hedge Liability but the grant of a security interest would not cause such obligation to be an Excluded Hedge Liability, such Swap Obligation shall constitute an Excluded Hedge Liability for purposes of the guaranty but not for purposes of the grant of the security interest; and (c) if there is more than one Borrower or Guarantor executing this Agreement or the Other Documents and a Swap Obligation would be an Excluded Hedge Liability with respect to one or more of such Persons, but not all of them, the definition of Excluded Hedge Liability or Liabilities with respect to each such Person shall only be deemed applicable to (i) the particular Swap Obligations that constitute Excluded Hedge Liabilities with respect to such Person, and (ii) the particular Person with respect to which such Swap Obligations constitute Excluded Hedge Liabilities.</w:t>
      </w:r>
    </w:p>
    <w:p>
      <w:pPr>
        <w:spacing w:after="0" w:line="176" w:lineRule="exact"/>
        <w:rPr>
          <w:sz w:val="20"/>
          <w:szCs w:val="20"/>
          <w:color w:val="auto"/>
        </w:rPr>
      </w:pPr>
    </w:p>
    <w:p>
      <w:pPr>
        <w:jc w:val="both"/>
        <w:ind w:firstLine="749"/>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Excluded Property</w:t>
      </w:r>
      <w:r>
        <w:rPr>
          <w:rFonts w:ascii="Times New Roman" w:cs="Times New Roman" w:eastAsia="Times New Roman" w:hAnsi="Times New Roman"/>
          <w:sz w:val="22"/>
          <w:szCs w:val="22"/>
          <w:color w:val="auto"/>
        </w:rPr>
        <w:t>" shall mean (i) (x) Equity Interests of any Person that is not a Subsidiary, (y) Equity Interests in any Strategic Joint Venture owned by a Credit Party, in each case, to the extent the pledge thereof is prohibited by applicable organizational documents or (z) solely to the extent and in the amount of such that the pledge of Equity Interests would cause material adverse tax consequences to the Credit Parties, Equity Interests of any Foreign Subsidiary; (ii) any rights or interest in any General Intangible, contract, lease, permit, license, or license agreement of any Credit Party, if under the terms of such General Intangible, contract, lease, permit, license, or license agreement, or applicable law with respect thereto, the grant of a security interest or lien therein is prohibited as a matter of law or under the terms of such General Intangible, contract, lease, permit, license, or license agreement (or the grant of a security interest or lien therein would invalidate such General Intangible, contract, lease, permit, license, or license agreement or breach, default or create a right of termination in favor of any other party thereto) and such prohibition or restriction has not been waived or the consent of the other party to such General Intangible, contract, lease, permit, license, or license agreement has not been obtained (provided, that, (A) the foregoing exclusions of this paragraph shall in no way be construed (1) to apply to the extent that any described prohibition or restriction is ineffective under Section 9-406, 9-407, 9-408, or 9-409 of the Uniform Commercial Code or other applicable law, or (2) to apply to the extent that any consent or waiver has been obtained that would permit Agent's security interest or lien to attach notwithstanding the prohibition or restriction on the pledge of such General Intangible, contract, lease, permit, license, or license agreement, and (B) the foregoing exclusions of this subclause</w:t>
      </w:r>
    </w:p>
    <w:p>
      <w:pPr>
        <w:spacing w:after="0" w:line="10" w:lineRule="exact"/>
        <w:rPr>
          <w:sz w:val="20"/>
          <w:szCs w:val="20"/>
          <w:color w:val="auto"/>
        </w:rPr>
      </w:pPr>
    </w:p>
    <w:p>
      <w:pPr>
        <w:jc w:val="both"/>
        <w:ind w:firstLine="8"/>
        <w:spacing w:after="0" w:line="258" w:lineRule="auto"/>
        <w:tabs>
          <w:tab w:leader="none" w:pos="335"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shall in no way be construed to limit, impair, or otherwise affect any of Agent's continuing security interests in and liens upon any rights or interests of any Credit Party in or to (1) Receivables or monies due or to become due under or in connection with any described General Intangible, contract, lease, permit, license, license agreement, or (2) any proceeds from the sale, license, lease, or other dispositions of any such General Intangible, contract, lease, permit, license, license agreement (including any Equity Interests)); (iii) any United States intent-to-use trademark applications for which an amendment to allege use or a statement of use has not been filed and accepted by the Patent and Trademark Office, to the extent that, and solely during the period in which, the grant of a security interest therein would impair the validity or enforceability of such intent-to-use trademark applications under</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76" w:name="page77"/>
    <w:bookmarkEnd w:id="76"/>
    <w:p>
      <w:pPr>
        <w:jc w:val="both"/>
        <w:spacing w:after="0" w:line="259" w:lineRule="auto"/>
        <w:rPr>
          <w:sz w:val="20"/>
          <w:szCs w:val="20"/>
          <w:color w:val="auto"/>
        </w:rPr>
      </w:pPr>
      <w:r>
        <w:rPr>
          <w:rFonts w:ascii="Times New Roman" w:cs="Times New Roman" w:eastAsia="Times New Roman" w:hAnsi="Times New Roman"/>
          <w:sz w:val="22"/>
          <w:szCs w:val="22"/>
          <w:color w:val="auto"/>
        </w:rPr>
        <w:t>applicable federal law, provided that upon submission and acceptance by the Patent and Trademark Office of an amendment to allege use or a statement of use pursuant to 15 U.S.C. Section 1051(c) or (d) (or any successor provision), such intent-to-use trademark application shall be considered Collateral; (iv) any Equipment of a Credit Party that is subject to a perfected Lien that constitutes a Permitted Encumbrance under clause (g) of the definition of "Permitted Encumbrance" if and for so long as the grant of a security interest therein to Agent in such Equipment shall constitute or result in a breach or termination pursuant to the terms of, or a default under, the agreement entered into in connection with such Permitted Encumbrance on such Equipment, provided however that such security interest shall attach immediately at such time as the term restricting the attachment of a security interest in such Equipment is no longer operative or the attachment of a security interest in such Equipment would not constitute or result in a breach or termination pursuant to the terms of, or a default under, such agreement; (v) any Excluded Deposit Account; (vi) Fleet Assets flagged outside of the United States or another Approved Flag Jurisdiction; (vii) Real Property; (viii) [</w:t>
      </w:r>
      <w:r>
        <w:rPr>
          <w:rFonts w:ascii="Times New Roman" w:cs="Times New Roman" w:eastAsia="Times New Roman" w:hAnsi="Times New Roman"/>
          <w:sz w:val="22"/>
          <w:szCs w:val="22"/>
          <w:i w:val="1"/>
          <w:iCs w:val="1"/>
          <w:color w:val="auto"/>
        </w:rPr>
        <w:t>Intentionally Omitted</w:t>
      </w:r>
      <w:r>
        <w:rPr>
          <w:rFonts w:ascii="Times New Roman" w:cs="Times New Roman" w:eastAsia="Times New Roman" w:hAnsi="Times New Roman"/>
          <w:sz w:val="22"/>
          <w:szCs w:val="22"/>
          <w:color w:val="auto"/>
        </w:rPr>
        <w:t>]; (ix) any motor vehicles or other equipment (other than Fleet Assets) subject to certificates of title; (x) any assets or property of any Strategic Joint Venture; or (xi) assets of any immaterial Foreign Subsidiary as agreed by the Borrowers and Agent.</w:t>
      </w:r>
    </w:p>
    <w:p>
      <w:pPr>
        <w:spacing w:after="0" w:line="177" w:lineRule="exact"/>
        <w:rPr>
          <w:sz w:val="20"/>
          <w:szCs w:val="20"/>
          <w:color w:val="auto"/>
        </w:rPr>
      </w:pPr>
    </w:p>
    <w:p>
      <w:pPr>
        <w:jc w:val="both"/>
        <w:ind w:firstLine="749"/>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Excluded Taxes</w:t>
      </w:r>
      <w:r>
        <w:rPr>
          <w:rFonts w:ascii="Times New Roman" w:cs="Times New Roman" w:eastAsia="Times New Roman" w:hAnsi="Times New Roman"/>
          <w:sz w:val="22"/>
          <w:szCs w:val="22"/>
          <w:color w:val="auto"/>
        </w:rPr>
        <w:t>" shall mean, with respect to Agent, any Lender, Participant, Swing Loan Lender, Issuer or any other recipient of any payment to be made by or on account of any Obligations, (a) taxes imposed on or measured by its overall net income (however denominated), and franchise taxes imposed on it (in lieu of net income taxes), by the jurisdiction (or any political subdivision thereof) under the laws of which such recipient is organized or in which its principal office or applicable lending office is located or, in the case of any Lender, Participant, Swing Loan Lender or Issuer, in which its applicable lending office is located or that are Other Connection Taxes, (b) any branch profits taxes imposed by the United States of America or any similar tax imposed by any other jurisdiction in which any Borrower is located, (c) in the case of a Foreign Lender, any U.S. federal withholding tax that is imposed on amounts payable to such Foreign Lender at the time such Foreign Lender becomes a party hereto (or designates a new lending office other than a designation change made at the request of any Credit Party) or is attributable to such Foreign Lender's failure or inability (other than as a result of a Change in Law) to comply with Section 3.10(e), except to the extent that such Foreign Lender or Participant (or its assignor or seller of a participation, if any) was entitled, at the time of designation of a new lending office (or assignment or sale of a participation), to receive additional amounts from Borrowers with respect to such withholding tax pursuant to Section 3.10(a), or (d) any U.S. federal withholding Taxes imposed under FATCA.</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Existing Letters of Credit</w:t>
      </w:r>
      <w:r>
        <w:rPr>
          <w:rFonts w:ascii="Times New Roman" w:cs="Times New Roman" w:eastAsia="Times New Roman" w:hAnsi="Times New Roman"/>
          <w:sz w:val="22"/>
          <w:szCs w:val="22"/>
          <w:color w:val="auto"/>
        </w:rPr>
        <w:t>" shall mean the letters of credit listed on Schedule 2.11.</w:t>
      </w:r>
    </w:p>
    <w:p>
      <w:pPr>
        <w:spacing w:after="0" w:line="233"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Extraordinary Receipts</w:t>
      </w:r>
      <w:r>
        <w:rPr>
          <w:rFonts w:ascii="Times New Roman" w:cs="Times New Roman" w:eastAsia="Times New Roman" w:hAnsi="Times New Roman"/>
          <w:sz w:val="22"/>
          <w:szCs w:val="22"/>
          <w:color w:val="auto"/>
        </w:rPr>
        <w:t>" shall mean any cash received by GLDD or any of its Subsidiaries consisting of (a) foreign, United States, state or local tax refunds, (b) pension plan reversions, (c) judgments, proceeds of settlements or other consideration of any kind in connection with any cause of action, (d) indemnity payments (other than to the extent such indemnity payments are (i) immediately payable to a Person that is not an Affiliate of GLDD</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77" w:name="page78"/>
    <w:bookmarkEnd w:id="77"/>
    <w:p>
      <w:pPr>
        <w:jc w:val="both"/>
        <w:spacing w:after="0" w:line="262" w:lineRule="auto"/>
        <w:rPr>
          <w:sz w:val="20"/>
          <w:szCs w:val="20"/>
          <w:color w:val="auto"/>
        </w:rPr>
      </w:pPr>
      <w:r>
        <w:rPr>
          <w:rFonts w:ascii="Times New Roman" w:cs="Times New Roman" w:eastAsia="Times New Roman" w:hAnsi="Times New Roman"/>
          <w:sz w:val="22"/>
          <w:szCs w:val="22"/>
          <w:color w:val="auto"/>
        </w:rPr>
        <w:t xml:space="preserve">or any of its Subsidiaries or (ii) received by GLDD or any of its Subsidiaries as reimbursement for any costs previously incurred or any payment previously made by such Person) and (e) any purchase price adjustment received in connection with any purchase agreement, other than any working capital adjustment in connection with any Permitted Acquisition. For the avoidance of doubt, the payment expected to be received from Equinor in connection with the termination of the Empire Wind II contract (estimated as of the Amendment No. 1 Closing Date to be approximately $8,250,000) shall not constitute an "Extraordinary Receipt" hereunder;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Borrower has given notice of such payment and the amount thereof to Agent promptly upon receipt thereof by the Borrower or any of its Subsidiaries.</w:t>
      </w:r>
    </w:p>
    <w:p>
      <w:pPr>
        <w:spacing w:after="0" w:line="1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Facility Fee</w:t>
      </w:r>
      <w:r>
        <w:rPr>
          <w:rFonts w:ascii="Times New Roman" w:cs="Times New Roman" w:eastAsia="Times New Roman" w:hAnsi="Times New Roman"/>
          <w:sz w:val="22"/>
          <w:szCs w:val="22"/>
          <w:color w:val="auto"/>
        </w:rPr>
        <w:t>" shall have the meaning set forth in Section 3.3 hereof.</w:t>
      </w:r>
    </w:p>
    <w:p>
      <w:pPr>
        <w:spacing w:after="0" w:line="233" w:lineRule="exact"/>
        <w:rPr>
          <w:sz w:val="20"/>
          <w:szCs w:val="20"/>
          <w:color w:val="auto"/>
        </w:rPr>
      </w:pPr>
    </w:p>
    <w:p>
      <w:pPr>
        <w:jc w:val="both"/>
        <w:ind w:firstLine="749"/>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FATCA</w:t>
      </w:r>
      <w:r>
        <w:rPr>
          <w:rFonts w:ascii="Times New Roman" w:cs="Times New Roman" w:eastAsia="Times New Roman" w:hAnsi="Times New Roman"/>
          <w:sz w:val="22"/>
          <w:szCs w:val="22"/>
          <w:color w:val="auto"/>
        </w:rPr>
        <w:t>" shall mean Sections 1471 through 1474 of the Code, as of the date of this Agreement (or any amended or successor version that is substantively comparable and not materially more onerous to comply with) and any current or future regulations thereunder or official interpretations thereof and any agreement entered into pursuant to Section 1471(b)</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 of the Code.</w:t>
      </w:r>
    </w:p>
    <w:p>
      <w:pPr>
        <w:spacing w:after="0" w:line="20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Federal Funds Effective Rate</w:t>
      </w:r>
      <w:r>
        <w:rPr>
          <w:rFonts w:ascii="Times New Roman" w:cs="Times New Roman" w:eastAsia="Times New Roman" w:hAnsi="Times New Roman"/>
          <w:sz w:val="22"/>
          <w:szCs w:val="22"/>
          <w:color w:val="auto"/>
        </w:rPr>
        <w:t>" shall mean for any day the rate per annum (based on a year of three hundred sixty</w:t>
      </w:r>
    </w:p>
    <w:p>
      <w:pPr>
        <w:spacing w:after="0" w:line="41" w:lineRule="exact"/>
        <w:rPr>
          <w:sz w:val="20"/>
          <w:szCs w:val="20"/>
          <w:color w:val="auto"/>
        </w:rPr>
      </w:pPr>
    </w:p>
    <w:p>
      <w:pPr>
        <w:jc w:val="both"/>
        <w:ind w:firstLine="8"/>
        <w:spacing w:after="0" w:line="258" w:lineRule="auto"/>
        <w:tabs>
          <w:tab w:leader="none" w:pos="544"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days and actual days elapsed and rounded upward to the nearest 1/100 of 1%) announced by the Federal Reserve Bank of New York (or any successor) on such day as being the weighted average of the rates on overnight federal funds transactions on the previous trading day, as computed and announced by such Federal Reserve Bank (or any successor) in substantially the same manner as such Federal Reserve Bank computes and announces the weighted average it refers to as the "Federal Funds Effective Rate" as of the date of this Agreement;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if such Federal Reserve Bank (or its successor) does not announce such rate on any day, the "Federal Funds Effective Rate" for such day shall be the Federal Funds Effective Rate for the last day on which such rate was announced. Notwithstanding the foregoing, if the Federal Funds Effective Rate as determined under the method above would be less than zero (0.00), such rate shall be deemed to be zero (0.00) for purposes of this Agreement.</w:t>
      </w:r>
    </w:p>
    <w:p>
      <w:pPr>
        <w:spacing w:after="0" w:line="200" w:lineRule="exact"/>
        <w:rPr>
          <w:sz w:val="20"/>
          <w:szCs w:val="20"/>
          <w:color w:val="auto"/>
        </w:rPr>
      </w:pPr>
    </w:p>
    <w:p>
      <w:pPr>
        <w:spacing w:after="0" w:line="246" w:lineRule="exact"/>
        <w:rPr>
          <w:sz w:val="20"/>
          <w:szCs w:val="20"/>
          <w:color w:val="auto"/>
        </w:rPr>
      </w:pPr>
    </w:p>
    <w:p>
      <w:pPr>
        <w:jc w:val="both"/>
        <w:ind w:firstLine="749"/>
        <w:spacing w:after="0" w:line="29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Fee Letter</w:t>
      </w:r>
      <w:r>
        <w:rPr>
          <w:rFonts w:ascii="Times New Roman" w:cs="Times New Roman" w:eastAsia="Times New Roman" w:hAnsi="Times New Roman"/>
          <w:sz w:val="22"/>
          <w:szCs w:val="22"/>
          <w:color w:val="auto"/>
        </w:rPr>
        <w:t>" shall mean the second amended and restated fee letter dated the Closing Date among Borrowers and PNC, as supplemented or amended from time to time.</w:t>
      </w:r>
    </w:p>
    <w:p>
      <w:pPr>
        <w:spacing w:after="0" w:line="13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First Restatement Closing Date</w:t>
      </w:r>
      <w:r>
        <w:rPr>
          <w:rFonts w:ascii="Times New Roman" w:cs="Times New Roman" w:eastAsia="Times New Roman" w:hAnsi="Times New Roman"/>
          <w:sz w:val="22"/>
          <w:szCs w:val="22"/>
          <w:color w:val="auto"/>
        </w:rPr>
        <w:t>" shall mean May 3, 2019.</w:t>
      </w:r>
    </w:p>
    <w:p>
      <w:pPr>
        <w:spacing w:after="0" w:line="233" w:lineRule="exact"/>
        <w:rPr>
          <w:sz w:val="20"/>
          <w:szCs w:val="20"/>
          <w:color w:val="auto"/>
        </w:rPr>
      </w:pPr>
    </w:p>
    <w:p>
      <w:pPr>
        <w:jc w:val="both"/>
        <w:ind w:firstLine="749"/>
        <w:spacing w:after="0" w:line="26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First Restatement Credit Agreement</w:t>
      </w:r>
      <w:r>
        <w:rPr>
          <w:rFonts w:ascii="Times New Roman" w:cs="Times New Roman" w:eastAsia="Times New Roman" w:hAnsi="Times New Roman"/>
          <w:sz w:val="22"/>
          <w:szCs w:val="22"/>
          <w:color w:val="auto"/>
        </w:rPr>
        <w:t>" shall mean that certain Amended and Restated Revolving Credit and Security Agreement dated as of the First Restatement Closing Date by and among Agent, the Joint Lead Arrangers and Joint Bookrunners party thereto, the Syndication Agent party thereto, the Documentation Agent party thereto, the Borrowers party thereto, the other Credit Parties party thereto and First Restatement Lenders, as the same has been amended, supplemented or otherwise modified prior to the Closing Date.</w:t>
      </w:r>
    </w:p>
    <w:p>
      <w:pPr>
        <w:spacing w:after="0" w:line="16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First Restatement Lenders</w:t>
      </w:r>
      <w:r>
        <w:rPr>
          <w:rFonts w:ascii="Times New Roman" w:cs="Times New Roman" w:eastAsia="Times New Roman" w:hAnsi="Times New Roman"/>
          <w:sz w:val="22"/>
          <w:szCs w:val="22"/>
          <w:color w:val="auto"/>
        </w:rPr>
        <w:t>" shall mean the "Lenders" party to the First Restatement Credit Agreement.</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78" w:name="page79"/>
    <w:bookmarkEnd w:id="78"/>
    <w:p>
      <w:pPr>
        <w:jc w:val="both"/>
        <w:ind w:firstLine="749"/>
        <w:spacing w:after="0" w:line="29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First Restatement Obligations</w:t>
      </w:r>
      <w:r>
        <w:rPr>
          <w:rFonts w:ascii="Times New Roman" w:cs="Times New Roman" w:eastAsia="Times New Roman" w:hAnsi="Times New Roman"/>
          <w:sz w:val="22"/>
          <w:szCs w:val="22"/>
          <w:color w:val="auto"/>
        </w:rPr>
        <w:t>" shall mean the "Obligations" under and as defined in the First Restatement Credit Agreement.</w:t>
      </w:r>
    </w:p>
    <w:p>
      <w:pPr>
        <w:spacing w:after="0" w:line="134"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Fixed Charge Coverage Ratio</w:t>
      </w:r>
      <w:r>
        <w:rPr>
          <w:rFonts w:ascii="Times New Roman" w:cs="Times New Roman" w:eastAsia="Times New Roman" w:hAnsi="Times New Roman"/>
          <w:sz w:val="22"/>
          <w:szCs w:val="22"/>
          <w:color w:val="auto"/>
        </w:rPr>
        <w:t xml:space="preserve">" shall mean, with respect to GLDD on a Consolidated Basis for any fiscal period, the ratio of (a) EBITDA for such fiscal period, </w:t>
      </w:r>
      <w:r>
        <w:rPr>
          <w:rFonts w:ascii="Times New Roman" w:cs="Times New Roman" w:eastAsia="Times New Roman" w:hAnsi="Times New Roman"/>
          <w:sz w:val="22"/>
          <w:szCs w:val="22"/>
          <w:u w:val="single" w:color="auto"/>
          <w:color w:val="auto"/>
        </w:rPr>
        <w:t>minus</w:t>
      </w:r>
      <w:r>
        <w:rPr>
          <w:rFonts w:ascii="Times New Roman" w:cs="Times New Roman" w:eastAsia="Times New Roman" w:hAnsi="Times New Roman"/>
          <w:sz w:val="22"/>
          <w:szCs w:val="22"/>
          <w:color w:val="auto"/>
        </w:rPr>
        <w:t xml:space="preserve"> Unfinanced Capital Expenditures made during such period, </w:t>
      </w:r>
      <w:r>
        <w:rPr>
          <w:rFonts w:ascii="Times New Roman" w:cs="Times New Roman" w:eastAsia="Times New Roman" w:hAnsi="Times New Roman"/>
          <w:sz w:val="22"/>
          <w:szCs w:val="22"/>
          <w:u w:val="single" w:color="auto"/>
          <w:color w:val="auto"/>
        </w:rPr>
        <w:t>minus</w:t>
      </w:r>
      <w:r>
        <w:rPr>
          <w:rFonts w:ascii="Times New Roman" w:cs="Times New Roman" w:eastAsia="Times New Roman" w:hAnsi="Times New Roman"/>
          <w:sz w:val="22"/>
          <w:szCs w:val="22"/>
          <w:color w:val="auto"/>
        </w:rPr>
        <w:t xml:space="preserve"> cash federal, state, local and foreign income and franchise taxes paid during such period, to (b) the sum of all Debt Payments made during such period plus all Restricted Payments of a Credit Party paid in cash during such period.</w:t>
      </w:r>
    </w:p>
    <w:p>
      <w:pPr>
        <w:spacing w:after="0" w:line="162" w:lineRule="exact"/>
        <w:rPr>
          <w:sz w:val="20"/>
          <w:szCs w:val="20"/>
          <w:color w:val="auto"/>
        </w:rPr>
      </w:pPr>
    </w:p>
    <w:p>
      <w:pPr>
        <w:jc w:val="both"/>
        <w:ind w:firstLine="749"/>
        <w:spacing w:after="0" w:line="29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Fleet Assets</w:t>
      </w:r>
      <w:r>
        <w:rPr>
          <w:rFonts w:ascii="Times New Roman" w:cs="Times New Roman" w:eastAsia="Times New Roman" w:hAnsi="Times New Roman"/>
          <w:sz w:val="22"/>
          <w:szCs w:val="22"/>
          <w:color w:val="auto"/>
        </w:rPr>
        <w:t>" shall mean the vessels owned by the Credit Parties, including dredges, scows, barges, tugs and miscellaneous watercraft.</w:t>
      </w:r>
    </w:p>
    <w:p>
      <w:pPr>
        <w:spacing w:after="0" w:line="134" w:lineRule="exact"/>
        <w:rPr>
          <w:sz w:val="20"/>
          <w:szCs w:val="20"/>
          <w:color w:val="auto"/>
        </w:rPr>
      </w:pPr>
    </w:p>
    <w:p>
      <w:pPr>
        <w:jc w:val="both"/>
        <w:ind w:firstLine="749"/>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Fleet Assets Advance Rate (Domestic)</w:t>
      </w:r>
      <w:r>
        <w:rPr>
          <w:rFonts w:ascii="Times New Roman" w:cs="Times New Roman" w:eastAsia="Times New Roman" w:hAnsi="Times New Roman"/>
          <w:sz w:val="22"/>
          <w:szCs w:val="22"/>
          <w:color w:val="auto"/>
        </w:rPr>
        <w:t xml:space="preserve">" shall mean, as of the Closing Date, eighty-five percent (85%), subject to a scheduled quarterly reduction equal to one-quarter of one percentage point (0.25%) on October 1, 2022 and on the first (1st) day of each calendar quarter thereafter;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the Fleet Assets Advance Rate (Domestic) shall be reset to be eighty-five percent (85%) as of the first (1st) day of each calendar quarter following delivery of an Acceptable Appraisal of Eligible Fleet Assets, with such reset advance rate subject to a scheduled quarterly reduction equal to one-quarter of one percentage point (0.25%) on the first (1st) day of each calendar quarter thereafter.</w:t>
      </w:r>
    </w:p>
    <w:p>
      <w:pPr>
        <w:spacing w:after="0" w:line="166" w:lineRule="exact"/>
        <w:rPr>
          <w:sz w:val="20"/>
          <w:szCs w:val="20"/>
          <w:color w:val="auto"/>
        </w:rPr>
      </w:pPr>
    </w:p>
    <w:p>
      <w:pPr>
        <w:jc w:val="both"/>
        <w:ind w:firstLine="749"/>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Fleet Assets Advance Rate (Foreign)</w:t>
      </w:r>
      <w:r>
        <w:rPr>
          <w:rFonts w:ascii="Times New Roman" w:cs="Times New Roman" w:eastAsia="Times New Roman" w:hAnsi="Times New Roman"/>
          <w:sz w:val="22"/>
          <w:szCs w:val="22"/>
          <w:color w:val="auto"/>
        </w:rPr>
        <w:t xml:space="preserve">" shall mean, as of the Closing Date, seventy percent (70%), subject to a scheduled quarterly reduction equal to one-quarter of one percentage point (0.25%) on October 1, 2022 and on the first (1st) day of each calendar quarter thereafter;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the Fleet Assets Advance Rate (Foreign) shall be reset to be seventy percent (70%) as of the first (1st) day of each calendar quarter following delivery of an Acceptable Appraisal of Eligible Fleet Assets, with such reset advance rate subject to a scheduled quarterly reduction equal to one-quarter of one percentage point (0.25%) on the first (1st) day of each calendar quarter thereafter.</w:t>
      </w:r>
    </w:p>
    <w:p>
      <w:pPr>
        <w:spacing w:after="0" w:line="166" w:lineRule="exact"/>
        <w:rPr>
          <w:sz w:val="20"/>
          <w:szCs w:val="20"/>
          <w:color w:val="auto"/>
        </w:rPr>
      </w:pPr>
    </w:p>
    <w:p>
      <w:pPr>
        <w:jc w:val="both"/>
        <w:ind w:firstLine="749"/>
        <w:spacing w:after="0" w:line="29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Fleet Assets Advance Rate</w:t>
      </w:r>
      <w:r>
        <w:rPr>
          <w:rFonts w:ascii="Times New Roman" w:cs="Times New Roman" w:eastAsia="Times New Roman" w:hAnsi="Times New Roman"/>
          <w:sz w:val="22"/>
          <w:szCs w:val="22"/>
          <w:color w:val="auto"/>
        </w:rPr>
        <w:t>" shall mean, individually or collectively as required by the context, the Fleet Assets Advance Rate (Domestic) and the Fleet Assets Advance Rate (Foreign).</w:t>
      </w:r>
    </w:p>
    <w:p>
      <w:pPr>
        <w:spacing w:after="0" w:line="134" w:lineRule="exact"/>
        <w:rPr>
          <w:sz w:val="20"/>
          <w:szCs w:val="20"/>
          <w:color w:val="auto"/>
        </w:rPr>
      </w:pPr>
    </w:p>
    <w:p>
      <w:pPr>
        <w:jc w:val="both"/>
        <w:ind w:firstLine="749"/>
        <w:spacing w:after="0" w:line="28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Flood Laws</w:t>
      </w:r>
      <w:r>
        <w:rPr>
          <w:rFonts w:ascii="Times New Roman" w:cs="Times New Roman" w:eastAsia="Times New Roman" w:hAnsi="Times New Roman"/>
          <w:sz w:val="22"/>
          <w:szCs w:val="22"/>
          <w:color w:val="auto"/>
        </w:rPr>
        <w:t>" shall mean all Applicable Laws relating to policies and procedures that address requirements placed on federally regulated lenders under the National Flood Insurance Reform Act of 1994 and other Applicable Laws related thereto.</w:t>
      </w:r>
    </w:p>
    <w:p>
      <w:pPr>
        <w:spacing w:after="0" w:line="200" w:lineRule="exact"/>
        <w:rPr>
          <w:sz w:val="20"/>
          <w:szCs w:val="20"/>
          <w:color w:val="auto"/>
        </w:rPr>
      </w:pPr>
    </w:p>
    <w:p>
      <w:pPr>
        <w:spacing w:after="0" w:line="221" w:lineRule="exact"/>
        <w:rPr>
          <w:sz w:val="20"/>
          <w:szCs w:val="20"/>
          <w:color w:val="auto"/>
        </w:rPr>
      </w:pPr>
    </w:p>
    <w:p>
      <w:pPr>
        <w:jc w:val="both"/>
        <w:ind w:firstLine="749"/>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Foreign Currency/Commodity Hedge</w:t>
      </w:r>
      <w:r>
        <w:rPr>
          <w:rFonts w:ascii="Times New Roman" w:cs="Times New Roman" w:eastAsia="Times New Roman" w:hAnsi="Times New Roman"/>
          <w:sz w:val="22"/>
          <w:szCs w:val="22"/>
          <w:color w:val="auto"/>
        </w:rPr>
        <w:t>" shall mean (i) any foreign exchange transaction, including spot and forward foreign currency purchases and sales, listed or over-the-counter options on foreign currencies, non-deliverable forwards and options, foreign currency swap agreements or currency exchange rate price hedging arrangements, and any other similar transaction providing for the purchase of one currency in exchange for the sale of another currency entered into by any Borrower, Guarantor and/or any of their respective Subsidiaries, and (ii) any swap, forward or derivative transaction in respect of commodities</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79" w:name="page80"/>
    <w:bookmarkEnd w:id="79"/>
    <w:p>
      <w:pPr>
        <w:jc w:val="both"/>
        <w:spacing w:after="0" w:line="295" w:lineRule="auto"/>
        <w:rPr>
          <w:sz w:val="20"/>
          <w:szCs w:val="20"/>
          <w:color w:val="auto"/>
        </w:rPr>
      </w:pPr>
      <w:r>
        <w:rPr>
          <w:rFonts w:ascii="Times New Roman" w:cs="Times New Roman" w:eastAsia="Times New Roman" w:hAnsi="Times New Roman"/>
          <w:sz w:val="22"/>
          <w:szCs w:val="22"/>
          <w:color w:val="auto"/>
        </w:rPr>
        <w:t>and any arrangement or other similar transaction hedging commodities that is entered into by any Borrower, Guarantor and/or any of their respective Subsidiaries.</w:t>
      </w:r>
    </w:p>
    <w:p>
      <w:pPr>
        <w:spacing w:after="0" w:line="134" w:lineRule="exact"/>
        <w:rPr>
          <w:sz w:val="20"/>
          <w:szCs w:val="20"/>
          <w:color w:val="auto"/>
        </w:rPr>
      </w:pPr>
    </w:p>
    <w:p>
      <w:pPr>
        <w:jc w:val="both"/>
        <w:ind w:firstLine="749"/>
        <w:spacing w:after="0" w:line="29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Foreign Currency/Commodity Hedge Liabilities</w:t>
      </w:r>
      <w:r>
        <w:rPr>
          <w:rFonts w:ascii="Times New Roman" w:cs="Times New Roman" w:eastAsia="Times New Roman" w:hAnsi="Times New Roman"/>
          <w:sz w:val="22"/>
          <w:szCs w:val="22"/>
          <w:color w:val="auto"/>
        </w:rPr>
        <w:t>" shall have the meaning assigned in the definition of Lender-Provided Foreign Currency/Commodity Hedge.</w:t>
      </w:r>
    </w:p>
    <w:p>
      <w:pPr>
        <w:spacing w:after="0" w:line="13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Foreign Fleet Asset Maximum Amount</w:t>
      </w:r>
      <w:r>
        <w:rPr>
          <w:rFonts w:ascii="Times New Roman" w:cs="Times New Roman" w:eastAsia="Times New Roman" w:hAnsi="Times New Roman"/>
          <w:sz w:val="22"/>
          <w:szCs w:val="22"/>
          <w:color w:val="auto"/>
        </w:rPr>
        <w:t>" shall mean $30,000,000.</w:t>
      </w:r>
    </w:p>
    <w:p>
      <w:pPr>
        <w:spacing w:after="0" w:line="233" w:lineRule="exact"/>
        <w:rPr>
          <w:sz w:val="20"/>
          <w:szCs w:val="20"/>
          <w:color w:val="auto"/>
        </w:rPr>
      </w:pPr>
    </w:p>
    <w:p>
      <w:pPr>
        <w:jc w:val="both"/>
        <w:ind w:firstLine="749"/>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Foreign Lender</w:t>
      </w:r>
      <w:r>
        <w:rPr>
          <w:rFonts w:ascii="Times New Roman" w:cs="Times New Roman" w:eastAsia="Times New Roman" w:hAnsi="Times New Roman"/>
          <w:sz w:val="22"/>
          <w:szCs w:val="22"/>
          <w:color w:val="auto"/>
        </w:rPr>
        <w:t>" shall mean any Lender that is organized under the laws of a jurisdiction other than that in which Borrowers are resident for tax purposes. For purposes of this definition, the United States of America, each State thereof and the District of Columbia shall be deemed to constitute a single jurisdiction.</w:t>
      </w:r>
    </w:p>
    <w:p>
      <w:pPr>
        <w:spacing w:after="0" w:line="156" w:lineRule="exact"/>
        <w:rPr>
          <w:sz w:val="20"/>
          <w:szCs w:val="20"/>
          <w:color w:val="auto"/>
        </w:rPr>
      </w:pPr>
    </w:p>
    <w:p>
      <w:pPr>
        <w:jc w:val="both"/>
        <w:ind w:firstLine="749"/>
        <w:spacing w:after="0" w:line="29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Foreign Subsidiary</w:t>
      </w:r>
      <w:r>
        <w:rPr>
          <w:rFonts w:ascii="Times New Roman" w:cs="Times New Roman" w:eastAsia="Times New Roman" w:hAnsi="Times New Roman"/>
          <w:sz w:val="22"/>
          <w:szCs w:val="22"/>
          <w:color w:val="auto"/>
        </w:rPr>
        <w:t>" shall mean any Subsidiary of any Person that is not organized or incorporated in the United States, any State or territory thereof or the District of Columbia.</w:t>
      </w:r>
    </w:p>
    <w:p>
      <w:pPr>
        <w:spacing w:after="0" w:line="13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Formula Amount</w:t>
      </w:r>
      <w:r>
        <w:rPr>
          <w:rFonts w:ascii="Times New Roman" w:cs="Times New Roman" w:eastAsia="Times New Roman" w:hAnsi="Times New Roman"/>
          <w:sz w:val="22"/>
          <w:szCs w:val="22"/>
          <w:color w:val="auto"/>
        </w:rPr>
        <w:t>" shall have the meaning set forth in Section 2.1(a) hereof.</w:t>
      </w:r>
    </w:p>
    <w:p>
      <w:pPr>
        <w:spacing w:after="0" w:line="23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GAAP</w:t>
      </w:r>
      <w:r>
        <w:rPr>
          <w:rFonts w:ascii="Times New Roman" w:cs="Times New Roman" w:eastAsia="Times New Roman" w:hAnsi="Times New Roman"/>
          <w:sz w:val="22"/>
          <w:szCs w:val="22"/>
          <w:color w:val="auto"/>
        </w:rPr>
        <w:t>" shall mean generally accepted accounting principles in the United States of America in effect from time to</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time.</w:t>
      </w:r>
    </w:p>
    <w:p>
      <w:pPr>
        <w:spacing w:after="0" w:line="209" w:lineRule="exact"/>
        <w:rPr>
          <w:sz w:val="20"/>
          <w:szCs w:val="20"/>
          <w:color w:val="auto"/>
        </w:rPr>
      </w:pPr>
    </w:p>
    <w:p>
      <w:pPr>
        <w:jc w:val="both"/>
        <w:ind w:right="20" w:firstLine="749"/>
        <w:spacing w:after="0" w:line="29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GLDD on a Consolidated Basis</w:t>
      </w:r>
      <w:r>
        <w:rPr>
          <w:rFonts w:ascii="Times New Roman" w:cs="Times New Roman" w:eastAsia="Times New Roman" w:hAnsi="Times New Roman"/>
          <w:sz w:val="22"/>
          <w:szCs w:val="22"/>
          <w:color w:val="auto"/>
        </w:rPr>
        <w:t>" shall mean the consolidation in accordance with GAAP of the accounts or other items of GLDD and its Subsidiaries.</w:t>
      </w:r>
    </w:p>
    <w:p>
      <w:pPr>
        <w:spacing w:after="0" w:line="13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GLP</w:t>
      </w:r>
      <w:r>
        <w:rPr>
          <w:rFonts w:ascii="Times New Roman" w:cs="Times New Roman" w:eastAsia="Times New Roman" w:hAnsi="Times New Roman"/>
          <w:sz w:val="22"/>
          <w:szCs w:val="22"/>
          <w:color w:val="auto"/>
        </w:rPr>
        <w:t>" shall have the meaning specified in Section 2.21(a).</w:t>
      </w:r>
    </w:p>
    <w:p>
      <w:pPr>
        <w:spacing w:after="0" w:line="233" w:lineRule="exact"/>
        <w:rPr>
          <w:sz w:val="20"/>
          <w:szCs w:val="20"/>
          <w:color w:val="auto"/>
        </w:rPr>
      </w:pPr>
    </w:p>
    <w:p>
      <w:pPr>
        <w:jc w:val="both"/>
        <w:ind w:firstLine="749"/>
        <w:spacing w:after="0" w:line="29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Governmental Acts</w:t>
      </w:r>
      <w:r>
        <w:rPr>
          <w:rFonts w:ascii="Times New Roman" w:cs="Times New Roman" w:eastAsia="Times New Roman" w:hAnsi="Times New Roman"/>
          <w:sz w:val="22"/>
          <w:szCs w:val="22"/>
          <w:color w:val="auto"/>
        </w:rPr>
        <w:t>" shall mean any act or omission, whether rightful or wrongful, of any present or future de jure or de facto Governmental Body.</w:t>
      </w:r>
    </w:p>
    <w:p>
      <w:pPr>
        <w:spacing w:after="0" w:line="134" w:lineRule="exact"/>
        <w:rPr>
          <w:sz w:val="20"/>
          <w:szCs w:val="20"/>
          <w:color w:val="auto"/>
        </w:rPr>
      </w:pPr>
    </w:p>
    <w:p>
      <w:pPr>
        <w:jc w:val="both"/>
        <w:ind w:firstLine="749"/>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Governmental Body</w:t>
      </w:r>
      <w:r>
        <w:rPr>
          <w:rFonts w:ascii="Times New Roman" w:cs="Times New Roman" w:eastAsia="Times New Roman" w:hAnsi="Times New Roman"/>
          <w:sz w:val="22"/>
          <w:szCs w:val="22"/>
          <w:color w:val="auto"/>
        </w:rPr>
        <w:t>" shall mean any nation or government, any state or other political subdivision thereof or any entity, authority, agency, division or department exercising the executive, legislative, judicial, taxing, regulatory or administrative powers or functions of or pertaining to a government (including any supra-national bodies such as the European Union or the European Central Bank) and any group or body charged with setting financial accounting or regulatory capital rules or standards (including, without limitation, the Financial Accounting Standards Board, the Bank for International Settlements or the Basel Committee on Banking Supervision or any successor or similar authority to any of the foregoing).</w:t>
      </w:r>
    </w:p>
    <w:p>
      <w:pPr>
        <w:spacing w:after="0" w:line="200" w:lineRule="exact"/>
        <w:rPr>
          <w:sz w:val="20"/>
          <w:szCs w:val="20"/>
          <w:color w:val="auto"/>
        </w:rPr>
      </w:pPr>
    </w:p>
    <w:p>
      <w:pPr>
        <w:spacing w:after="0" w:line="243" w:lineRule="exact"/>
        <w:rPr>
          <w:sz w:val="20"/>
          <w:szCs w:val="20"/>
          <w:color w:val="auto"/>
        </w:rPr>
      </w:pPr>
    </w:p>
    <w:p>
      <w:pPr>
        <w:jc w:val="both"/>
        <w:ind w:firstLine="749"/>
        <w:spacing w:after="0" w:line="29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Green Loan Advance</w:t>
      </w:r>
      <w:r>
        <w:rPr>
          <w:rFonts w:ascii="Times New Roman" w:cs="Times New Roman" w:eastAsia="Times New Roman" w:hAnsi="Times New Roman"/>
          <w:sz w:val="22"/>
          <w:szCs w:val="22"/>
          <w:color w:val="auto"/>
        </w:rPr>
        <w:t>" shall mean a Revolving Advance that is used, or the proceeds of which are used, solely for the purposes set forth in Section 2.21(a).</w:t>
      </w:r>
    </w:p>
    <w:p>
      <w:pPr>
        <w:spacing w:after="0" w:line="13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Green Loan Coordinator</w:t>
      </w:r>
      <w:r>
        <w:rPr>
          <w:rFonts w:ascii="Times New Roman" w:cs="Times New Roman" w:eastAsia="Times New Roman" w:hAnsi="Times New Roman"/>
          <w:sz w:val="22"/>
          <w:szCs w:val="22"/>
          <w:color w:val="auto"/>
        </w:rPr>
        <w:t>" shall mean PNC Bank, National Association, in its capacity as green loan coordinator.</w:t>
      </w:r>
    </w:p>
    <w:p>
      <w:pPr>
        <w:spacing w:after="0" w:line="233" w:lineRule="exact"/>
        <w:rPr>
          <w:sz w:val="20"/>
          <w:szCs w:val="20"/>
          <w:color w:val="auto"/>
        </w:rPr>
      </w:pPr>
    </w:p>
    <w:p>
      <w:pPr>
        <w:jc w:val="both"/>
        <w:ind w:firstLine="749"/>
        <w:spacing w:after="0" w:line="29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Green Loan Sublimit</w:t>
      </w:r>
      <w:r>
        <w:rPr>
          <w:rFonts w:ascii="Times New Roman" w:cs="Times New Roman" w:eastAsia="Times New Roman" w:hAnsi="Times New Roman"/>
          <w:sz w:val="22"/>
          <w:szCs w:val="22"/>
          <w:color w:val="auto"/>
        </w:rPr>
        <w:t>" shall mean the Lenders commitment to make Green Loan Advances to Borrowers pursuant to Section 2.1(a) hereof in an aggregate principal amount up</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22"/>
          <w:szCs w:val="22"/>
          <w:color w:val="auto"/>
        </w:rPr>
        <w:t>to $35,000,000. The Green Loan Sublimit is part of, and not in addition to, the aggregate Revolving Commitments.</w:t>
      </w:r>
    </w:p>
    <w:p>
      <w:pPr>
        <w:spacing w:after="0" w:line="23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Gross Amount</w:t>
      </w:r>
      <w:r>
        <w:rPr>
          <w:rFonts w:ascii="Times New Roman" w:cs="Times New Roman" w:eastAsia="Times New Roman" w:hAnsi="Times New Roman"/>
          <w:sz w:val="22"/>
          <w:szCs w:val="22"/>
          <w:color w:val="auto"/>
        </w:rPr>
        <w:t>" shall have the meaning set forth in Section 2.1(a) hereof.</w:t>
      </w:r>
    </w:p>
    <w:p>
      <w:pPr>
        <w:spacing w:after="0" w:line="233"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Guarantor</w:t>
      </w:r>
      <w:r>
        <w:rPr>
          <w:rFonts w:ascii="Times New Roman" w:cs="Times New Roman" w:eastAsia="Times New Roman" w:hAnsi="Times New Roman"/>
          <w:sz w:val="22"/>
          <w:szCs w:val="22"/>
          <w:color w:val="auto"/>
        </w:rPr>
        <w:t>" shall mean any Person who may hereafter guarantee payment or performance of the whole or any part of the Obligations and "Guarantors" means collectively all such Persons. For the avoidance of doubt, no Strategic Joint Venture, Foreign Subsidiary or Immaterial Subsidiary shall be required to be a Guarantor for purposes of this Agreement and the Other Documents.</w:t>
      </w:r>
    </w:p>
    <w:p>
      <w:pPr>
        <w:spacing w:after="0" w:line="162" w:lineRule="exact"/>
        <w:rPr>
          <w:sz w:val="20"/>
          <w:szCs w:val="20"/>
          <w:color w:val="auto"/>
        </w:rPr>
      </w:pPr>
    </w:p>
    <w:p>
      <w:pPr>
        <w:jc w:val="both"/>
        <w:ind w:firstLine="749"/>
        <w:spacing w:after="0" w:line="29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Guaranty</w:t>
      </w:r>
      <w:r>
        <w:rPr>
          <w:rFonts w:ascii="Times New Roman" w:cs="Times New Roman" w:eastAsia="Times New Roman" w:hAnsi="Times New Roman"/>
          <w:sz w:val="22"/>
          <w:szCs w:val="22"/>
          <w:color w:val="auto"/>
        </w:rPr>
        <w:t>" shall mean any guaranty of the Obligations executed by a Guarantor in favor of Agent for its benefit and for the ratable benefit of Lenders, in form and substance satisfactory to Agent.</w:t>
      </w:r>
    </w:p>
    <w:p>
      <w:pPr>
        <w:spacing w:after="0" w:line="134" w:lineRule="exact"/>
        <w:rPr>
          <w:sz w:val="20"/>
          <w:szCs w:val="20"/>
          <w:color w:val="auto"/>
        </w:rPr>
      </w:pPr>
    </w:p>
    <w:p>
      <w:pPr>
        <w:jc w:val="both"/>
        <w:ind w:firstLine="749"/>
        <w:spacing w:after="0" w:line="26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Guaranty Obligation</w:t>
      </w:r>
      <w:r>
        <w:rPr>
          <w:rFonts w:ascii="Times New Roman" w:cs="Times New Roman" w:eastAsia="Times New Roman" w:hAnsi="Times New Roman"/>
          <w:sz w:val="22"/>
          <w:szCs w:val="22"/>
          <w:color w:val="auto"/>
        </w:rPr>
        <w:t>" shall mean, with respect to GLDD and its Subsidiaries, without duplication, any obligation, contingent or otherwise, of any such Person pursuant to which such Person has directly or indirectly guaranteed any Indebtedness or other obligation of any other Person and, without limiting the generality of the foregoing, any obligation, direct or indirect, contingent or otherwise, of any such Person (a) to purchase or pay (or advance or supply funds for the purchase or payment of) such Indebtedness or other obligation (whether arising by virtue of partnership arrangements, by agreement to keep well, to purchase assets, goods, securities or services, to take-or-pay, or to maintain financial statement condition or otherwise) or (b) entered into for the purpose of assuring in any other manner the obligee of such Indebtedness or other obligation of the payment thereof or to protect such obligee against loss in respect thereof (in whole or in part); provided, that the term Guaranty Obligation shall not include endorsements for collection or deposit in the Ordinary Course of Business.</w:t>
      </w:r>
    </w:p>
    <w:p>
      <w:pPr>
        <w:spacing w:after="0" w:line="200" w:lineRule="exact"/>
        <w:rPr>
          <w:sz w:val="20"/>
          <w:szCs w:val="20"/>
          <w:color w:val="auto"/>
        </w:rPr>
      </w:pPr>
    </w:p>
    <w:p>
      <w:pPr>
        <w:spacing w:after="0" w:line="249" w:lineRule="exact"/>
        <w:rPr>
          <w:sz w:val="20"/>
          <w:szCs w:val="20"/>
          <w:color w:val="auto"/>
        </w:rPr>
      </w:pPr>
    </w:p>
    <w:p>
      <w:pPr>
        <w:jc w:val="both"/>
        <w:ind w:firstLine="749"/>
        <w:spacing w:after="0" w:line="26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Hazardous Materials</w:t>
      </w:r>
      <w:r>
        <w:rPr>
          <w:rFonts w:ascii="Times New Roman" w:cs="Times New Roman" w:eastAsia="Times New Roman" w:hAnsi="Times New Roman"/>
          <w:sz w:val="22"/>
          <w:szCs w:val="22"/>
          <w:color w:val="auto"/>
        </w:rPr>
        <w:t>" shall mean any substances or materials (a) which are or become defined and regulated as hazardous wastes, hazardous substances, pollutants, contaminants, chemical substances or mixtures, or by words of similar import and having similar regulatory effect, in each case, under any Environmental Law, (b) which are toxic, explosive, corrosive, flammable, radioactive, carcinogenic, mutagenic or otherwise harmful to the environment and are or become regulated by any Governmental Body, (c) the presence of which requires investigation or remediation under any Environmental Law, (d) the discharge or emission or release of which requires a permit under any Environmental Law, or</w:t>
      </w:r>
    </w:p>
    <w:p>
      <w:pPr>
        <w:ind w:firstLine="8"/>
        <w:spacing w:after="0" w:line="272" w:lineRule="auto"/>
        <w:tabs>
          <w:tab w:leader="none" w:pos="363"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which are or contain asbestos, polychlorinated biphenyls, urea formaldehyde, petroleum hydrocarbons, petroleum derived substances or waste, crude oil, natural gas or synthetic gas.</w:t>
      </w:r>
    </w:p>
    <w:p>
      <w:pPr>
        <w:spacing w:after="0" w:line="158" w:lineRule="exact"/>
        <w:rPr>
          <w:sz w:val="20"/>
          <w:szCs w:val="20"/>
          <w:color w:val="auto"/>
        </w:rPr>
      </w:pPr>
    </w:p>
    <w:p>
      <w:pPr>
        <w:ind w:right="20" w:firstLine="749"/>
        <w:spacing w:after="0" w:line="29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Hedge Liabilities</w:t>
      </w:r>
      <w:r>
        <w:rPr>
          <w:rFonts w:ascii="Times New Roman" w:cs="Times New Roman" w:eastAsia="Times New Roman" w:hAnsi="Times New Roman"/>
          <w:sz w:val="22"/>
          <w:szCs w:val="22"/>
          <w:color w:val="auto"/>
        </w:rPr>
        <w:t>" shall mean collectively, the Foreign Currency/Commodity Hedge Liabilities and the Interest Rate Hedge Liabilities.</w:t>
      </w:r>
    </w:p>
    <w:p>
      <w:pPr>
        <w:spacing w:after="0" w:line="134" w:lineRule="exact"/>
        <w:rPr>
          <w:sz w:val="20"/>
          <w:szCs w:val="20"/>
          <w:color w:val="auto"/>
        </w:rPr>
      </w:pPr>
    </w:p>
    <w:p>
      <w:pPr>
        <w:ind w:firstLine="749"/>
        <w:spacing w:after="0" w:line="29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Immaterial Subsidiary</w:t>
      </w:r>
      <w:r>
        <w:rPr>
          <w:rFonts w:ascii="Times New Roman" w:cs="Times New Roman" w:eastAsia="Times New Roman" w:hAnsi="Times New Roman"/>
          <w:sz w:val="22"/>
          <w:szCs w:val="22"/>
          <w:color w:val="auto"/>
        </w:rPr>
        <w:t>" shall mean each of Terra Contracting Services, LLC, a Delaware limited liability company, and Terra Fluid Management, LLC, a Delaware limited liability company.</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81" w:name="page82"/>
    <w:bookmarkEnd w:id="81"/>
    <w:p>
      <w:pPr>
        <w:jc w:val="both"/>
        <w:ind w:firstLine="749"/>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Indebtedness</w:t>
      </w:r>
      <w:r>
        <w:rPr>
          <w:rFonts w:ascii="Times New Roman" w:cs="Times New Roman" w:eastAsia="Times New Roman" w:hAnsi="Times New Roman"/>
          <w:sz w:val="22"/>
          <w:szCs w:val="22"/>
          <w:color w:val="auto"/>
        </w:rPr>
        <w:t>" shall mean, as to any Person at any time, any and all indebtedness, obligations or liabilities (whether matured or unmatured, liquidated or unliquidated, direct or indirect, absolute or contingent, or joint or several) of such Person for or in respect of: (a) borrowed money; (b) amounts received under or liabilities in respect of any note purchase or acceptance credit facility, and all obligations of such Person evidenced by bonds, debentures, notes or other similar instruments; (c) all Capitalized Lease Obligations; (d) reimbursement obligations (contingent or otherwise) under any letter of credit agreement, banker's acceptance agreement or similar arrangement; (e) obligations under any Interest Rate Hedge, Foreign Currency/Commodity Hedge, or other interest rate management device, foreign currency exchange agreement, currency swap agreement, commodity price protection agreement or other interest or currency exchange rate or commodity price hedging arrangement; (f) any other advances of credit made to or on behalf of such Person or other transaction (including forward sale or purchase agreements, capitalized leases and conditional sales agreements) having the commercial effect of a borrowing of money entered into by such Person to finance its operations or capital requirements including to finance the purchase price of property or services and all obligations of such Person to pay the deferred purchase price of property or services (but not including trade payables and accrued expenses incurred in the Ordinary Course of Business which are not represented by a promissory note or other evidence of indebtedness); (g) all Equity Interests of such Person subject to mandatory repurchase or redemption rights or obligations (excluding repurchases or redemptions at the sole option of such Person); (h) all indebtedness, obligations or liabilities constituting Indebtedness of a third party secured by a Lien on any asset of such Person, whether or not such indebtedness, obligations or liabilities are otherwise an obligation of such Person; (i) all obligations of such Person for "earn outs", purchase price adjustments, profit sharing arrangements, deferred purchase money amounts and similar payment obligations or continuing obligations of any nature of such Person arising out of purchase and sale contracts; (j) Bonding Obligations; (k) obligations arising under bonus, deferred compensation, incentive compensation or similar arrangements, other than those arising in the Ordinary Course of Business; and (l) any guaranty of any indebtedness, obligations or liabilities of a type described in the foregoing clauses (a) through (k).</w:t>
      </w:r>
    </w:p>
    <w:p>
      <w:pPr>
        <w:spacing w:after="0" w:line="200" w:lineRule="exact"/>
        <w:rPr>
          <w:sz w:val="20"/>
          <w:szCs w:val="20"/>
          <w:color w:val="auto"/>
        </w:rPr>
      </w:pPr>
    </w:p>
    <w:p>
      <w:pPr>
        <w:spacing w:after="0" w:line="266" w:lineRule="exact"/>
        <w:rPr>
          <w:sz w:val="20"/>
          <w:szCs w:val="20"/>
          <w:color w:val="auto"/>
        </w:rPr>
      </w:pPr>
    </w:p>
    <w:p>
      <w:pPr>
        <w:jc w:val="both"/>
        <w:ind w:firstLine="749"/>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Indemnified Taxes</w:t>
      </w:r>
      <w:r>
        <w:rPr>
          <w:rFonts w:ascii="Times New Roman" w:cs="Times New Roman" w:eastAsia="Times New Roman" w:hAnsi="Times New Roman"/>
          <w:sz w:val="22"/>
          <w:szCs w:val="22"/>
          <w:color w:val="auto"/>
        </w:rPr>
        <w:t>" shall mean (a) Taxes, other than Excluded Taxes, imposed on or with respect to any payment made by, or on account of, any obligation of a Credit Party under this Agreement or Other Document and (b) to the extent not otherwise described in (a), Other Taxes.</w:t>
      </w:r>
    </w:p>
    <w:p>
      <w:pPr>
        <w:spacing w:after="0" w:line="15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Ineligible Location</w:t>
      </w:r>
      <w:r>
        <w:rPr>
          <w:rFonts w:ascii="Times New Roman" w:cs="Times New Roman" w:eastAsia="Times New Roman" w:hAnsi="Times New Roman"/>
          <w:sz w:val="22"/>
          <w:szCs w:val="22"/>
          <w:color w:val="auto"/>
        </w:rPr>
        <w:t>" shall have the meaning assigned thereto in the definition of Approved Operating Jurisdiction.</w:t>
      </w:r>
    </w:p>
    <w:p>
      <w:pPr>
        <w:spacing w:after="0" w:line="233" w:lineRule="exact"/>
        <w:rPr>
          <w:sz w:val="20"/>
          <w:szCs w:val="20"/>
          <w:color w:val="auto"/>
        </w:rPr>
      </w:pPr>
    </w:p>
    <w:p>
      <w:pPr>
        <w:jc w:val="both"/>
        <w:ind w:firstLine="749"/>
        <w:spacing w:after="0" w:line="29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Ineligible Security</w:t>
      </w:r>
      <w:r>
        <w:rPr>
          <w:rFonts w:ascii="Times New Roman" w:cs="Times New Roman" w:eastAsia="Times New Roman" w:hAnsi="Times New Roman"/>
          <w:sz w:val="22"/>
          <w:szCs w:val="22"/>
          <w:color w:val="auto"/>
        </w:rPr>
        <w:t>" shall mean any security which may not be underwritten or dealt in by member banks of the Federal Reserve System under Section 16 of the Banking Act of 1933 (12 U.S.C. Section 24, Seventh), as amended.</w:t>
      </w:r>
    </w:p>
    <w:p>
      <w:pPr>
        <w:spacing w:after="0" w:line="134" w:lineRule="exact"/>
        <w:rPr>
          <w:sz w:val="20"/>
          <w:szCs w:val="20"/>
          <w:color w:val="auto"/>
        </w:rPr>
      </w:pPr>
    </w:p>
    <w:p>
      <w:pPr>
        <w:jc w:val="both"/>
        <w:ind w:firstLine="749"/>
        <w:spacing w:after="0" w:line="29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Insolvency Event</w:t>
      </w:r>
      <w:r>
        <w:rPr>
          <w:rFonts w:ascii="Times New Roman" w:cs="Times New Roman" w:eastAsia="Times New Roman" w:hAnsi="Times New Roman"/>
          <w:sz w:val="22"/>
          <w:szCs w:val="22"/>
          <w:color w:val="auto"/>
        </w:rPr>
        <w:t>" shall mean, with respect to any Person, including without limitation any Lender, such Person or such Person's direct or indirect parent company (a) becomes the</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82" w:name="page83"/>
    <w:bookmarkEnd w:id="82"/>
    <w:p>
      <w:pPr>
        <w:jc w:val="both"/>
        <w:spacing w:after="0" w:line="259" w:lineRule="auto"/>
        <w:rPr>
          <w:sz w:val="20"/>
          <w:szCs w:val="20"/>
          <w:color w:val="auto"/>
        </w:rPr>
      </w:pPr>
      <w:r>
        <w:rPr>
          <w:rFonts w:ascii="Times New Roman" w:cs="Times New Roman" w:eastAsia="Times New Roman" w:hAnsi="Times New Roman"/>
          <w:sz w:val="22"/>
          <w:szCs w:val="22"/>
          <w:color w:val="auto"/>
        </w:rPr>
        <w:t>subject of a bankruptcy or insolvency proceeding (including any proceeding under the Bankruptcy Code), or regulatory restrictions, (b) has had a receiver, conservator, trustee, administrator, custodian, assignee for the benefit of creditors or similar Person charged with the reorganization or liquidation of its business appointed for it or has called a meeting of its creditors, (c) admits in writing its inability, or be generally unable, to pay its debts as they become due or cease operations of its present business, (d) with respect to a Lender, such Lender is unable to perform hereunder due to the application of Applicable Law, or (e) in the good faith determination of Agent, has taken any action in furtherance of, or indicating its consent to, approval of, or acquiescence in, any such proceeding or appointment of a type described in clauses (a) or (b), provided that an Insolvency Event shall not result solely by virtue of any ownership interest, or the acquisition of any ownership interest, in such Person or such Person's direct or indirect parent company by a Governmental Body or instrumentality thereof if, and only if, such ownership interest does not result in or provide such Person with immunity from the jurisdiction of courts within the United States or from the enforcement of judgments or writs of attachment on its assets or permit such Person (or such Governmental Body or instrumentality) to reject, repudiate, disavow or disaffirm any contracts or agreements made by such Person.</w:t>
      </w:r>
    </w:p>
    <w:p>
      <w:pPr>
        <w:spacing w:after="0" w:line="200" w:lineRule="exact"/>
        <w:rPr>
          <w:sz w:val="20"/>
          <w:szCs w:val="20"/>
          <w:color w:val="auto"/>
        </w:rPr>
      </w:pPr>
    </w:p>
    <w:p>
      <w:pPr>
        <w:spacing w:after="0" w:line="250"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Intellectual Property</w:t>
      </w:r>
      <w:r>
        <w:rPr>
          <w:rFonts w:ascii="Times New Roman" w:cs="Times New Roman" w:eastAsia="Times New Roman" w:hAnsi="Times New Roman"/>
          <w:sz w:val="22"/>
          <w:szCs w:val="22"/>
          <w:color w:val="auto"/>
        </w:rPr>
        <w:t>" shall mean property constituting of a patent, copyright, trademark, service mark, trade name, mask work, trade secrets, design right, assumed name or license or other right to use any of the foregoing under Applicable Law, including any registrations, applications, continuations, continuations-in-part, divisions, substitutions, reissuances, reexaminations, renewals, revisions, renewals, extensions, and foreign counterparts with respect to any of the foregoing.</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Intentional Overadvances</w:t>
      </w:r>
      <w:r>
        <w:rPr>
          <w:rFonts w:ascii="Times New Roman" w:cs="Times New Roman" w:eastAsia="Times New Roman" w:hAnsi="Times New Roman"/>
          <w:sz w:val="22"/>
          <w:szCs w:val="22"/>
          <w:color w:val="auto"/>
        </w:rPr>
        <w:t>" shall have the meaning set forth in Section 16.2(e) hereof.</w:t>
      </w:r>
    </w:p>
    <w:p>
      <w:pPr>
        <w:spacing w:after="0" w:line="233" w:lineRule="exact"/>
        <w:rPr>
          <w:sz w:val="20"/>
          <w:szCs w:val="20"/>
          <w:color w:val="auto"/>
        </w:rPr>
      </w:pPr>
    </w:p>
    <w:p>
      <w:pPr>
        <w:jc w:val="both"/>
        <w:ind w:firstLine="749"/>
        <w:spacing w:after="0" w:line="29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Intercompany Subordination Agreement</w:t>
      </w:r>
      <w:r>
        <w:rPr>
          <w:rFonts w:ascii="Times New Roman" w:cs="Times New Roman" w:eastAsia="Times New Roman" w:hAnsi="Times New Roman"/>
          <w:sz w:val="22"/>
          <w:szCs w:val="22"/>
          <w:color w:val="auto"/>
        </w:rPr>
        <w:t>" shall mean the Intercompany Subordination Agreement dated as of the Original Closing Date among Credit Parties, certain Affiliates of Credit Parties and Agent.</w:t>
      </w:r>
    </w:p>
    <w:p>
      <w:pPr>
        <w:spacing w:after="0" w:line="134" w:lineRule="exact"/>
        <w:rPr>
          <w:sz w:val="20"/>
          <w:szCs w:val="20"/>
          <w:color w:val="auto"/>
        </w:rPr>
      </w:pPr>
    </w:p>
    <w:p>
      <w:pPr>
        <w:jc w:val="both"/>
        <w:ind w:firstLine="749"/>
        <w:spacing w:after="0" w:line="26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Intercreditor Agreement(s)</w:t>
      </w:r>
      <w:r>
        <w:rPr>
          <w:rFonts w:ascii="Times New Roman" w:cs="Times New Roman" w:eastAsia="Times New Roman" w:hAnsi="Times New Roman"/>
          <w:sz w:val="22"/>
          <w:szCs w:val="22"/>
          <w:color w:val="auto"/>
        </w:rPr>
        <w:t>" shall mean (i) as of the Amendment No. 1 Closing Date, the Intercreditor Agreement (Ascot), the Intercreditor Agreement (Chubb), the Intercreditor Agreement (Dual), the Intercreditor Agreement (Liberty), the Intercreditor Agreement (Philly), and the Intercreditor Agreement (Second Lien) and (ii) after the Amendment No. 1 Closing Date, any other similar intercreditor agreement entered into between the applicable Credit Party, a counterparty to a Bonding Agreement, Agent and the Second Lien Agent.</w:t>
      </w:r>
    </w:p>
    <w:p>
      <w:pPr>
        <w:spacing w:after="0" w:line="169" w:lineRule="exact"/>
        <w:rPr>
          <w:sz w:val="20"/>
          <w:szCs w:val="20"/>
          <w:color w:val="auto"/>
        </w:rPr>
      </w:pPr>
    </w:p>
    <w:p>
      <w:pPr>
        <w:jc w:val="both"/>
        <w:ind w:firstLine="749"/>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Intercreditor Agreement (Ascot)</w:t>
      </w:r>
      <w:r>
        <w:rPr>
          <w:rFonts w:ascii="Times New Roman" w:cs="Times New Roman" w:eastAsia="Times New Roman" w:hAnsi="Times New Roman"/>
          <w:sz w:val="22"/>
          <w:szCs w:val="22"/>
          <w:color w:val="auto"/>
        </w:rPr>
        <w:t>" shall mean that certain Intercreditor Agreement dated as of the Amendment No. 1 Closing Date by and among the Borrowers, Agent, Second Lien Agent, Ascot and the other parties from time to time party thereto, as the same may be amended, restated, supplemented or otherwise modified from time to time.</w:t>
      </w:r>
    </w:p>
    <w:p>
      <w:pPr>
        <w:spacing w:after="0" w:line="156" w:lineRule="exact"/>
        <w:rPr>
          <w:sz w:val="20"/>
          <w:szCs w:val="20"/>
          <w:color w:val="auto"/>
        </w:rPr>
      </w:pPr>
    </w:p>
    <w:p>
      <w:pPr>
        <w:jc w:val="both"/>
        <w:ind w:right="20" w:firstLine="749"/>
        <w:spacing w:after="0" w:line="29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Intercreditor Agreement (Chubb)</w:t>
      </w:r>
      <w:r>
        <w:rPr>
          <w:rFonts w:ascii="Times New Roman" w:cs="Times New Roman" w:eastAsia="Times New Roman" w:hAnsi="Times New Roman"/>
          <w:sz w:val="22"/>
          <w:szCs w:val="22"/>
          <w:color w:val="auto"/>
        </w:rPr>
        <w:t>" shall mean that certain Intercreditor Agreement dated as of the Amendment No. 1 Closing Date by and among the Borrowers, Agent, Second</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83" w:name="page84"/>
    <w:bookmarkEnd w:id="83"/>
    <w:p>
      <w:pPr>
        <w:jc w:val="both"/>
        <w:ind w:right="20"/>
        <w:spacing w:after="0" w:line="295" w:lineRule="auto"/>
        <w:rPr>
          <w:sz w:val="20"/>
          <w:szCs w:val="20"/>
          <w:color w:val="auto"/>
        </w:rPr>
      </w:pPr>
      <w:r>
        <w:rPr>
          <w:rFonts w:ascii="Times New Roman" w:cs="Times New Roman" w:eastAsia="Times New Roman" w:hAnsi="Times New Roman"/>
          <w:sz w:val="22"/>
          <w:szCs w:val="22"/>
          <w:color w:val="auto"/>
        </w:rPr>
        <w:t>Lien Agent, Chubb and the other parties from time to time party thereto, as the same may be amended, restated, supplemented or otherwise modified from time to time.</w:t>
      </w:r>
    </w:p>
    <w:p>
      <w:pPr>
        <w:spacing w:after="0" w:line="134" w:lineRule="exact"/>
        <w:rPr>
          <w:sz w:val="20"/>
          <w:szCs w:val="20"/>
          <w:color w:val="auto"/>
        </w:rPr>
      </w:pPr>
    </w:p>
    <w:p>
      <w:pPr>
        <w:jc w:val="both"/>
        <w:ind w:firstLine="749"/>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Intercreditor Agreement (Dual)</w:t>
      </w:r>
      <w:r>
        <w:rPr>
          <w:rFonts w:ascii="Times New Roman" w:cs="Times New Roman" w:eastAsia="Times New Roman" w:hAnsi="Times New Roman"/>
          <w:sz w:val="22"/>
          <w:szCs w:val="22"/>
          <w:color w:val="auto"/>
        </w:rPr>
        <w:t>" shall mean that certain Intercreditor Agreement dated as of the Amendment No. 1 Closing Date by and among the Borrowers, Agent, Second Lien Agent, Dual and the other parties from time to time party thereto, as the same may be amended, restated, supplemented or otherwise modified from time to time.</w:t>
      </w:r>
    </w:p>
    <w:p>
      <w:pPr>
        <w:spacing w:after="0" w:line="156" w:lineRule="exact"/>
        <w:rPr>
          <w:sz w:val="20"/>
          <w:szCs w:val="20"/>
          <w:color w:val="auto"/>
        </w:rPr>
      </w:pPr>
    </w:p>
    <w:p>
      <w:pPr>
        <w:jc w:val="both"/>
        <w:ind w:firstLine="749"/>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Intercreditor Agreement (Liberty)</w:t>
      </w:r>
      <w:r>
        <w:rPr>
          <w:rFonts w:ascii="Times New Roman" w:cs="Times New Roman" w:eastAsia="Times New Roman" w:hAnsi="Times New Roman"/>
          <w:sz w:val="22"/>
          <w:szCs w:val="22"/>
          <w:color w:val="auto"/>
        </w:rPr>
        <w:t>" shall mean that certain Intercreditor Agreement dated as of the Amendment No. 1 Closing Date by and among the Borrowers, Agent, Second Lien Agent, Liberty and the other parties from time to time party thereto, as the same may be amended, restated, supplemented or otherwise modified from time to time.</w:t>
      </w:r>
    </w:p>
    <w:p>
      <w:pPr>
        <w:spacing w:after="0" w:line="156" w:lineRule="exact"/>
        <w:rPr>
          <w:sz w:val="20"/>
          <w:szCs w:val="20"/>
          <w:color w:val="auto"/>
        </w:rPr>
      </w:pPr>
    </w:p>
    <w:p>
      <w:pPr>
        <w:jc w:val="both"/>
        <w:ind w:firstLine="749"/>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Intercreditor Agreement (Philly)</w:t>
      </w:r>
      <w:r>
        <w:rPr>
          <w:rFonts w:ascii="Times New Roman" w:cs="Times New Roman" w:eastAsia="Times New Roman" w:hAnsi="Times New Roman"/>
          <w:sz w:val="22"/>
          <w:szCs w:val="22"/>
          <w:color w:val="auto"/>
        </w:rPr>
        <w:t>" shall mean that certain Intercreditor Agreement dated as of the Amendment No. 1 Closing Date by and among the Borrowers, Agent, Second Lien Agent, Philly and the other parties from time to time party thereto, as the same may be amended, restated, supplemented or otherwise modified from time to time.</w:t>
      </w:r>
    </w:p>
    <w:p>
      <w:pPr>
        <w:spacing w:after="0" w:line="156" w:lineRule="exact"/>
        <w:rPr>
          <w:sz w:val="20"/>
          <w:szCs w:val="20"/>
          <w:color w:val="auto"/>
        </w:rPr>
      </w:pPr>
    </w:p>
    <w:p>
      <w:pPr>
        <w:jc w:val="both"/>
        <w:ind w:firstLine="749"/>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Intercreditor Agreement (Second Lien)</w:t>
      </w:r>
      <w:r>
        <w:rPr>
          <w:rFonts w:ascii="Times New Roman" w:cs="Times New Roman" w:eastAsia="Times New Roman" w:hAnsi="Times New Roman"/>
          <w:sz w:val="22"/>
          <w:szCs w:val="22"/>
          <w:color w:val="auto"/>
        </w:rPr>
        <w:t>" shall mean that certain Intercreditor Agreement dated as of the Amendment No. 1 Closing Date by and among the Borrowers, Agent, Second Lien Agent and the other parties from time to time party thereto, as the same may be amended, restated, supplemented or otherwise modified from time to time.</w:t>
      </w:r>
    </w:p>
    <w:p>
      <w:pPr>
        <w:spacing w:after="0" w:line="15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Interest Period</w:t>
      </w:r>
      <w:r>
        <w:rPr>
          <w:rFonts w:ascii="Times New Roman" w:cs="Times New Roman" w:eastAsia="Times New Roman" w:hAnsi="Times New Roman"/>
          <w:sz w:val="22"/>
          <w:szCs w:val="22"/>
          <w:color w:val="auto"/>
        </w:rPr>
        <w:t>" shall mean the period provided for any Term SOFR Rate Loan pursuant to Section 2.2(b) hereof.</w:t>
      </w:r>
    </w:p>
    <w:p>
      <w:pPr>
        <w:spacing w:after="0" w:line="233"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Interest Rate Hedge</w:t>
      </w:r>
      <w:r>
        <w:rPr>
          <w:rFonts w:ascii="Times New Roman" w:cs="Times New Roman" w:eastAsia="Times New Roman" w:hAnsi="Times New Roman"/>
          <w:sz w:val="22"/>
          <w:szCs w:val="22"/>
          <w:color w:val="auto"/>
        </w:rPr>
        <w:t>" shall mean an interest rate exchange, collar, cap, swap, floor, adjustable strike cap, adjustable strike corridor, cross-currency swap or similar agreements entered into by any Borrower, Guarantor and/or their respective Subsidiaries in order to provide protection to, or minimize the impact upon, such Borrower, any Guarantor and/or their respective Subsidiaries of increasing floating rates of interest applicable to Indebtedness.</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Interest Rate Hedge Liabilities</w:t>
      </w:r>
      <w:r>
        <w:rPr>
          <w:rFonts w:ascii="Times New Roman" w:cs="Times New Roman" w:eastAsia="Times New Roman" w:hAnsi="Times New Roman"/>
          <w:sz w:val="22"/>
          <w:szCs w:val="22"/>
          <w:color w:val="auto"/>
        </w:rPr>
        <w:t>" shall have the meaning assigned in the definition of Lender-Provided Interest Rate</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Hedge.</w:t>
      </w:r>
    </w:p>
    <w:p>
      <w:pPr>
        <w:spacing w:after="0" w:line="209" w:lineRule="exact"/>
        <w:rPr>
          <w:sz w:val="20"/>
          <w:szCs w:val="20"/>
          <w:color w:val="auto"/>
        </w:rPr>
      </w:pPr>
    </w:p>
    <w:p>
      <w:pPr>
        <w:jc w:val="both"/>
        <w:ind w:firstLine="749"/>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Inventory</w:t>
      </w:r>
      <w:r>
        <w:rPr>
          <w:rFonts w:ascii="Times New Roman" w:cs="Times New Roman" w:eastAsia="Times New Roman" w:hAnsi="Times New Roman"/>
          <w:sz w:val="22"/>
          <w:szCs w:val="22"/>
          <w:color w:val="auto"/>
        </w:rPr>
        <w:t>" shall mean as to each Credit Party all of such Credit Party's inventory (as defined in Article 9 of the Uniform Commercial Code) and all of such Credit Party's goods, merchandise and other personal property, wherever located, to be furnished under any consignment arrangement, contract of service or held for sale or lease, all raw materials, work in process, finished goods and materials and supplies of any kind, nature or description which are or might be used or consumed in such Credit Party's business or used in selling or furnishing such goods, merchandise and other personal property, and all Documents.</w:t>
      </w:r>
    </w:p>
    <w:p>
      <w:pPr>
        <w:spacing w:after="0" w:line="166" w:lineRule="exact"/>
        <w:rPr>
          <w:sz w:val="20"/>
          <w:szCs w:val="20"/>
          <w:color w:val="auto"/>
        </w:rPr>
      </w:pPr>
    </w:p>
    <w:p>
      <w:pPr>
        <w:jc w:val="both"/>
        <w:ind w:right="20" w:firstLine="749"/>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Investment</w:t>
      </w:r>
      <w:r>
        <w:rPr>
          <w:rFonts w:ascii="Times New Roman" w:cs="Times New Roman" w:eastAsia="Times New Roman" w:hAnsi="Times New Roman"/>
          <w:sz w:val="22"/>
          <w:szCs w:val="22"/>
          <w:color w:val="auto"/>
        </w:rPr>
        <w:t>" shall mean, as to any Person, any direct or indirect acquisition or investment by such Person, whether by means of (a) the purchase or other acquisition of Equity Interests or debt or other securities of another Person, (b) a loan, advance or capital</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84" w:name="page85"/>
    <w:bookmarkEnd w:id="84"/>
    <w:p>
      <w:pPr>
        <w:jc w:val="both"/>
        <w:spacing w:after="0" w:line="265" w:lineRule="auto"/>
        <w:rPr>
          <w:sz w:val="20"/>
          <w:szCs w:val="20"/>
          <w:color w:val="auto"/>
        </w:rPr>
      </w:pPr>
      <w:r>
        <w:rPr>
          <w:rFonts w:ascii="Times New Roman" w:cs="Times New Roman" w:eastAsia="Times New Roman" w:hAnsi="Times New Roman"/>
          <w:sz w:val="22"/>
          <w:szCs w:val="22"/>
          <w:color w:val="auto"/>
        </w:rPr>
        <w:t>contribution to, guaranty or assumption of debt of, or purchase or other acquisition of any other debt or equity participation or interest in, another Person, including any partnership or joint venture interest in such other Person and any arrangement pursuant to which the investor incurs Guaranty Obligations, or (c) the purchase or other acquisition (in one transaction or a series of transactions) of all or substantially all of the property and assets or business of another Person or assets constituting a business unit, line of business or division of such Person.</w:t>
      </w:r>
    </w:p>
    <w:p>
      <w:pPr>
        <w:spacing w:after="0" w:line="169"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Issuer</w:t>
      </w:r>
      <w:r>
        <w:rPr>
          <w:rFonts w:ascii="Times New Roman" w:cs="Times New Roman" w:eastAsia="Times New Roman" w:hAnsi="Times New Roman"/>
          <w:sz w:val="22"/>
          <w:szCs w:val="22"/>
          <w:color w:val="auto"/>
        </w:rPr>
        <w:t>" shall mean (i) PNC in its capacity as the issuer of Letters of Credit under this Agreement and (ii) any other Lender that, at the request of Borrowing Agent and with the consent of Agent (such consent not to be unreasonably withheld), agrees, in such Lender's sole discretion, to become an Issuer for the purpose of issuing any particular Letter of Credit under this Agreement in place of PNC as issuer (provided that any such Lender may resign as Issuer in its sole discretion at any time). Bank of America, N.A. shall be an Issuer with respect to certain Existing Letters of Credit, to the extent indicated on Schedule 2.11, but shall not be an Issuer with respect to any other Letter of Credit unless agreed to between Bank of America, N.A. and Borrowing Agent and consented to by Agent (such consent not to be unreasonably withheld).</w:t>
      </w:r>
    </w:p>
    <w:p>
      <w:pPr>
        <w:spacing w:after="0" w:line="200" w:lineRule="exact"/>
        <w:rPr>
          <w:sz w:val="20"/>
          <w:szCs w:val="20"/>
          <w:color w:val="auto"/>
        </w:rPr>
      </w:pPr>
    </w:p>
    <w:p>
      <w:pPr>
        <w:spacing w:after="0" w:line="24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Judgment Currency</w:t>
      </w:r>
      <w:r>
        <w:rPr>
          <w:rFonts w:ascii="Times New Roman" w:cs="Times New Roman" w:eastAsia="Times New Roman" w:hAnsi="Times New Roman"/>
          <w:sz w:val="22"/>
          <w:szCs w:val="22"/>
          <w:color w:val="auto"/>
        </w:rPr>
        <w:t>" shall have the meaning set forth in Section 16.20.</w:t>
      </w:r>
    </w:p>
    <w:p>
      <w:pPr>
        <w:spacing w:after="0" w:line="233"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Law(s)</w:t>
      </w:r>
      <w:r>
        <w:rPr>
          <w:rFonts w:ascii="Times New Roman" w:cs="Times New Roman" w:eastAsia="Times New Roman" w:hAnsi="Times New Roman"/>
          <w:sz w:val="22"/>
          <w:szCs w:val="22"/>
          <w:color w:val="auto"/>
        </w:rPr>
        <w:t>" shall mean any law(s) (including common law), constitution, statute, treaty, regulation, rule, ordinance, opinion, issued guidance, release, ruling, order, executive order, injunction, writ, decree, bond, judgment, authorization or approval, lien or award of or any settlement arrangement, by agreement, consent or otherwise, with any Governmental Body, foreign or domestic.</w:t>
      </w:r>
    </w:p>
    <w:p>
      <w:pPr>
        <w:spacing w:after="0" w:line="162" w:lineRule="exact"/>
        <w:rPr>
          <w:sz w:val="20"/>
          <w:szCs w:val="20"/>
          <w:color w:val="auto"/>
        </w:rPr>
      </w:pPr>
    </w:p>
    <w:p>
      <w:pPr>
        <w:jc w:val="both"/>
        <w:ind w:firstLine="749"/>
        <w:spacing w:after="0" w:line="26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Lender</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u w:val="single" w:color="auto"/>
          <w:color w:val="auto"/>
        </w:rPr>
        <w:t>Lenders</w:t>
      </w:r>
      <w:r>
        <w:rPr>
          <w:rFonts w:ascii="Times New Roman" w:cs="Times New Roman" w:eastAsia="Times New Roman" w:hAnsi="Times New Roman"/>
          <w:sz w:val="22"/>
          <w:szCs w:val="22"/>
          <w:color w:val="auto"/>
        </w:rPr>
        <w:t>" shall have the meaning ascribed to such term in the preamble to this Agreement and shall include each Person which becomes a transferee, successor or assign of any Lender. For the purpose of provision of this Agreement or any Other Document which provides for the granting of a security interest or other Lien to Agent for the benefit of Lenders as security for the Obligations, "Lenders" shall include any Affiliate of a Lender to which such Obligation (specifically including any Hedge Liabilities and any Cash Management Liabilities) is owed.</w:t>
      </w:r>
    </w:p>
    <w:p>
      <w:pPr>
        <w:spacing w:after="0" w:line="169"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Lender-Provided Foreign Currency/Commodity Hedge</w:t>
      </w:r>
      <w:r>
        <w:rPr>
          <w:rFonts w:ascii="Times New Roman" w:cs="Times New Roman" w:eastAsia="Times New Roman" w:hAnsi="Times New Roman"/>
          <w:sz w:val="22"/>
          <w:szCs w:val="22"/>
          <w:color w:val="auto"/>
        </w:rPr>
        <w:t>" shall mean a Foreign Currency/Commodity Hedge which is provided by any Lender or any of its Affiliates and for which such Lender confirms to Agent in writing prior to the execution thereof or prior to such Lender becoming a Lender hereunder, as applicable, that it: (a) is documented in a standard International Swap Dealers Association, Inc. Master Agreement or another reasonable and customary manner; (b) provides for the method of calculating the reimbursable amount of the provider's credit exposure in a reasonable and customary manner; and (c) is entered into for hedging (rather than speculative) purposes. The liabilities owing to the provider of any Lender-Provided Foreign Currency/Commodity Hedge (the "</w:t>
      </w:r>
      <w:r>
        <w:rPr>
          <w:rFonts w:ascii="Times New Roman" w:cs="Times New Roman" w:eastAsia="Times New Roman" w:hAnsi="Times New Roman"/>
          <w:sz w:val="22"/>
          <w:szCs w:val="22"/>
          <w:u w:val="single" w:color="auto"/>
          <w:color w:val="auto"/>
        </w:rPr>
        <w:t>Foreign Currency/Commodity Hedge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Liabilities</w:t>
      </w:r>
      <w:r>
        <w:rPr>
          <w:rFonts w:ascii="Times New Roman" w:cs="Times New Roman" w:eastAsia="Times New Roman" w:hAnsi="Times New Roman"/>
          <w:sz w:val="22"/>
          <w:szCs w:val="22"/>
          <w:color w:val="auto"/>
        </w:rPr>
        <w:t>") by any Borrower or any Guarantor that is party to such Lender-Provided Foreign Currency/Commodity Hedge shall, for purposes of this Agreement and all Other</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85" w:name="page86"/>
    <w:bookmarkEnd w:id="85"/>
    <w:p>
      <w:pPr>
        <w:jc w:val="both"/>
        <w:spacing w:after="0" w:line="263" w:lineRule="auto"/>
        <w:rPr>
          <w:sz w:val="20"/>
          <w:szCs w:val="20"/>
          <w:color w:val="auto"/>
        </w:rPr>
      </w:pPr>
      <w:r>
        <w:rPr>
          <w:rFonts w:ascii="Times New Roman" w:cs="Times New Roman" w:eastAsia="Times New Roman" w:hAnsi="Times New Roman"/>
          <w:sz w:val="22"/>
          <w:szCs w:val="22"/>
          <w:color w:val="auto"/>
        </w:rPr>
        <w:t>Documents be Obligations hereunder, and otherwise treated as Obligations for purposes of the Other Documents (except to the extent constituting Excluded Hedge Liabilities of such Person), but only so long as such provider (if not PNC or an Affiliate of PNC) has notified Agent in writing of such Lender-Provided Foreign Currency/Commodity Hedge within ten</w:t>
      </w:r>
    </w:p>
    <w:p>
      <w:pPr>
        <w:spacing w:after="0" w:line="3" w:lineRule="exact"/>
        <w:rPr>
          <w:sz w:val="20"/>
          <w:szCs w:val="20"/>
          <w:color w:val="auto"/>
        </w:rPr>
      </w:pPr>
    </w:p>
    <w:p>
      <w:pPr>
        <w:jc w:val="both"/>
        <w:ind w:firstLine="8"/>
        <w:spacing w:after="0" w:line="264" w:lineRule="auto"/>
        <w:tabs>
          <w:tab w:leader="none" w:pos="449"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days after the later to occur of (i) entering into such agreement or arrangement or (ii) with the consent of Agent and Borrowing Agent, such provider or its Affiliates becoming a Lender hereunder at any time after the Amendment No. 1 Closing Date (in each case as such time may be extended as agreed to by Agent and the Borrowing Agent).</w:t>
      </w:r>
    </w:p>
    <w:p>
      <w:pPr>
        <w:spacing w:after="0" w:line="167" w:lineRule="exact"/>
        <w:rPr>
          <w:sz w:val="20"/>
          <w:szCs w:val="20"/>
          <w:color w:val="auto"/>
        </w:rPr>
      </w:pPr>
    </w:p>
    <w:p>
      <w:pPr>
        <w:jc w:val="both"/>
        <w:ind w:firstLine="749"/>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Lender-Provided Interest Rate Hedge</w:t>
      </w:r>
      <w:r>
        <w:rPr>
          <w:rFonts w:ascii="Times New Roman" w:cs="Times New Roman" w:eastAsia="Times New Roman" w:hAnsi="Times New Roman"/>
          <w:sz w:val="22"/>
          <w:szCs w:val="22"/>
          <w:color w:val="auto"/>
        </w:rPr>
        <w:t>" shall mean an Interest Rate Hedge which is provided by any Lender or any of its Affiliates and with respect to which such Lender confirms to Agent in writing prior to the execution thereof or prior to such Lender becoming a Lender hereunder, as applicable, that it: (a) is documented in a standard International Swap Dealers Association, Inc. Master Agreement or another reasonable and customary manner; (b) provides for the method of calculating the reimbursable amount of the provider's credit exposure in a reasonable and customary manner; and (c) is entered into for hedging (rather than speculative) purposes. The liabilities owing to the provider of any Lender-Provided Interest Rate Hedge (the "</w:t>
      </w:r>
      <w:r>
        <w:rPr>
          <w:rFonts w:ascii="Times New Roman" w:cs="Times New Roman" w:eastAsia="Times New Roman" w:hAnsi="Times New Roman"/>
          <w:sz w:val="22"/>
          <w:szCs w:val="22"/>
          <w:u w:val="single" w:color="auto"/>
          <w:color w:val="auto"/>
        </w:rPr>
        <w:t>Interest Rate Hedge Liabilities</w:t>
      </w:r>
      <w:r>
        <w:rPr>
          <w:rFonts w:ascii="Times New Roman" w:cs="Times New Roman" w:eastAsia="Times New Roman" w:hAnsi="Times New Roman"/>
          <w:sz w:val="22"/>
          <w:szCs w:val="22"/>
          <w:color w:val="auto"/>
        </w:rPr>
        <w:t>") by any Borrower or any Guarantor that is party to such Lender-Provided Interest Rate Hedge shall, for purposes of this Agreement and all Other Documents be Obligations hereunder, and otherwise treated as Obligations for purposes of the Other Documents (except to the extent constituting Excluded Hedge Liabilities of such Person), but only so long as such provider (if not PNC or an Affiliate of PNC) has notified Agent in writing of such Lender-Provided Interest Rate Hedge within ten (10) days after the later to occur of (i) entering into such agreement or arrangement or (ii) with the consent of Agent and Borrowing Agent, such provider or its Affiliates becoming a Lender hereunder at any time after the Amendment No. 1 Closing Date (in each case as such time may be extended as agreed to by Agent and the Borrowing Agent).</w:t>
      </w:r>
    </w:p>
    <w:p>
      <w:pPr>
        <w:spacing w:after="0" w:line="200" w:lineRule="exact"/>
        <w:rPr>
          <w:sz w:val="20"/>
          <w:szCs w:val="20"/>
          <w:color w:val="auto"/>
        </w:rPr>
      </w:pPr>
    </w:p>
    <w:p>
      <w:pPr>
        <w:spacing w:after="0" w:line="24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Letter of Credit Application</w:t>
      </w:r>
      <w:r>
        <w:rPr>
          <w:rFonts w:ascii="Times New Roman" w:cs="Times New Roman" w:eastAsia="Times New Roman" w:hAnsi="Times New Roman"/>
          <w:sz w:val="22"/>
          <w:szCs w:val="22"/>
          <w:color w:val="auto"/>
        </w:rPr>
        <w:t>" shall have the meaning set forth in Section 2.12(a) hereof.</w:t>
      </w:r>
    </w:p>
    <w:p>
      <w:pPr>
        <w:spacing w:after="0" w:line="23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Letter of Credit Borrowing</w:t>
      </w:r>
      <w:r>
        <w:rPr>
          <w:rFonts w:ascii="Times New Roman" w:cs="Times New Roman" w:eastAsia="Times New Roman" w:hAnsi="Times New Roman"/>
          <w:sz w:val="22"/>
          <w:szCs w:val="22"/>
          <w:color w:val="auto"/>
        </w:rPr>
        <w:t>" shall have the meaning set forth in Section 2.14(d) hereof.</w:t>
      </w:r>
    </w:p>
    <w:p>
      <w:pPr>
        <w:spacing w:after="0" w:line="23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Letter of Credit Fees</w:t>
      </w:r>
      <w:r>
        <w:rPr>
          <w:rFonts w:ascii="Times New Roman" w:cs="Times New Roman" w:eastAsia="Times New Roman" w:hAnsi="Times New Roman"/>
          <w:sz w:val="22"/>
          <w:szCs w:val="22"/>
          <w:color w:val="auto"/>
        </w:rPr>
        <w:t>" shall have the meaning set forth in Section 3.2 hereof.</w:t>
      </w:r>
    </w:p>
    <w:p>
      <w:pPr>
        <w:spacing w:after="0" w:line="23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Letter of Credit Sublimit</w:t>
      </w:r>
      <w:r>
        <w:rPr>
          <w:rFonts w:ascii="Times New Roman" w:cs="Times New Roman" w:eastAsia="Times New Roman" w:hAnsi="Times New Roman"/>
          <w:sz w:val="22"/>
          <w:szCs w:val="22"/>
          <w:color w:val="auto"/>
        </w:rPr>
        <w:t>" shall mean $200,000,000.</w:t>
      </w:r>
    </w:p>
    <w:p>
      <w:pPr>
        <w:spacing w:after="0" w:line="23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Letters of Credit</w:t>
      </w:r>
      <w:r>
        <w:rPr>
          <w:rFonts w:ascii="Times New Roman" w:cs="Times New Roman" w:eastAsia="Times New Roman" w:hAnsi="Times New Roman"/>
          <w:sz w:val="22"/>
          <w:szCs w:val="22"/>
          <w:color w:val="auto"/>
        </w:rPr>
        <w:t>" shall have the meaning set forth in Section 2.11 hereof.</w:t>
      </w:r>
    </w:p>
    <w:p>
      <w:pPr>
        <w:spacing w:after="0" w:line="23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Liberty</w:t>
      </w:r>
      <w:r>
        <w:rPr>
          <w:rFonts w:ascii="Times New Roman" w:cs="Times New Roman" w:eastAsia="Times New Roman" w:hAnsi="Times New Roman"/>
          <w:sz w:val="22"/>
          <w:szCs w:val="22"/>
          <w:color w:val="auto"/>
        </w:rPr>
        <w:t>" shall mean Liberty Mutual Insurance Company or any of its affiliates, and its successors and assigns.</w:t>
      </w:r>
    </w:p>
    <w:p>
      <w:pPr>
        <w:spacing w:after="0" w:line="233" w:lineRule="exact"/>
        <w:rPr>
          <w:sz w:val="20"/>
          <w:szCs w:val="20"/>
          <w:color w:val="auto"/>
        </w:rPr>
      </w:pPr>
    </w:p>
    <w:p>
      <w:pPr>
        <w:jc w:val="both"/>
        <w:ind w:firstLine="749"/>
        <w:spacing w:after="0" w:line="29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Liberty Agreement</w:t>
      </w:r>
      <w:r>
        <w:rPr>
          <w:rFonts w:ascii="Times New Roman" w:cs="Times New Roman" w:eastAsia="Times New Roman" w:hAnsi="Times New Roman"/>
          <w:sz w:val="22"/>
          <w:szCs w:val="22"/>
          <w:color w:val="auto"/>
        </w:rPr>
        <w:t>" shall mean that certain General Agreement of Indemnity dated as of April 7, 2015, among Liberty, the Borrowers and the other parties thereto.</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86" w:name="page87"/>
    <w:bookmarkEnd w:id="86"/>
    <w:p>
      <w:pPr>
        <w:jc w:val="both"/>
        <w:ind w:firstLine="749"/>
        <w:spacing w:after="0" w:line="26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Lien</w:t>
      </w:r>
      <w:r>
        <w:rPr>
          <w:rFonts w:ascii="Times New Roman" w:cs="Times New Roman" w:eastAsia="Times New Roman" w:hAnsi="Times New Roman"/>
          <w:sz w:val="22"/>
          <w:szCs w:val="22"/>
          <w:color w:val="auto"/>
        </w:rPr>
        <w:t>" shall mean any mortgage, deed of trust, pledge, hypothecation, assignment, security interest, lien (whether statutory or otherwise), charge, claim or encumbrance, or preference, priority or other security agreement or preferential arrangement held or asserted in respect of any asset of any kind or nature whatsoever including any conditional sale or other title retention agreement, any lease having substantially the same economic effect as any of the foregoing, and the filing of, or agreement to give, any financing statement under the Uniform Commercial Code or comparable law of any jurisdiction.</w:t>
      </w:r>
    </w:p>
    <w:p>
      <w:pPr>
        <w:spacing w:after="0" w:line="169" w:lineRule="exact"/>
        <w:rPr>
          <w:sz w:val="20"/>
          <w:szCs w:val="20"/>
          <w:color w:val="auto"/>
        </w:rPr>
      </w:pPr>
    </w:p>
    <w:p>
      <w:pPr>
        <w:jc w:val="both"/>
        <w:ind w:right="20" w:firstLine="749"/>
        <w:spacing w:after="0" w:line="29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Lien Waiver Agreement</w:t>
      </w:r>
      <w:r>
        <w:rPr>
          <w:rFonts w:ascii="Times New Roman" w:cs="Times New Roman" w:eastAsia="Times New Roman" w:hAnsi="Times New Roman"/>
          <w:sz w:val="22"/>
          <w:szCs w:val="22"/>
          <w:color w:val="auto"/>
        </w:rPr>
        <w:t>" shall mean an agreement which is executed in favor of Agent by a Person who owns or occupies premises at which any Collateral may be located from time to time in form and substance satisfactory to Agent.</w:t>
      </w:r>
    </w:p>
    <w:p>
      <w:pPr>
        <w:spacing w:after="0" w:line="134" w:lineRule="exact"/>
        <w:rPr>
          <w:sz w:val="20"/>
          <w:szCs w:val="20"/>
          <w:color w:val="auto"/>
        </w:rPr>
      </w:pPr>
    </w:p>
    <w:p>
      <w:pPr>
        <w:jc w:val="both"/>
        <w:ind w:firstLine="749"/>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Maritime Reserves</w:t>
      </w:r>
      <w:r>
        <w:rPr>
          <w:rFonts w:ascii="Times New Roman" w:cs="Times New Roman" w:eastAsia="Times New Roman" w:hAnsi="Times New Roman"/>
          <w:sz w:val="22"/>
          <w:szCs w:val="22"/>
          <w:color w:val="auto"/>
        </w:rPr>
        <w:t>" shall mean reserves established by Agent for preferred maritime liens, obligations owing to subcontractors for work performed on Fleet Assets and liens for crew wages, repairs, fuel, maintenance, dockage and other necessaries that may have priority over Agent's Lien on the Collateral.</w:t>
      </w:r>
    </w:p>
    <w:p>
      <w:pPr>
        <w:spacing w:after="0" w:line="156" w:lineRule="exact"/>
        <w:rPr>
          <w:sz w:val="20"/>
          <w:szCs w:val="20"/>
          <w:color w:val="auto"/>
        </w:rPr>
      </w:pPr>
    </w:p>
    <w:p>
      <w:pPr>
        <w:jc w:val="both"/>
        <w:ind w:right="20" w:firstLine="749"/>
        <w:spacing w:after="0" w:line="29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Maritime Security Documents</w:t>
      </w:r>
      <w:r>
        <w:rPr>
          <w:rFonts w:ascii="Times New Roman" w:cs="Times New Roman" w:eastAsia="Times New Roman" w:hAnsi="Times New Roman"/>
          <w:sz w:val="22"/>
          <w:szCs w:val="22"/>
          <w:color w:val="auto"/>
        </w:rPr>
        <w:t>" shall mean the Ship Mortgages, the Assignments of Earnings and Charters, and the Assignments of Insurances.</w:t>
      </w:r>
    </w:p>
    <w:p>
      <w:pPr>
        <w:spacing w:after="0" w:line="134" w:lineRule="exact"/>
        <w:rPr>
          <w:sz w:val="20"/>
          <w:szCs w:val="20"/>
          <w:color w:val="auto"/>
        </w:rPr>
      </w:pPr>
    </w:p>
    <w:p>
      <w:pPr>
        <w:jc w:val="both"/>
        <w:ind w:firstLine="749"/>
        <w:spacing w:after="0" w:line="26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Material Adverse Effect</w:t>
      </w:r>
      <w:r>
        <w:rPr>
          <w:rFonts w:ascii="Times New Roman" w:cs="Times New Roman" w:eastAsia="Times New Roman" w:hAnsi="Times New Roman"/>
          <w:sz w:val="22"/>
          <w:szCs w:val="22"/>
          <w:color w:val="auto"/>
        </w:rPr>
        <w:t>" shall mean, with respect to GLDD and its Subsidiaries, (a) a material adverse effect on the properties, business, operations, assets, liabilities or condition (financial or otherwise) of such Persons, taken as a whole;</w:t>
      </w:r>
    </w:p>
    <w:p>
      <w:pPr>
        <w:spacing w:after="0" w:line="2" w:lineRule="exact"/>
        <w:rPr>
          <w:sz w:val="20"/>
          <w:szCs w:val="20"/>
          <w:color w:val="auto"/>
        </w:rPr>
      </w:pPr>
    </w:p>
    <w:p>
      <w:pPr>
        <w:jc w:val="both"/>
        <w:ind w:firstLine="8"/>
        <w:spacing w:after="0" w:line="264" w:lineRule="auto"/>
        <w:tabs>
          <w:tab w:leader="none" w:pos="324"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material impairment of the rights and remedies of Agent or any Lender under this Agreement or any Other Document; or (c) a material impairment of the legality, validity, binding effect or enforceability against any Credit Party of this Agreement or any Other Document to which it is a party.</w:t>
      </w:r>
    </w:p>
    <w:p>
      <w:pPr>
        <w:spacing w:after="0" w:line="167" w:lineRule="exact"/>
        <w:rPr>
          <w:sz w:val="20"/>
          <w:szCs w:val="20"/>
          <w:color w:val="auto"/>
        </w:rPr>
      </w:pPr>
    </w:p>
    <w:p>
      <w:pPr>
        <w:jc w:val="both"/>
        <w:ind w:firstLine="749"/>
        <w:spacing w:after="0" w:line="26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Material Contract</w:t>
      </w:r>
      <w:r>
        <w:rPr>
          <w:rFonts w:ascii="Times New Roman" w:cs="Times New Roman" w:eastAsia="Times New Roman" w:hAnsi="Times New Roman"/>
          <w:sz w:val="22"/>
          <w:szCs w:val="22"/>
          <w:color w:val="auto"/>
        </w:rPr>
        <w:t>" shall mean any contract, agreement, instrument, permit, lease or license, written or oral, of any Credit Party, which would constitute a "material definitive agreement". For the purposes of this definition a "material definitive agreement" shall mean an agreement that provides for obligations that are material to and enforceable against the applicable Credit Party, or rights that are material to the applicable Credit Party and enforceable by the applicable Credit Party against one or more other parties to the agreement, in each case whether or not subject to conditions.</w:t>
      </w:r>
    </w:p>
    <w:p>
      <w:pPr>
        <w:spacing w:after="0" w:line="169"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Maturity Date</w:t>
      </w:r>
      <w:r>
        <w:rPr>
          <w:rFonts w:ascii="Times New Roman" w:cs="Times New Roman" w:eastAsia="Times New Roman" w:hAnsi="Times New Roman"/>
          <w:sz w:val="22"/>
          <w:szCs w:val="22"/>
          <w:color w:val="auto"/>
        </w:rPr>
        <w:t>" shall mean the earlier of (i) July 29, 2027 and (ii) the date that is ninety one (91) days prior to the scheduled maturity date of the Note Indenture Obligations as in effect on the Closing Date (unless, for the avoidance of doubt, the Note Indenture Obligations are refinanced, and the scheduled maturity date is extended, pursuant to and in accordance with a Permitted Note Refinancing).</w:t>
      </w:r>
    </w:p>
    <w:p>
      <w:pPr>
        <w:spacing w:after="0" w:line="162" w:lineRule="exact"/>
        <w:rPr>
          <w:sz w:val="20"/>
          <w:szCs w:val="20"/>
          <w:color w:val="auto"/>
        </w:rPr>
      </w:pPr>
    </w:p>
    <w:p>
      <w:pPr>
        <w:jc w:val="both"/>
        <w:ind w:firstLine="749"/>
        <w:spacing w:after="0" w:line="29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Maximum Loan Amount</w:t>
      </w:r>
      <w:r>
        <w:rPr>
          <w:rFonts w:ascii="Times New Roman" w:cs="Times New Roman" w:eastAsia="Times New Roman" w:hAnsi="Times New Roman"/>
          <w:sz w:val="22"/>
          <w:szCs w:val="22"/>
          <w:color w:val="auto"/>
        </w:rPr>
        <w:t>" shall mean, as of any date of determination, the lesser of (i) the Formula Amount and (ii) the Maximum Revolving Advance Amount.</w:t>
      </w:r>
    </w:p>
    <w:p>
      <w:pPr>
        <w:spacing w:after="0" w:line="13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Maximum Revolving Advance Amount</w:t>
      </w:r>
      <w:r>
        <w:rPr>
          <w:rFonts w:ascii="Times New Roman" w:cs="Times New Roman" w:eastAsia="Times New Roman" w:hAnsi="Times New Roman"/>
          <w:sz w:val="22"/>
          <w:szCs w:val="22"/>
          <w:color w:val="auto"/>
        </w:rPr>
        <w:t>" shall mean $330,000,000 plus any increases in accordance with Section</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2.24.</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87" w:name="page88"/>
    <w:bookmarkEnd w:id="87"/>
    <w:p>
      <w:pPr>
        <w:jc w:val="both"/>
        <w:ind w:firstLine="749"/>
        <w:spacing w:after="0" w:line="26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Maximum Swing Loan Advance Amount</w:t>
      </w:r>
      <w:r>
        <w:rPr>
          <w:rFonts w:ascii="Times New Roman" w:cs="Times New Roman" w:eastAsia="Times New Roman" w:hAnsi="Times New Roman"/>
          <w:sz w:val="22"/>
          <w:szCs w:val="22"/>
          <w:color w:val="auto"/>
        </w:rPr>
        <w:t xml:space="preserve">" shall mean $33,000,000;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upon the effective date of each increase in the Maximum Revolving Advance Amount in accordance with Section 2.24, the Maximum Swing Loan Advance Amount shall increase by an amount equal to ten percent (10%) of the amount of such increase in the Maximum Revolving Advance Amount.</w:t>
      </w:r>
    </w:p>
    <w:p>
      <w:pPr>
        <w:spacing w:after="0" w:line="162" w:lineRule="exact"/>
        <w:rPr>
          <w:sz w:val="20"/>
          <w:szCs w:val="20"/>
          <w:color w:val="auto"/>
        </w:rPr>
      </w:pPr>
    </w:p>
    <w:p>
      <w:pPr>
        <w:jc w:val="both"/>
        <w:ind w:firstLine="749"/>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Maximum Undrawn Amount</w:t>
      </w:r>
      <w:r>
        <w:rPr>
          <w:rFonts w:ascii="Times New Roman" w:cs="Times New Roman" w:eastAsia="Times New Roman" w:hAnsi="Times New Roman"/>
          <w:sz w:val="22"/>
          <w:szCs w:val="22"/>
          <w:color w:val="auto"/>
        </w:rPr>
        <w:t>" shall mean, with respect to any outstanding Letter of Credit as of any date, the amount of such Letter of Credit that is or may become available to be drawn, including all automatic increases provided for in such Letter of Credit, whether or not any such automatic increase has become effective.</w:t>
      </w:r>
    </w:p>
    <w:p>
      <w:pPr>
        <w:spacing w:after="0" w:line="15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Modified Commitment Transfer Supplement</w:t>
      </w:r>
      <w:r>
        <w:rPr>
          <w:rFonts w:ascii="Times New Roman" w:cs="Times New Roman" w:eastAsia="Times New Roman" w:hAnsi="Times New Roman"/>
          <w:sz w:val="22"/>
          <w:szCs w:val="22"/>
          <w:color w:val="auto"/>
        </w:rPr>
        <w:t>" shall have the meaning set forth in Section 16.3(d) hereof.</w:t>
      </w:r>
    </w:p>
    <w:p>
      <w:pPr>
        <w:spacing w:after="0" w:line="233" w:lineRule="exact"/>
        <w:rPr>
          <w:sz w:val="20"/>
          <w:szCs w:val="20"/>
          <w:color w:val="auto"/>
        </w:rPr>
      </w:pPr>
    </w:p>
    <w:p>
      <w:pPr>
        <w:jc w:val="both"/>
        <w:ind w:firstLine="749"/>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Multiemployer Plan</w:t>
      </w:r>
      <w:r>
        <w:rPr>
          <w:rFonts w:ascii="Times New Roman" w:cs="Times New Roman" w:eastAsia="Times New Roman" w:hAnsi="Times New Roman"/>
          <w:sz w:val="22"/>
          <w:szCs w:val="22"/>
          <w:color w:val="auto"/>
        </w:rPr>
        <w:t>" shall mean a "multiemployer plan" as defined in Section 4001(a)(3) of ERISA to which any Credit Party or any ERISA Affiliate is making, or is accruing an obligation to make, or has accrued an obligation to make contributions within the preceding six (6) years.</w:t>
      </w:r>
    </w:p>
    <w:p>
      <w:pPr>
        <w:spacing w:after="0" w:line="156" w:lineRule="exact"/>
        <w:rPr>
          <w:sz w:val="20"/>
          <w:szCs w:val="20"/>
          <w:color w:val="auto"/>
        </w:rPr>
      </w:pPr>
    </w:p>
    <w:p>
      <w:pPr>
        <w:jc w:val="both"/>
        <w:ind w:firstLine="749"/>
        <w:spacing w:after="0" w:line="29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Negotiable Document</w:t>
      </w:r>
      <w:r>
        <w:rPr>
          <w:rFonts w:ascii="Times New Roman" w:cs="Times New Roman" w:eastAsia="Times New Roman" w:hAnsi="Times New Roman"/>
          <w:sz w:val="22"/>
          <w:szCs w:val="22"/>
          <w:color w:val="auto"/>
        </w:rPr>
        <w:t>" shall mean a Document that is "negotiable" within the meaning of Article 7 of the Uniform Commercial Code.</w:t>
      </w:r>
    </w:p>
    <w:p>
      <w:pPr>
        <w:spacing w:after="0" w:line="134"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Net Cash Proceeds</w:t>
      </w:r>
      <w:r>
        <w:rPr>
          <w:rFonts w:ascii="Times New Roman" w:cs="Times New Roman" w:eastAsia="Times New Roman" w:hAnsi="Times New Roman"/>
          <w:sz w:val="22"/>
          <w:szCs w:val="22"/>
          <w:color w:val="auto"/>
        </w:rPr>
        <w:t>" shall mean, with respect to, any issuance or incurrence of any Indebtedness, any issuance of Equity Interests, any disposition of assets or the receipt of any Extraordinary Receipts by GLDD or any of its Subsidiaries, the aggregate amount of cash received (directly or indirectly) from time to time (whether as initial consideration or through the payment or disposition of deferred consideration) by or on behalf of such Person or such Subsidiary, in connection therewith after deducting therefrom only (a) in the case of any disposition of assets, the amount of any Permitted Indebtedness secured by any Permitted Encumbrance on such assets if such Permitted Encumbrance constitutes a lien set forth in clause (g) of the definition thereof or is not subordinated to the Lien of Agent securing the Obligations and is required to be, and is, repaid in connection therewith (other than Indebtedness under this Agreement), (b) reasonable expenses, transaction fees, underwriting fees and similar fees, related thereto incurred by such Person or such Subsidiary in connection therewith, (c) transfer taxes paid to any taxing authorities by such Person or such Subsidiary in connection therewith, and (d) net income taxes (or a reasonable reserve therefor) to be paid in connection therewith (after taking into account any tax credits or deductions available under applicable law, including by way of being a member of a consolidated, combined or unitary group), in each case, to the extent, but only to the extent, that the amounts so deducted are (i) actually paid to a Person that, except in the case of payments permitted under Section 7.10 hereof, reasonable out-of-pocket expenses or taxes, is not an Affiliate of such Person or any of its Subsidiaries and (ii) properly attributable to such transaction or to the asset that is the subject thereof.</w:t>
      </w:r>
    </w:p>
    <w:p>
      <w:pPr>
        <w:spacing w:after="0" w:line="200" w:lineRule="exact"/>
        <w:rPr>
          <w:sz w:val="20"/>
          <w:szCs w:val="20"/>
          <w:color w:val="auto"/>
        </w:rPr>
      </w:pPr>
    </w:p>
    <w:p>
      <w:pPr>
        <w:spacing w:after="0" w:line="257" w:lineRule="exact"/>
        <w:rPr>
          <w:sz w:val="20"/>
          <w:szCs w:val="20"/>
          <w:color w:val="auto"/>
        </w:rPr>
      </w:pPr>
    </w:p>
    <w:p>
      <w:pPr>
        <w:jc w:val="both"/>
        <w:ind w:firstLine="749"/>
        <w:spacing w:after="0" w:line="29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Net Income</w:t>
      </w:r>
      <w:r>
        <w:rPr>
          <w:rFonts w:ascii="Times New Roman" w:cs="Times New Roman" w:eastAsia="Times New Roman" w:hAnsi="Times New Roman"/>
          <w:sz w:val="22"/>
          <w:szCs w:val="22"/>
          <w:color w:val="auto"/>
        </w:rPr>
        <w:t>" shall mean, for any period, with respect to GLDD on a Consolidated Basis, the net income (or loss) for such period, determined on a Consolidated basis, without</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88" w:name="page89"/>
    <w:bookmarkEnd w:id="88"/>
    <w:p>
      <w:pPr>
        <w:jc w:val="both"/>
        <w:spacing w:after="0" w:line="275" w:lineRule="auto"/>
        <w:rPr>
          <w:sz w:val="20"/>
          <w:szCs w:val="20"/>
          <w:color w:val="auto"/>
        </w:rPr>
      </w:pPr>
      <w:r>
        <w:rPr>
          <w:rFonts w:ascii="Times New Roman" w:cs="Times New Roman" w:eastAsia="Times New Roman" w:hAnsi="Times New Roman"/>
          <w:sz w:val="22"/>
          <w:szCs w:val="22"/>
          <w:color w:val="auto"/>
        </w:rPr>
        <w:t>duplication, in accordance with GAAP (exclusive of (i) interest income, (ii) net income attributable to any Subsidiary of GLDD that is not a Credit Party and not wholly-owned directly or indirectly by GLDD, (iii) gains from the sale of assets, and (iv) all amounts in respect of any extraordinary or non-recurring gains).</w:t>
      </w:r>
    </w:p>
    <w:p>
      <w:pPr>
        <w:spacing w:after="0" w:line="156" w:lineRule="exact"/>
        <w:rPr>
          <w:sz w:val="20"/>
          <w:szCs w:val="20"/>
          <w:color w:val="auto"/>
        </w:rPr>
      </w:pPr>
    </w:p>
    <w:p>
      <w:pPr>
        <w:jc w:val="both"/>
        <w:ind w:firstLine="749"/>
        <w:spacing w:after="0" w:line="26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Net Orderly Liquidation Value</w:t>
      </w:r>
      <w:r>
        <w:rPr>
          <w:rFonts w:ascii="Times New Roman" w:cs="Times New Roman" w:eastAsia="Times New Roman" w:hAnsi="Times New Roman"/>
          <w:sz w:val="22"/>
          <w:szCs w:val="22"/>
          <w:color w:val="auto"/>
        </w:rPr>
        <w:t xml:space="preserve">" shall mean, as of any date of determination, with respect to Eligible Fleet Assets, the value of such Eligible Fleet Assets that is estimated to be recoverable in an orderly liquidation of such Eligible Fleet Assets, net of all associated costs and expenses of such liquidation, as determined based upon an Acceptable Appraisal;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with respect to any particular item of Eligible Fleet Asset, costs and expenses of liquidation will be such amount as reasonably determined by Agent.</w:t>
      </w:r>
    </w:p>
    <w:p>
      <w:pPr>
        <w:spacing w:after="0" w:line="169" w:lineRule="exact"/>
        <w:rPr>
          <w:sz w:val="20"/>
          <w:szCs w:val="20"/>
          <w:color w:val="auto"/>
        </w:rPr>
      </w:pPr>
    </w:p>
    <w:p>
      <w:pPr>
        <w:jc w:val="both"/>
        <w:ind w:firstLine="749"/>
        <w:spacing w:after="0" w:line="26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New Fleet Asset</w:t>
      </w:r>
      <w:r>
        <w:rPr>
          <w:rFonts w:ascii="Times New Roman" w:cs="Times New Roman" w:eastAsia="Times New Roman" w:hAnsi="Times New Roman"/>
          <w:sz w:val="22"/>
          <w:szCs w:val="22"/>
          <w:color w:val="auto"/>
        </w:rPr>
        <w:t>" shall mean (a) any Fleet Asset not subject to an Acceptable Appraisal acquired by a Credit Party in the Ordinary Course of Business in an arm's length transaction after the Closing Date or (b) any Fleet Asset constructed by a Credit Party but only if such Fleet Asset is a Documented Vessel, free and clear of all Liens (other than Permitted Encumbrances), operational, in class and not subject to an Acceptable Appraisal. Any Fleet Asset shall cease to be a New Fleet Asset if, after such Fleet Asset has become a New Fleet Asset, Agent receives an Acceptable Appraisal.</w:t>
      </w:r>
    </w:p>
    <w:p>
      <w:pPr>
        <w:spacing w:after="0" w:line="169" w:lineRule="exact"/>
        <w:rPr>
          <w:sz w:val="20"/>
          <w:szCs w:val="20"/>
          <w:color w:val="auto"/>
        </w:rPr>
      </w:pPr>
    </w:p>
    <w:p>
      <w:pPr>
        <w:jc w:val="both"/>
        <w:ind w:firstLine="749"/>
        <w:spacing w:after="0" w:line="29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Non-Defaulting Lender</w:t>
      </w:r>
      <w:r>
        <w:rPr>
          <w:rFonts w:ascii="Times New Roman" w:cs="Times New Roman" w:eastAsia="Times New Roman" w:hAnsi="Times New Roman"/>
          <w:sz w:val="22"/>
          <w:szCs w:val="22"/>
          <w:color w:val="auto"/>
        </w:rPr>
        <w:t>" shall mean, at any time, any Lender holding a Revolving Commitment that is not a Defaulting Lender at such time.</w:t>
      </w:r>
    </w:p>
    <w:p>
      <w:pPr>
        <w:spacing w:after="0" w:line="134" w:lineRule="exact"/>
        <w:rPr>
          <w:sz w:val="20"/>
          <w:szCs w:val="20"/>
          <w:color w:val="auto"/>
        </w:rPr>
      </w:pPr>
    </w:p>
    <w:p>
      <w:pPr>
        <w:jc w:val="both"/>
        <w:ind w:firstLine="749"/>
        <w:spacing w:after="0" w:line="29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Non-Qualifying Party</w:t>
      </w:r>
      <w:r>
        <w:rPr>
          <w:rFonts w:ascii="Times New Roman" w:cs="Times New Roman" w:eastAsia="Times New Roman" w:hAnsi="Times New Roman"/>
          <w:sz w:val="22"/>
          <w:szCs w:val="22"/>
          <w:color w:val="auto"/>
        </w:rPr>
        <w:t>" shall mean any Borrower or any Guarantor that on the Eligibility Date fails for any reason to qualify as an Eligible Contract Participant.</w:t>
      </w:r>
    </w:p>
    <w:p>
      <w:pPr>
        <w:spacing w:after="0" w:line="13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Note</w:t>
      </w:r>
      <w:r>
        <w:rPr>
          <w:rFonts w:ascii="Times New Roman" w:cs="Times New Roman" w:eastAsia="Times New Roman" w:hAnsi="Times New Roman"/>
          <w:sz w:val="22"/>
          <w:szCs w:val="22"/>
          <w:color w:val="auto"/>
        </w:rPr>
        <w:t>" shall mean collectively, the Revolving Credit Notes and the Swing Loan Note.</w:t>
      </w:r>
    </w:p>
    <w:p>
      <w:pPr>
        <w:spacing w:after="0" w:line="233" w:lineRule="exact"/>
        <w:rPr>
          <w:sz w:val="20"/>
          <w:szCs w:val="20"/>
          <w:color w:val="auto"/>
        </w:rPr>
      </w:pPr>
    </w:p>
    <w:p>
      <w:pPr>
        <w:jc w:val="both"/>
        <w:ind w:firstLine="749"/>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Note Indenture</w:t>
      </w:r>
      <w:r>
        <w:rPr>
          <w:rFonts w:ascii="Times New Roman" w:cs="Times New Roman" w:eastAsia="Times New Roman" w:hAnsi="Times New Roman"/>
          <w:sz w:val="22"/>
          <w:szCs w:val="22"/>
          <w:color w:val="auto"/>
        </w:rPr>
        <w:t>" shall mean that certain Indenture, dated on or around May 25, 2021, among Wells Fargo Bank, National Association, as trustee, GLDD and the Subsidiary Guarantors party thereto, as the same may be amended, restated, supplemented or otherwise modified from time to time.</w:t>
      </w:r>
    </w:p>
    <w:p>
      <w:pPr>
        <w:spacing w:after="0" w:line="156" w:lineRule="exact"/>
        <w:rPr>
          <w:sz w:val="20"/>
          <w:szCs w:val="20"/>
          <w:color w:val="auto"/>
        </w:rPr>
      </w:pPr>
    </w:p>
    <w:p>
      <w:pPr>
        <w:jc w:val="both"/>
        <w:ind w:firstLine="749"/>
        <w:spacing w:after="0" w:line="26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Note Indenture Obligations</w:t>
      </w:r>
      <w:r>
        <w:rPr>
          <w:rFonts w:ascii="Times New Roman" w:cs="Times New Roman" w:eastAsia="Times New Roman" w:hAnsi="Times New Roman"/>
          <w:sz w:val="22"/>
          <w:szCs w:val="22"/>
          <w:color w:val="auto"/>
        </w:rPr>
        <w:t>" shall mean all of (a) GLDD's obligations under and with respect to the Note Indenture, including, without limitation, all obligations to pay principal in an aggregate principal amount not to exceed $325,000,000 under its 5.250% Senior Notes due 2029, and additional senior notes issued under the Note Indenture in an aggregate principal amount not to exceed $100,000,000 on terms and conditions which would satisfy each of the requirement of clauses (i) through (iv) of the proviso below in this definition as if the issuance of such additional notes constituted a refinancing of existing notes under the Note Indenture, and all interest, premium, fees, charges, expenses and indemnities with respect thereto, and all obligations to effect redemptions, repurchases and prepayments with respect thereto, in any case, whether fixed, contingent, matured or unmatured, and (b) GLDD's obligations under and with respect to such other unsecured Indebtedness the net proceeds of which are, in whole or in part, designated to be used, and are used reasonably promptly after the incurrence thereof, to refinance in whole or in part the then existing Note Indenture Obligations (including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89" w:name="page90"/>
    <w:bookmarkEnd w:id="89"/>
    <w:p>
      <w:pPr>
        <w:jc w:val="both"/>
        <w:spacing w:after="0" w:line="259" w:lineRule="auto"/>
        <w:rPr>
          <w:sz w:val="20"/>
          <w:szCs w:val="20"/>
          <w:color w:val="auto"/>
        </w:rPr>
      </w:pPr>
      <w:r>
        <w:rPr>
          <w:rFonts w:ascii="Times New Roman" w:cs="Times New Roman" w:eastAsia="Times New Roman" w:hAnsi="Times New Roman"/>
          <w:sz w:val="22"/>
          <w:szCs w:val="22"/>
          <w:color w:val="auto"/>
        </w:rPr>
        <w:t xml:space="preserve">subsequent refinancing thereof from time to time which constitutes a Permitted Note Refinancing);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(i) the aggregate principal amount of such refinancing Indebtedness and any remaining Indebtedness under the Note Indenture (and any Permitted Note Refinancing thereof) does not exceed the principal amount of $425,000,000, (ii) immediately after giving effect to the incurrence of such refinancing Indebtedness and the application of proceeds thereof, GLDD and its Subsidiaries will satisfy the Payment Conditions, (iii) such refinancing Indebtedness has a final maturity more than one hundred eighty (180) days after the Maturity Date and requires no scheduled payment of principal in cash prior to such date, and (iv) the terms of such refinancing Indebtedness, including the covenants, events of default and other terms and provisions (including quantities thereof), are reasonably acceptable to Agent, such acceptance not to be unreasonably withheld so long as such terms are no more restrictive, when taken as a whole, to GLDD and its Subsidiaries than are (x) in the case of any public issuance (including through a 144A or other similar issuance) of Indebtedness by GLDD, customary at the time of such refinancing of such type for issuers with a debt rating similar to that of GLDD and (y) in the case of any private issuance of Indebtedness by GLDD, as set forth in the Note Indenture (any such refinancing as described in this clause (b), a "</w:t>
      </w:r>
      <w:r>
        <w:rPr>
          <w:rFonts w:ascii="Times New Roman" w:cs="Times New Roman" w:eastAsia="Times New Roman" w:hAnsi="Times New Roman"/>
          <w:sz w:val="22"/>
          <w:szCs w:val="22"/>
          <w:u w:val="single" w:color="auto"/>
          <w:color w:val="auto"/>
        </w:rPr>
        <w:t>Permitted Note Refinancing</w:t>
      </w:r>
      <w:r>
        <w:rPr>
          <w:rFonts w:ascii="Times New Roman" w:cs="Times New Roman" w:eastAsia="Times New Roman" w:hAnsi="Times New Roman"/>
          <w:sz w:val="22"/>
          <w:szCs w:val="22"/>
          <w:color w:val="auto"/>
        </w:rPr>
        <w:t>").</w:t>
      </w:r>
    </w:p>
    <w:p>
      <w:pPr>
        <w:spacing w:after="0" w:line="1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NVDC</w:t>
      </w:r>
      <w:r>
        <w:rPr>
          <w:rFonts w:ascii="Times New Roman" w:cs="Times New Roman" w:eastAsia="Times New Roman" w:hAnsi="Times New Roman"/>
          <w:sz w:val="22"/>
          <w:szCs w:val="22"/>
          <w:color w:val="auto"/>
        </w:rPr>
        <w:t>" shall mean the U.S. Coast Guard National Vessel Documentation Center.</w:t>
      </w:r>
    </w:p>
    <w:p>
      <w:pPr>
        <w:spacing w:after="0" w:line="233"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Obligations</w:t>
      </w:r>
      <w:r>
        <w:rPr>
          <w:rFonts w:ascii="Times New Roman" w:cs="Times New Roman" w:eastAsia="Times New Roman" w:hAnsi="Times New Roman"/>
          <w:sz w:val="22"/>
          <w:szCs w:val="22"/>
          <w:color w:val="auto"/>
        </w:rPr>
        <w:t>" shall mean (i) any and all loans (including without limitation, all Advances and Swing Loans), advances, debts, liabilities, obligations (including without limitation all reimbursement obligations and Cash Collateralization obligations with respect to Letters of Credit issued hereunder), covenants and duties owing by any Borrower or any Guarantor to Issuer, Swing Loan Lender, Lenders or Agent (or to any other direct or indirect subsidiary or affiliate of Issuer, Swing Loan Lender, any Lender or Agent) of any kind or nature, present or future (including any interest or other amounts accruing thereon, any fees accruing under or in connection therewith, any costs and expenses of any Person payable by any Credit Party and any indemnification obligations payable by any Credit Party arising or payable after maturity, or after the filing of any petition in bankruptcy, or the commencement of any insolvency, reorganization or like proceeding relating to any Credit Party, whether or not a claim for post-filing or post-petition interest, fees or other amounts is allowable or allowed in such proceeding), whether or not for the payment of money, whether arising by reason of an extension of credit, opening or issuance of a letter of credit, loan, equipment lease, establishment of any commercial card or similar facility or guarantee, under any interest or currency swap, future, option or other similar agreement, or in any other manner, whether arising out of overdrafts or deposit or other accounts or electronic funds transfers (whether through automated clearing houses or otherwise) or out of Agent's or any Lender's non-receipt of or inability to collect funds or otherwise not being made whole in connection with depository transfer check or other similar arrangements, whether direct or indirect (including those acquired by assignment or participation), absolute or contingent, joint or several, due or to become due, now existing or hereafter arising, contractual or tortious, liquidated or unliquidated, in each case arising under or pursuant to this Agreement, the Other Documents and any amendments, extensions, renewals or increases thereto, including all costs and expenses of Agent, Issuer, Swing Loan Lender and any Lender incurred in the documentation,</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90" w:name="page91"/>
    <w:bookmarkEnd w:id="90"/>
    <w:p>
      <w:pPr>
        <w:jc w:val="both"/>
        <w:spacing w:after="0" w:line="265" w:lineRule="auto"/>
        <w:rPr>
          <w:sz w:val="20"/>
          <w:szCs w:val="20"/>
          <w:color w:val="auto"/>
        </w:rPr>
      </w:pPr>
      <w:r>
        <w:rPr>
          <w:rFonts w:ascii="Times New Roman" w:cs="Times New Roman" w:eastAsia="Times New Roman" w:hAnsi="Times New Roman"/>
          <w:sz w:val="22"/>
          <w:szCs w:val="22"/>
          <w:color w:val="auto"/>
        </w:rPr>
        <w:t>negotiation, modification, enforcement, collection or otherwise in connection with any of the foregoing, including but not limited to reasonable attorneys' fees and expenses and all obligations of any Credit Party to Agent, Issuer, Swing Loan Lender or Lenders to perform acts or refrain from taking any action, (ii) all Hedge Liabilities and (iii) all Cash Management Liabilities. Notwithstanding anything to the contrary contained in the foregoing, the Obligations shall not include any Excluded Hedge Liabilities.</w:t>
      </w:r>
    </w:p>
    <w:p>
      <w:pPr>
        <w:spacing w:after="0" w:line="16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OFAC</w:t>
      </w:r>
      <w:r>
        <w:rPr>
          <w:rFonts w:ascii="Times New Roman" w:cs="Times New Roman" w:eastAsia="Times New Roman" w:hAnsi="Times New Roman"/>
          <w:sz w:val="22"/>
          <w:szCs w:val="22"/>
          <w:color w:val="auto"/>
        </w:rPr>
        <w:t>" shall mean the Office of Foreign Assets Control of the U.S. Treasury Department.</w:t>
      </w:r>
    </w:p>
    <w:p>
      <w:pPr>
        <w:spacing w:after="0" w:line="233" w:lineRule="exact"/>
        <w:rPr>
          <w:sz w:val="20"/>
          <w:szCs w:val="20"/>
          <w:color w:val="auto"/>
        </w:rPr>
      </w:pPr>
    </w:p>
    <w:p>
      <w:pPr>
        <w:jc w:val="both"/>
        <w:ind w:firstLine="749"/>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Optional Currency</w:t>
      </w:r>
      <w:r>
        <w:rPr>
          <w:rFonts w:ascii="Times New Roman" w:cs="Times New Roman" w:eastAsia="Times New Roman" w:hAnsi="Times New Roman"/>
          <w:sz w:val="22"/>
          <w:szCs w:val="22"/>
          <w:color w:val="auto"/>
        </w:rPr>
        <w:t>" shall mean the following lawful currencies: BHD (Bahrain), QAR (Qatar), AED (United Arab Emirates), KWD (Kuwait), SAR (Saudi Arabia), EGP (Egypt), BRL (Brazil), INR (India), EUR (Europe), GBP (UK), AUD (Australia), ILS (Israel), and any other currency approved in writing by Agent.</w:t>
      </w:r>
    </w:p>
    <w:p>
      <w:pPr>
        <w:spacing w:after="0" w:line="156" w:lineRule="exact"/>
        <w:rPr>
          <w:sz w:val="20"/>
          <w:szCs w:val="20"/>
          <w:color w:val="auto"/>
        </w:rPr>
      </w:pPr>
    </w:p>
    <w:p>
      <w:pPr>
        <w:jc w:val="both"/>
        <w:ind w:firstLine="749"/>
        <w:spacing w:after="0" w:line="29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Ordinary Course of Business</w:t>
      </w:r>
      <w:r>
        <w:rPr>
          <w:rFonts w:ascii="Times New Roman" w:cs="Times New Roman" w:eastAsia="Times New Roman" w:hAnsi="Times New Roman"/>
          <w:sz w:val="22"/>
          <w:szCs w:val="22"/>
          <w:color w:val="auto"/>
        </w:rPr>
        <w:t>" shall mean, with respect to any Credit Party, the ordinary course of such Credit Party's business as conducted on the Closing Date and reasonable extensions thereof.</w:t>
      </w:r>
    </w:p>
    <w:p>
      <w:pPr>
        <w:spacing w:after="0" w:line="134" w:lineRule="exact"/>
        <w:rPr>
          <w:sz w:val="20"/>
          <w:szCs w:val="20"/>
          <w:color w:val="auto"/>
        </w:rPr>
      </w:pPr>
    </w:p>
    <w:p>
      <w:pPr>
        <w:jc w:val="both"/>
        <w:ind w:firstLine="749"/>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Organizational Documents</w:t>
      </w:r>
      <w:r>
        <w:rPr>
          <w:rFonts w:ascii="Times New Roman" w:cs="Times New Roman" w:eastAsia="Times New Roman" w:hAnsi="Times New Roman"/>
          <w:sz w:val="22"/>
          <w:szCs w:val="22"/>
          <w:color w:val="auto"/>
        </w:rPr>
        <w:t>" shall mean, with respect to any Person, any charter, articles or certificate of incorporation, certificate of organization, registration or formation, certificate of partnership or limited partnership, bylaws, operating agreement, limited liability company agreement, or partnership agreement of such Person and any and all other applicable documents relating to such Person's formation, organization or entity governance matters (including any shareholders' or equity holders' agreement or voting trust agreement) and specifically includes, without limitation, any certificates of designation for preferred stock or other forms of preferred equity.</w:t>
      </w:r>
    </w:p>
    <w:p>
      <w:pPr>
        <w:spacing w:after="0" w:line="16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Original Closing Date</w:t>
      </w:r>
      <w:r>
        <w:rPr>
          <w:rFonts w:ascii="Times New Roman" w:cs="Times New Roman" w:eastAsia="Times New Roman" w:hAnsi="Times New Roman"/>
          <w:sz w:val="22"/>
          <w:szCs w:val="22"/>
          <w:color w:val="auto"/>
        </w:rPr>
        <w:t>" shall mean December 30, 2016.</w:t>
      </w:r>
    </w:p>
    <w:p>
      <w:pPr>
        <w:spacing w:after="0" w:line="233" w:lineRule="exact"/>
        <w:rPr>
          <w:sz w:val="20"/>
          <w:szCs w:val="20"/>
          <w:color w:val="auto"/>
        </w:rPr>
      </w:pPr>
    </w:p>
    <w:p>
      <w:pPr>
        <w:jc w:val="both"/>
        <w:ind w:firstLine="749"/>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Original Closing Date Ship Mortgage</w:t>
      </w:r>
      <w:r>
        <w:rPr>
          <w:rFonts w:ascii="Times New Roman" w:cs="Times New Roman" w:eastAsia="Times New Roman" w:hAnsi="Times New Roman"/>
          <w:sz w:val="22"/>
          <w:szCs w:val="22"/>
          <w:color w:val="auto"/>
        </w:rPr>
        <w:t>" shall mean the First Preferred Fleet Mortgage dated as of the Original Closing Date, executed by GLDD LLC in favor of Agent and Security Trustee, as such agreement may be amended or modified from time to time.</w:t>
      </w:r>
    </w:p>
    <w:p>
      <w:pPr>
        <w:spacing w:after="0" w:line="156"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Original Credit Agreement</w:t>
      </w:r>
      <w:r>
        <w:rPr>
          <w:rFonts w:ascii="Times New Roman" w:cs="Times New Roman" w:eastAsia="Times New Roman" w:hAnsi="Times New Roman"/>
          <w:sz w:val="22"/>
          <w:szCs w:val="22"/>
          <w:color w:val="auto"/>
        </w:rPr>
        <w:t>" shall mean that certain Revolving Credit and Security Agreement dated as of the Original Closing Date by and among Agent, the Joint Lead Arrangers and Joint Bookrunners party thereto, the Syndication Agent party thereto, the Documentation Agent party thereto, the Borrowers party thereto, the other Credit Parties party thereto and Original Lenders, as the same has been amended, supplemented or otherwise modified prior to the Closing Date.</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Original Lenders</w:t>
      </w:r>
      <w:r>
        <w:rPr>
          <w:rFonts w:ascii="Times New Roman" w:cs="Times New Roman" w:eastAsia="Times New Roman" w:hAnsi="Times New Roman"/>
          <w:sz w:val="22"/>
          <w:szCs w:val="22"/>
          <w:color w:val="auto"/>
        </w:rPr>
        <w:t>" shall mean the "Lenders" party to the Original Credit Agreement.</w:t>
      </w:r>
    </w:p>
    <w:p>
      <w:pPr>
        <w:spacing w:after="0" w:line="233" w:lineRule="exact"/>
        <w:rPr>
          <w:sz w:val="20"/>
          <w:szCs w:val="20"/>
          <w:color w:val="auto"/>
        </w:rPr>
      </w:pPr>
    </w:p>
    <w:p>
      <w:pPr>
        <w:jc w:val="both"/>
        <w:ind w:firstLine="749"/>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Other Connection Taxes</w:t>
      </w:r>
      <w:r>
        <w:rPr>
          <w:rFonts w:ascii="Times New Roman" w:cs="Times New Roman" w:eastAsia="Times New Roman" w:hAnsi="Times New Roman"/>
          <w:sz w:val="22"/>
          <w:szCs w:val="22"/>
          <w:color w:val="auto"/>
        </w:rPr>
        <w:t>" shall mean, with respect to Agent, any Lender, Participant, Swing Loan Lender, Issuer or any other recipient of any payment to be made by or on account of any Obligations, Taxes imposed as a result of a present or former connection between such</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91" w:name="page92"/>
    <w:bookmarkEnd w:id="91"/>
    <w:p>
      <w:pPr>
        <w:jc w:val="both"/>
        <w:spacing w:after="0" w:line="269" w:lineRule="auto"/>
        <w:rPr>
          <w:sz w:val="20"/>
          <w:szCs w:val="20"/>
          <w:color w:val="auto"/>
        </w:rPr>
      </w:pPr>
      <w:r>
        <w:rPr>
          <w:rFonts w:ascii="Times New Roman" w:cs="Times New Roman" w:eastAsia="Times New Roman" w:hAnsi="Times New Roman"/>
          <w:sz w:val="22"/>
          <w:szCs w:val="22"/>
          <w:color w:val="auto"/>
        </w:rPr>
        <w:t>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this Agreement or any Other Document, or sold or assigned an interest in any Advance, this Agreement or Other Document).</w:t>
      </w:r>
    </w:p>
    <w:p>
      <w:pPr>
        <w:spacing w:after="0" w:line="162"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Other Documents</w:t>
      </w:r>
      <w:r>
        <w:rPr>
          <w:rFonts w:ascii="Times New Roman" w:cs="Times New Roman" w:eastAsia="Times New Roman" w:hAnsi="Times New Roman"/>
          <w:sz w:val="22"/>
          <w:szCs w:val="22"/>
          <w:color w:val="auto"/>
        </w:rPr>
        <w:t>" shall mean any Note, the Perfection Certificates, the Fee Letter, any Guaranty, the Intercompany Subordination Agreement, any Pledge Agreement, any Lender-Provided Interest Rate Hedge any Lender-Provided Foreign Currency/Commodity Hedge, Maritime Security Documents, each Intercreditor Agreement, and any and all other agreements, instruments and documents, including intercreditor agreements, guaranties, pledges, powers of attorney, consents, interest or currency swap agreements or other similar agreements and all other writings heretofore, now or hereafter executed by any Borrower or any Guarantor and/or delivered to Agent or any Lender in respect of the transactions contemplated by this Agreement, in each case together with all extensions, renewals, amendments, supplements, modifications, substitutions and replacements thereto and thereof.</w:t>
      </w:r>
    </w:p>
    <w:p>
      <w:pPr>
        <w:spacing w:after="0" w:line="175"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Other Taxes</w:t>
      </w:r>
      <w:r>
        <w:rPr>
          <w:rFonts w:ascii="Times New Roman" w:cs="Times New Roman" w:eastAsia="Times New Roman" w:hAnsi="Times New Roman"/>
          <w:sz w:val="22"/>
          <w:szCs w:val="22"/>
          <w:color w:val="auto"/>
        </w:rPr>
        <w:t>" shall mean, with respect to Agent, any Lender, Participant, Swing Loan Lender, Issuer or any other recipient of any payment to be made by or on account of any obligations of a Credit Party under this Agreement or Other Document all present or future stamp or documentary taxes or any other excise or property taxes, charges or similar levies arising from any payment made hereunder or under any Other Document or from the execution, delivery or enforcement of, or otherwise with respect to, this Agreement or any Other Document, except any such Taxes that are Other Connection Taxes imposed with respect to an assignment (other than an assignment made at the request of a Credit Party or following an Event of Default described in Section 10.1, 10.7, 10.9 or 10.12).</w:t>
      </w:r>
    </w:p>
    <w:p>
      <w:pPr>
        <w:spacing w:after="0" w:line="1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Out-of-Formula Loans</w:t>
      </w:r>
      <w:r>
        <w:rPr>
          <w:rFonts w:ascii="Times New Roman" w:cs="Times New Roman" w:eastAsia="Times New Roman" w:hAnsi="Times New Roman"/>
          <w:sz w:val="22"/>
          <w:szCs w:val="22"/>
          <w:color w:val="auto"/>
        </w:rPr>
        <w:t>" shall mean any Advances in excess of the amount permitted under Section 2.1(a).</w:t>
      </w:r>
    </w:p>
    <w:p>
      <w:pPr>
        <w:spacing w:after="0" w:line="23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Overnight Bank Funding Rate</w:t>
      </w:r>
      <w:r>
        <w:rPr>
          <w:rFonts w:ascii="Times New Roman" w:cs="Times New Roman" w:eastAsia="Times New Roman" w:hAnsi="Times New Roman"/>
          <w:sz w:val="22"/>
          <w:szCs w:val="22"/>
          <w:color w:val="auto"/>
        </w:rPr>
        <w:t>" shall mean, for any, day the rate per annum (based on a year of three hundred sixty</w:t>
      </w:r>
    </w:p>
    <w:p>
      <w:pPr>
        <w:spacing w:after="0" w:line="41" w:lineRule="exact"/>
        <w:rPr>
          <w:sz w:val="20"/>
          <w:szCs w:val="20"/>
          <w:color w:val="auto"/>
        </w:rPr>
      </w:pPr>
    </w:p>
    <w:p>
      <w:pPr>
        <w:jc w:val="both"/>
        <w:ind w:firstLine="8"/>
        <w:spacing w:after="0" w:line="257" w:lineRule="auto"/>
        <w:tabs>
          <w:tab w:leader="none" w:pos="560"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days and actual days elapsed) comprised of both overnight federal funds and overnight eurocurrency borrowings by U.S.-managed banking offices of depository institutions, as such composite rate shall be determined by the Federal Reserve Bank of New York, as set forth on its public website from time to time, and as published on the next succeeding Business Day as the overnight bank funding rate by such Federal Reserve Bank (or by such other recognized electronic source (such as Bloomberg) selected by the Agent for the purpose of displaying such rate) (an "</w:t>
      </w:r>
      <w:r>
        <w:rPr>
          <w:rFonts w:ascii="Times New Roman" w:cs="Times New Roman" w:eastAsia="Times New Roman" w:hAnsi="Times New Roman"/>
          <w:sz w:val="22"/>
          <w:szCs w:val="22"/>
          <w:u w:val="single" w:color="auto"/>
          <w:color w:val="auto"/>
        </w:rPr>
        <w:t>Alternate Source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such day is not a Business Day, the Overnight Bank Funding Rate for such day shall be such rate on the immediately preceding Business Day;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that if such rate shall at any time, for any reason, no longer exist, a comparable replacement rate determined by the Agent at such time (which determination shall be conclusive absent manifest error). If the Overnight Bank Funding Rate determined as above would be less than zero, then such rate shall be deemed to be zero. The rate of interest charged shall be adjusted as of each Business Day based on changes in the Overnight Bank Funding Rate without notice to the Borrower.</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92" w:name="page93"/>
    <w:bookmarkEnd w:id="92"/>
    <w:p>
      <w:pPr>
        <w:jc w:val="both"/>
        <w:ind w:firstLine="749"/>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Participant</w:t>
      </w:r>
      <w:r>
        <w:rPr>
          <w:rFonts w:ascii="Times New Roman" w:cs="Times New Roman" w:eastAsia="Times New Roman" w:hAnsi="Times New Roman"/>
          <w:sz w:val="22"/>
          <w:szCs w:val="22"/>
          <w:color w:val="auto"/>
        </w:rPr>
        <w:t>" shall mean each Person (other than a natural Person) who shall be granted the right by any Lender to participate in any of the Advances and who shall have entered into a participation agreement in form and substance satisfactory to such Lender.</w:t>
      </w:r>
    </w:p>
    <w:p>
      <w:pPr>
        <w:spacing w:after="0" w:line="15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Participant Register</w:t>
      </w:r>
      <w:r>
        <w:rPr>
          <w:rFonts w:ascii="Times New Roman" w:cs="Times New Roman" w:eastAsia="Times New Roman" w:hAnsi="Times New Roman"/>
          <w:sz w:val="22"/>
          <w:szCs w:val="22"/>
          <w:color w:val="auto"/>
        </w:rPr>
        <w:t>" shall have the meaning set forth in Section 16.3(b) hereof.</w:t>
      </w:r>
    </w:p>
    <w:p>
      <w:pPr>
        <w:spacing w:after="0" w:line="23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Participation Advance</w:t>
      </w:r>
      <w:r>
        <w:rPr>
          <w:rFonts w:ascii="Times New Roman" w:cs="Times New Roman" w:eastAsia="Times New Roman" w:hAnsi="Times New Roman"/>
          <w:sz w:val="22"/>
          <w:szCs w:val="22"/>
          <w:color w:val="auto"/>
        </w:rPr>
        <w:t>" shall have the meaning set forth in Section 2.14(d) hereof.</w:t>
      </w:r>
    </w:p>
    <w:p>
      <w:pPr>
        <w:spacing w:after="0" w:line="233"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Participation Commitment</w:t>
      </w:r>
      <w:r>
        <w:rPr>
          <w:rFonts w:ascii="Times New Roman" w:cs="Times New Roman" w:eastAsia="Times New Roman" w:hAnsi="Times New Roman"/>
          <w:sz w:val="22"/>
          <w:szCs w:val="22"/>
          <w:color w:val="auto"/>
        </w:rPr>
        <w:t>" shall mean the obligation hereunder of each Lender holding a Revolving Commitment to buy a participation equal to its Revolving Commitment Percentage (subject to any reallocation pursuant to Section 2.22(b)(iii) hereof) in the Swing Loans made by Swing Loan Lender hereunder as provided for in Section 2.4(c) hereof and in the Letters of Credit issued hereunder as provided for in Section 2.14(a) hereof.</w:t>
      </w:r>
    </w:p>
    <w:p>
      <w:pPr>
        <w:spacing w:after="0" w:line="16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Payment Conditions</w:t>
      </w:r>
      <w:r>
        <w:rPr>
          <w:rFonts w:ascii="Times New Roman" w:cs="Times New Roman" w:eastAsia="Times New Roman" w:hAnsi="Times New Roman"/>
          <w:sz w:val="22"/>
          <w:szCs w:val="22"/>
          <w:color w:val="auto"/>
        </w:rPr>
        <w:t>" shall mean, with respect to any Proposed Payment, each of the following conditions:</w:t>
      </w:r>
    </w:p>
    <w:p>
      <w:pPr>
        <w:spacing w:after="0" w:line="229" w:lineRule="exact"/>
        <w:rPr>
          <w:sz w:val="20"/>
          <w:szCs w:val="20"/>
          <w:color w:val="auto"/>
        </w:rPr>
      </w:pPr>
    </w:p>
    <w:p>
      <w:pPr>
        <w:ind w:firstLine="1505"/>
        <w:spacing w:after="0" w:line="258" w:lineRule="auto"/>
        <w:tabs>
          <w:tab w:leader="none" w:pos="1929" w:val="left"/>
        </w:tabs>
        <w:numPr>
          <w:ilvl w:val="1"/>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Default or Event of Default shall have occurred and be continuing without being waived or would result from the making of the Proposed Payment;</w:t>
      </w:r>
    </w:p>
    <w:p>
      <w:pPr>
        <w:spacing w:after="0" w:line="158" w:lineRule="exact"/>
        <w:rPr>
          <w:rFonts w:ascii="Times New Roman" w:cs="Times New Roman" w:eastAsia="Times New Roman" w:hAnsi="Times New Roman"/>
          <w:sz w:val="22"/>
          <w:szCs w:val="22"/>
          <w:color w:val="auto"/>
        </w:rPr>
      </w:pPr>
    </w:p>
    <w:p>
      <w:pPr>
        <w:jc w:val="both"/>
        <w:ind w:firstLine="1505"/>
        <w:spacing w:after="0" w:line="247" w:lineRule="auto"/>
        <w:tabs>
          <w:tab w:leader="none" w:pos="1929" w:val="left"/>
        </w:tabs>
        <w:numPr>
          <w:ilvl w:val="1"/>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either (1)(x) for each day during the thirty (30) calendar days prior to the date of the Proposed Payment, Undrawn Availability (calculated to give pro forma effect to the Proposed Payment) has been greater than twenty-five percent (25%) of the Maximum Loan Amount and (y) after giving effect to the Proposed Payment, Undrawn Availability is greater than the greater of twenty-five percent (25%) of the Maximum Loan Amount and $82,500,000; or (2)(x) for each day during the thirty</w:t>
      </w:r>
    </w:p>
    <w:p>
      <w:pPr>
        <w:spacing w:after="0" w:line="1" w:lineRule="exact"/>
        <w:rPr>
          <w:rFonts w:ascii="Times New Roman" w:cs="Times New Roman" w:eastAsia="Times New Roman" w:hAnsi="Times New Roman"/>
          <w:sz w:val="21"/>
          <w:szCs w:val="21"/>
          <w:color w:val="auto"/>
        </w:rPr>
      </w:pPr>
    </w:p>
    <w:p>
      <w:pPr>
        <w:jc w:val="both"/>
        <w:ind w:firstLine="8"/>
        <w:spacing w:after="0" w:line="232" w:lineRule="auto"/>
        <w:tabs>
          <w:tab w:leader="none" w:pos="431"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calendar days prior to the date of the Proposed Payment, Undrawn Availability (calculated to give pro forma effect to the Proposed Payment) has been greater than fifteen percent (15%) of the Maximum Loan Amount, (y) after giving effect to the Proposed Payment, Undrawn Availability is greater than fifteen percent (15%) of the Maximum Loan Amount and (z) the Fixed Charge Coverage Ratio for the most recently completed four (4) fiscal quarter period for which Agent has received financial statements pursuant to Section 9.9 is at least 1.00 to 1.00 (calculated as if such Proposed Payment was made on the last day of such four (4) fiscal quarter period and constitutes a Fixed Charge); and</w:t>
      </w:r>
    </w:p>
    <w:p>
      <w:pPr>
        <w:spacing w:after="0" w:line="182" w:lineRule="exact"/>
        <w:rPr>
          <w:rFonts w:ascii="Times New Roman" w:cs="Times New Roman" w:eastAsia="Times New Roman" w:hAnsi="Times New Roman"/>
          <w:sz w:val="22"/>
          <w:szCs w:val="22"/>
          <w:color w:val="auto"/>
        </w:rPr>
      </w:pPr>
    </w:p>
    <w:p>
      <w:pPr>
        <w:ind w:right="20" w:firstLine="1505"/>
        <w:spacing w:after="0" w:line="258" w:lineRule="auto"/>
        <w:tabs>
          <w:tab w:leader="none" w:pos="1929" w:val="left"/>
        </w:tabs>
        <w:numPr>
          <w:ilvl w:val="1"/>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Borrowing Agent has delivered a certificate to Agent certifying that all conditions set forth in clauses (a) and (b) above have been satisfied after giving effect to the Proposed Payment.</w:t>
      </w:r>
    </w:p>
    <w:p>
      <w:pPr>
        <w:spacing w:after="0" w:line="162" w:lineRule="exact"/>
        <w:rPr>
          <w:sz w:val="20"/>
          <w:szCs w:val="20"/>
          <w:color w:val="auto"/>
        </w:rPr>
      </w:pPr>
    </w:p>
    <w:p>
      <w:pPr>
        <w:jc w:val="both"/>
        <w:ind w:firstLine="749"/>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Payment Office</w:t>
      </w:r>
      <w:r>
        <w:rPr>
          <w:rFonts w:ascii="Times New Roman" w:cs="Times New Roman" w:eastAsia="Times New Roman" w:hAnsi="Times New Roman"/>
          <w:sz w:val="22"/>
          <w:szCs w:val="22"/>
          <w:color w:val="auto"/>
        </w:rPr>
        <w:t>" shall mean initially Two Tower Center Boulevard, East Brunswick, New Jersey 08816; thereafter, such other office of Agent, if any, which it may designate by notice to Borrowing Agent and to each Lender to be the Payment Office.</w:t>
      </w:r>
    </w:p>
    <w:p>
      <w:pPr>
        <w:spacing w:after="0" w:line="156" w:lineRule="exact"/>
        <w:rPr>
          <w:sz w:val="20"/>
          <w:szCs w:val="20"/>
          <w:color w:val="auto"/>
        </w:rPr>
      </w:pPr>
    </w:p>
    <w:p>
      <w:pPr>
        <w:jc w:val="both"/>
        <w:ind w:firstLine="749"/>
        <w:spacing w:after="0" w:line="29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PBGC</w:t>
      </w:r>
      <w:r>
        <w:rPr>
          <w:rFonts w:ascii="Times New Roman" w:cs="Times New Roman" w:eastAsia="Times New Roman" w:hAnsi="Times New Roman"/>
          <w:sz w:val="22"/>
          <w:szCs w:val="22"/>
          <w:color w:val="auto"/>
        </w:rPr>
        <w:t>" shall mean the Pension Benefit Guaranty Corporation established pursuant to Subtitle A of Title IV of ERISA or any successor agency.</w:t>
      </w:r>
    </w:p>
    <w:p>
      <w:pPr>
        <w:spacing w:after="0" w:line="134" w:lineRule="exact"/>
        <w:rPr>
          <w:sz w:val="20"/>
          <w:szCs w:val="20"/>
          <w:color w:val="auto"/>
        </w:rPr>
      </w:pPr>
    </w:p>
    <w:p>
      <w:pPr>
        <w:jc w:val="both"/>
        <w:ind w:firstLine="749"/>
        <w:spacing w:after="0" w:line="29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Pension Plan</w:t>
      </w:r>
      <w:r>
        <w:rPr>
          <w:rFonts w:ascii="Times New Roman" w:cs="Times New Roman" w:eastAsia="Times New Roman" w:hAnsi="Times New Roman"/>
          <w:sz w:val="22"/>
          <w:szCs w:val="22"/>
          <w:color w:val="auto"/>
        </w:rPr>
        <w:t>" shall mean any Employee Benefit Plan, other than a Multiemployer Plan, which is subject to the provisions of Title IV of ERISA or Section 412 of the Code and</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93" w:name="page94"/>
    <w:bookmarkEnd w:id="93"/>
    <w:p>
      <w:pPr>
        <w:jc w:val="both"/>
        <w:spacing w:after="0" w:line="275" w:lineRule="auto"/>
        <w:rPr>
          <w:sz w:val="20"/>
          <w:szCs w:val="20"/>
          <w:color w:val="auto"/>
        </w:rPr>
      </w:pPr>
      <w:r>
        <w:rPr>
          <w:rFonts w:ascii="Times New Roman" w:cs="Times New Roman" w:eastAsia="Times New Roman" w:hAnsi="Times New Roman"/>
          <w:sz w:val="22"/>
          <w:szCs w:val="22"/>
          <w:color w:val="auto"/>
        </w:rPr>
        <w:t>which (a) is maintained, funded or administered for the employees of any Credit Party or any ERISA Affiliate or (b) has at any time within the preceding six (6) years been maintained, funded or administered for the employees of any Credit Party or any current or former ERISA Affiliates.</w:t>
      </w:r>
    </w:p>
    <w:p>
      <w:pPr>
        <w:spacing w:after="0" w:line="156" w:lineRule="exact"/>
        <w:rPr>
          <w:sz w:val="20"/>
          <w:szCs w:val="20"/>
          <w:color w:val="auto"/>
        </w:rPr>
      </w:pPr>
    </w:p>
    <w:p>
      <w:pPr>
        <w:jc w:val="both"/>
        <w:ind w:firstLine="749"/>
        <w:spacing w:after="0" w:line="29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Perfection Certificates</w:t>
      </w:r>
      <w:r>
        <w:rPr>
          <w:rFonts w:ascii="Times New Roman" w:cs="Times New Roman" w:eastAsia="Times New Roman" w:hAnsi="Times New Roman"/>
          <w:sz w:val="22"/>
          <w:szCs w:val="22"/>
          <w:color w:val="auto"/>
        </w:rPr>
        <w:t>" shall mean, collectively, the information questionnaires and the responses thereto provided by each Credit Party and delivered to Agent.</w:t>
      </w:r>
    </w:p>
    <w:p>
      <w:pPr>
        <w:spacing w:after="0" w:line="134" w:lineRule="exact"/>
        <w:rPr>
          <w:sz w:val="20"/>
          <w:szCs w:val="20"/>
          <w:color w:val="auto"/>
        </w:rPr>
      </w:pPr>
    </w:p>
    <w:p>
      <w:pPr>
        <w:jc w:val="both"/>
        <w:ind w:firstLine="749"/>
        <w:spacing w:after="0" w:line="26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Acquisitions</w:t>
      </w:r>
      <w:r>
        <w:rPr>
          <w:rFonts w:ascii="Times New Roman" w:cs="Times New Roman" w:eastAsia="Times New Roman" w:hAnsi="Times New Roman"/>
          <w:sz w:val="22"/>
          <w:szCs w:val="22"/>
          <w:color w:val="auto"/>
        </w:rPr>
        <w:t>" shall mean the purchase or acquisition of all or substantially all of the property and assets or business of, any Person or of assets constituting a business unit, a line of business or division of such Person, or of all of the Equity Interests in a Person that, upon the consummation thereof, will be a Subsidiary that is wholly owned directly by GLDD or one or more of its wholly owned Subsidiaries (including, without limitation, as a result of a merger or consolidation), in each case so long as each of the following conditions are satisfied with respect to each purchase or other acquisition:</w:t>
      </w:r>
    </w:p>
    <w:p>
      <w:pPr>
        <w:spacing w:after="0" w:line="200" w:lineRule="exact"/>
        <w:rPr>
          <w:sz w:val="20"/>
          <w:szCs w:val="20"/>
          <w:color w:val="auto"/>
        </w:rPr>
      </w:pPr>
    </w:p>
    <w:p>
      <w:pPr>
        <w:spacing w:after="0" w:line="236" w:lineRule="exact"/>
        <w:rPr>
          <w:sz w:val="20"/>
          <w:szCs w:val="20"/>
          <w:color w:val="auto"/>
        </w:rPr>
      </w:pPr>
    </w:p>
    <w:p>
      <w:pPr>
        <w:jc w:val="both"/>
        <w:ind w:firstLine="1505"/>
        <w:spacing w:after="0" w:line="238" w:lineRule="auto"/>
        <w:tabs>
          <w:tab w:leader="none" w:pos="1929"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Payment Conditions have been satisfied;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such purchase or acquisition may be consummated without having satisfied the Payment Conditions so long as the consideration payable in respect thereof is made solely with the net cash proceeds of any substantially concurrent sale or issuance of any Equity Interests (other than Disqualified Equity Interests of GLDD) so long as the aggregate consideration paid by GLDD or any Subsidiary for all such acquisitions made pursuant to this proviso on and after the Closing Date shall not exceed $75,000,000;</w:t>
      </w:r>
    </w:p>
    <w:p>
      <w:pPr>
        <w:spacing w:after="0" w:line="176" w:lineRule="exact"/>
        <w:rPr>
          <w:rFonts w:ascii="Times New Roman" w:cs="Times New Roman" w:eastAsia="Times New Roman" w:hAnsi="Times New Roman"/>
          <w:sz w:val="22"/>
          <w:szCs w:val="22"/>
          <w:color w:val="auto"/>
        </w:rPr>
      </w:pPr>
    </w:p>
    <w:p>
      <w:pPr>
        <w:jc w:val="both"/>
        <w:ind w:firstLine="1505"/>
        <w:spacing w:after="0" w:line="244" w:lineRule="auto"/>
        <w:tabs>
          <w:tab w:leader="none" w:pos="1929"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newly created or acquired Subsidiary shall have complied with the requirements of Section 6.11 and Section 7.12 or made arrangements reasonably satisfactory to Agent for compliance within ten (10) Business Days after the effectiveness of such Permitted Acquisition (or such longer period as agreed by Agent in its sole discretion);</w:t>
      </w:r>
    </w:p>
    <w:p>
      <w:pPr>
        <w:spacing w:after="0" w:line="173" w:lineRule="exact"/>
        <w:rPr>
          <w:rFonts w:ascii="Times New Roman" w:cs="Times New Roman" w:eastAsia="Times New Roman" w:hAnsi="Times New Roman"/>
          <w:sz w:val="22"/>
          <w:szCs w:val="22"/>
          <w:color w:val="auto"/>
        </w:rPr>
      </w:pPr>
    </w:p>
    <w:p>
      <w:pPr>
        <w:jc w:val="both"/>
        <w:ind w:firstLine="1505"/>
        <w:spacing w:after="0" w:line="244" w:lineRule="auto"/>
        <w:tabs>
          <w:tab w:leader="none" w:pos="1929"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any acquisition for which the aggregate consideration paid by GLDD or any Subsidiary exceeds $50,000,000, Borrowing Agent shall have provided at least ten (10) days prior written notice of such acquisition to Agent and shall have delivered to Agent historical financial statements and projections and a quality of earnings report;</w:t>
      </w:r>
    </w:p>
    <w:p>
      <w:pPr>
        <w:spacing w:after="0" w:line="173" w:lineRule="exact"/>
        <w:rPr>
          <w:rFonts w:ascii="Times New Roman" w:cs="Times New Roman" w:eastAsia="Times New Roman" w:hAnsi="Times New Roman"/>
          <w:sz w:val="22"/>
          <w:szCs w:val="22"/>
          <w:color w:val="auto"/>
        </w:rPr>
      </w:pPr>
    </w:p>
    <w:p>
      <w:pPr>
        <w:ind w:right="20" w:firstLine="1505"/>
        <w:spacing w:after="0" w:line="258" w:lineRule="auto"/>
        <w:tabs>
          <w:tab w:leader="none" w:pos="1929"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acquisition has been approved by the board of directors (or equivalent governing body) of the Person to be acquired (to the extent such approval is necessary);</w:t>
      </w:r>
    </w:p>
    <w:p>
      <w:pPr>
        <w:spacing w:after="0" w:line="158" w:lineRule="exact"/>
        <w:rPr>
          <w:rFonts w:ascii="Times New Roman" w:cs="Times New Roman" w:eastAsia="Times New Roman" w:hAnsi="Times New Roman"/>
          <w:sz w:val="22"/>
          <w:szCs w:val="22"/>
          <w:color w:val="auto"/>
        </w:rPr>
      </w:pPr>
    </w:p>
    <w:p>
      <w:pPr>
        <w:jc w:val="both"/>
        <w:ind w:firstLine="1505"/>
        <w:spacing w:after="0" w:line="244" w:lineRule="auto"/>
        <w:tabs>
          <w:tab w:leader="none" w:pos="1929"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later than ten (10) Business Days (or such later time as may be reasonably acceptable to Agent) after the proposed closing date or such acquisition, GLDD, to the extent requested by Agent, shall have delivered to Agent promptly upon the finalization thereof copies of the final Permitted Acquisition documents;</w:t>
      </w:r>
    </w:p>
    <w:p>
      <w:pPr>
        <w:spacing w:after="0" w:line="173" w:lineRule="exact"/>
        <w:rPr>
          <w:rFonts w:ascii="Times New Roman" w:cs="Times New Roman" w:eastAsia="Times New Roman" w:hAnsi="Times New Roman"/>
          <w:sz w:val="22"/>
          <w:szCs w:val="22"/>
          <w:color w:val="auto"/>
        </w:rPr>
      </w:pPr>
    </w:p>
    <w:p>
      <w:pPr>
        <w:ind w:firstLine="1505"/>
        <w:spacing w:after="0" w:line="258" w:lineRule="auto"/>
        <w:tabs>
          <w:tab w:leader="none" w:pos="1929"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Default or Event of Default shall have occurred and be continuing without being waived or would result from the making of such Permitted Acquisition; and</w:t>
      </w:r>
    </w:p>
    <w:p>
      <w:pPr>
        <w:spacing w:after="0" w:line="158" w:lineRule="exact"/>
        <w:rPr>
          <w:rFonts w:ascii="Times New Roman" w:cs="Times New Roman" w:eastAsia="Times New Roman" w:hAnsi="Times New Roman"/>
          <w:sz w:val="22"/>
          <w:szCs w:val="22"/>
          <w:color w:val="auto"/>
        </w:rPr>
      </w:pPr>
    </w:p>
    <w:p>
      <w:pPr>
        <w:ind w:firstLine="1505"/>
        <w:spacing w:after="0" w:line="258" w:lineRule="auto"/>
        <w:tabs>
          <w:tab w:leader="none" w:pos="1929"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Borrowing Agent shall have delivered to Agent at least one (1) Business Day (or such later time as may be reasonably acceptable to Agent) prior to the date on which any</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94" w:name="page95"/>
    <w:bookmarkEnd w:id="94"/>
    <w:p>
      <w:pPr>
        <w:jc w:val="both"/>
        <w:spacing w:after="0" w:line="244" w:lineRule="auto"/>
        <w:rPr>
          <w:sz w:val="20"/>
          <w:szCs w:val="20"/>
          <w:color w:val="auto"/>
        </w:rPr>
      </w:pPr>
      <w:r>
        <w:rPr>
          <w:rFonts w:ascii="Times New Roman" w:cs="Times New Roman" w:eastAsia="Times New Roman" w:hAnsi="Times New Roman"/>
          <w:sz w:val="22"/>
          <w:szCs w:val="22"/>
          <w:color w:val="auto"/>
        </w:rPr>
        <w:t>such Permitted Acquisition is to be consummated, a certificate of an officer, in form and substance reasonably satisfactory to Agent, certifying that all of the requirements set forth in this definition of Permitted Acquisition have been satisfied or will be satisfied on or prior to the consummation of such Permitted Acquisition.</w:t>
      </w:r>
    </w:p>
    <w:p>
      <w:pPr>
        <w:spacing w:after="0" w:line="17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No assets acquired in any such transaction(s) shall be included in the Formula Amount until Agent has received a collateral audit and appraisal of such assets, in form and substance reasonably acceptable to Agent. For the purposes of calculating Undrawn Availability under this definition, any assets being acquired in the proposed acquisition shall not be included in the Formula Amount.</w:t>
      </w:r>
    </w:p>
    <w:p>
      <w:pPr>
        <w:spacing w:after="0" w:line="184" w:lineRule="exact"/>
        <w:rPr>
          <w:sz w:val="20"/>
          <w:szCs w:val="20"/>
          <w:color w:val="auto"/>
        </w:rPr>
      </w:pPr>
    </w:p>
    <w:p>
      <w:pPr>
        <w:jc w:val="both"/>
        <w:ind w:firstLine="749"/>
        <w:spacing w:after="0" w:line="29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Additional Surety Provider Guaranty Obligations</w:t>
      </w:r>
      <w:r>
        <w:rPr>
          <w:rFonts w:ascii="Times New Roman" w:cs="Times New Roman" w:eastAsia="Times New Roman" w:hAnsi="Times New Roman"/>
          <w:sz w:val="22"/>
          <w:szCs w:val="22"/>
          <w:color w:val="auto"/>
        </w:rPr>
        <w:t>" shall mean Guaranty Obligations of any Borrower to any Additional Surety Provider under a Bonding Agreement permitted hereunder.</w:t>
      </w:r>
    </w:p>
    <w:p>
      <w:pPr>
        <w:spacing w:after="0" w:line="134" w:lineRule="exact"/>
        <w:rPr>
          <w:sz w:val="20"/>
          <w:szCs w:val="20"/>
          <w:color w:val="auto"/>
        </w:rPr>
      </w:pPr>
    </w:p>
    <w:p>
      <w:pPr>
        <w:jc w:val="both"/>
        <w:ind w:firstLine="749"/>
        <w:spacing w:after="0" w:line="29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Ascot Guaranty Obligations</w:t>
      </w:r>
      <w:r>
        <w:rPr>
          <w:rFonts w:ascii="Times New Roman" w:cs="Times New Roman" w:eastAsia="Times New Roman" w:hAnsi="Times New Roman"/>
          <w:sz w:val="22"/>
          <w:szCs w:val="22"/>
          <w:color w:val="auto"/>
        </w:rPr>
        <w:t>" shall mean Guaranty Obligations of GLDD to Ascot under the Ascot Agreement.</w:t>
      </w:r>
    </w:p>
    <w:p>
      <w:pPr>
        <w:spacing w:after="0" w:line="134" w:lineRule="exact"/>
        <w:rPr>
          <w:sz w:val="20"/>
          <w:szCs w:val="20"/>
          <w:color w:val="auto"/>
        </w:rPr>
      </w:pPr>
    </w:p>
    <w:p>
      <w:pPr>
        <w:jc w:val="both"/>
        <w:ind w:firstLine="749"/>
        <w:spacing w:after="0" w:line="26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Assignees</w:t>
      </w:r>
      <w:r>
        <w:rPr>
          <w:rFonts w:ascii="Times New Roman" w:cs="Times New Roman" w:eastAsia="Times New Roman" w:hAnsi="Times New Roman"/>
          <w:sz w:val="22"/>
          <w:szCs w:val="22"/>
          <w:color w:val="auto"/>
        </w:rPr>
        <w:t>" shall mean: (a) Agent, any Lender or any of their direct or indirect Affiliates; (b) any fund that is administered or managed by Agent or any Lender, an Affiliate of Agent or any Lender or a related entity; and (c) any Person to whom Agent or any Lender assigns its rights and obligations under this Agreement as part of an assignment and transfer of such Agent's or Lender's rights in and to a material portion of such Agent's or Lender's portfolio of asset-based credit facilities.</w:t>
      </w:r>
    </w:p>
    <w:p>
      <w:pPr>
        <w:spacing w:after="0" w:line="200" w:lineRule="exact"/>
        <w:rPr>
          <w:sz w:val="20"/>
          <w:szCs w:val="20"/>
          <w:color w:val="auto"/>
        </w:rPr>
      </w:pPr>
    </w:p>
    <w:p>
      <w:pPr>
        <w:spacing w:after="0" w:line="240" w:lineRule="exact"/>
        <w:rPr>
          <w:sz w:val="20"/>
          <w:szCs w:val="20"/>
          <w:color w:val="auto"/>
        </w:rPr>
      </w:pPr>
    </w:p>
    <w:p>
      <w:pPr>
        <w:jc w:val="both"/>
        <w:ind w:firstLine="749"/>
        <w:spacing w:after="0" w:line="29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Chubb Guaranty Obligations</w:t>
      </w:r>
      <w:r>
        <w:rPr>
          <w:rFonts w:ascii="Times New Roman" w:cs="Times New Roman" w:eastAsia="Times New Roman" w:hAnsi="Times New Roman"/>
          <w:sz w:val="22"/>
          <w:szCs w:val="22"/>
          <w:color w:val="auto"/>
        </w:rPr>
        <w:t>" shall mean Guaranty Obligations of GLDD to Chubb under the Chubb Agreement.</w:t>
      </w:r>
    </w:p>
    <w:p>
      <w:pPr>
        <w:spacing w:after="0" w:line="134" w:lineRule="exact"/>
        <w:rPr>
          <w:sz w:val="20"/>
          <w:szCs w:val="20"/>
          <w:color w:val="auto"/>
        </w:rPr>
      </w:pPr>
    </w:p>
    <w:p>
      <w:pPr>
        <w:jc w:val="both"/>
        <w:ind w:firstLine="749"/>
        <w:spacing w:after="0" w:line="29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Discretion</w:t>
      </w:r>
      <w:r>
        <w:rPr>
          <w:rFonts w:ascii="Times New Roman" w:cs="Times New Roman" w:eastAsia="Times New Roman" w:hAnsi="Times New Roman"/>
          <w:sz w:val="22"/>
          <w:szCs w:val="22"/>
          <w:color w:val="auto"/>
        </w:rPr>
        <w:t>" shall mean a determination made in good faith and in the exercise (from the perspective of a secured asset-based lender) of commercially reasonable business judgment.</w:t>
      </w:r>
    </w:p>
    <w:p>
      <w:pPr>
        <w:spacing w:after="0" w:line="13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Dispositions</w:t>
      </w:r>
      <w:r>
        <w:rPr>
          <w:rFonts w:ascii="Times New Roman" w:cs="Times New Roman" w:eastAsia="Times New Roman" w:hAnsi="Times New Roman"/>
          <w:sz w:val="22"/>
          <w:szCs w:val="22"/>
          <w:color w:val="auto"/>
        </w:rPr>
        <w:t>" shall mean:</w:t>
      </w:r>
    </w:p>
    <w:p>
      <w:pPr>
        <w:spacing w:after="0" w:line="229" w:lineRule="exact"/>
        <w:rPr>
          <w:sz w:val="20"/>
          <w:szCs w:val="20"/>
          <w:color w:val="auto"/>
        </w:rPr>
      </w:pPr>
    </w:p>
    <w:p>
      <w:pPr>
        <w:ind w:left="1940" w:hanging="435"/>
        <w:spacing w:after="0"/>
        <w:tabs>
          <w:tab w:leader="none" w:pos="1940"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sale of Inventory in the Ordinary Course of Business;</w:t>
      </w:r>
    </w:p>
    <w:p>
      <w:pPr>
        <w:spacing w:after="0" w:line="206" w:lineRule="exact"/>
        <w:rPr>
          <w:rFonts w:ascii="Times New Roman" w:cs="Times New Roman" w:eastAsia="Times New Roman" w:hAnsi="Times New Roman"/>
          <w:sz w:val="22"/>
          <w:szCs w:val="22"/>
          <w:color w:val="auto"/>
        </w:rPr>
      </w:pPr>
    </w:p>
    <w:p>
      <w:pPr>
        <w:jc w:val="both"/>
        <w:ind w:firstLine="1505"/>
        <w:spacing w:after="0" w:line="235" w:lineRule="auto"/>
        <w:tabs>
          <w:tab w:leader="none" w:pos="1929"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Ordinary Course of Business, the granting of (i) non-exclusive intellectual property licenses, (ii) leases, licenses, subleases or sublicenses of real property, (iii) bareboat charters of vessels with Agent's prior written consent, (iv) sub-bareboat charters of vessels, which (A) are not owned by Credit Parties and (B) are subject to bareboat charters in favor of Credit Parties, to Credit Parties or Affiliates, and (v) time charters of vessels to other Credit Parties, Affiliates or customers; provided that, with respect to subclauses (iii), (iv) and (v), the Credit Party entering into such charter shall cause the Liens on any Fleet Asset created under such charter or sub-charter to be subordinate to the Liens of Agent created under the Ship Mortgage (if any) covering such Fleet Asset;</w:t>
      </w:r>
    </w:p>
    <w:p>
      <w:pPr>
        <w:spacing w:after="0" w:line="183" w:lineRule="exact"/>
        <w:rPr>
          <w:rFonts w:ascii="Times New Roman" w:cs="Times New Roman" w:eastAsia="Times New Roman" w:hAnsi="Times New Roman"/>
          <w:sz w:val="22"/>
          <w:szCs w:val="22"/>
          <w:color w:val="auto"/>
        </w:rPr>
      </w:pPr>
    </w:p>
    <w:p>
      <w:pPr>
        <w:ind w:right="20" w:firstLine="1505"/>
        <w:spacing w:after="0" w:line="258" w:lineRule="auto"/>
        <w:tabs>
          <w:tab w:leader="none" w:pos="1929"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lapse or abandonment of registrations of immaterial intellectual property not necessary to the operation of Credit Parties' business;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95" w:name="page96"/>
    <w:bookmarkEnd w:id="95"/>
    <w:p>
      <w:pPr>
        <w:ind w:left="1940" w:hanging="435"/>
        <w:spacing w:after="0"/>
        <w:tabs>
          <w:tab w:leader="none" w:pos="1940"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intercompany dispositions of assets from a Credit Party to another Credit Party;</w:t>
      </w:r>
    </w:p>
    <w:p>
      <w:pPr>
        <w:spacing w:after="0" w:line="206"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usage of cash or Cash Equivalents in the Ordinary Course of Business for purposes not prohibited under</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this Agreement;</w:t>
      </w:r>
    </w:p>
    <w:p>
      <w:pPr>
        <w:spacing w:after="0" w:line="182" w:lineRule="exact"/>
        <w:rPr>
          <w:sz w:val="20"/>
          <w:szCs w:val="20"/>
          <w:color w:val="auto"/>
        </w:rPr>
      </w:pPr>
    </w:p>
    <w:p>
      <w:pPr>
        <w:ind w:left="1940" w:hanging="435"/>
        <w:spacing w:after="0"/>
        <w:tabs>
          <w:tab w:leader="none" w:pos="1940" w:val="left"/>
        </w:tabs>
        <w:numPr>
          <w:ilvl w:val="1"/>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issuances of Equity Interests to the extent not otherwise prohibited hereby;</w:t>
      </w:r>
    </w:p>
    <w:p>
      <w:pPr>
        <w:spacing w:after="0" w:line="206"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1"/>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Permitted Encumbrances;</w:t>
      </w:r>
    </w:p>
    <w:p>
      <w:pPr>
        <w:spacing w:after="0" w:line="206" w:lineRule="exact"/>
        <w:rPr>
          <w:rFonts w:ascii="Times New Roman" w:cs="Times New Roman" w:eastAsia="Times New Roman" w:hAnsi="Times New Roman"/>
          <w:sz w:val="22"/>
          <w:szCs w:val="22"/>
          <w:color w:val="auto"/>
        </w:rPr>
      </w:pPr>
    </w:p>
    <w:p>
      <w:pPr>
        <w:ind w:right="20" w:firstLine="1505"/>
        <w:spacing w:after="0" w:line="258" w:lineRule="auto"/>
        <w:tabs>
          <w:tab w:leader="none" w:pos="1929" w:val="left"/>
        </w:tabs>
        <w:numPr>
          <w:ilvl w:val="1"/>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transfers of assets as a result of an involuntary loss (including any eminent domain proceedings), damage or other casualty event;</w:t>
      </w:r>
    </w:p>
    <w:p>
      <w:pPr>
        <w:spacing w:after="0" w:line="158" w:lineRule="exact"/>
        <w:rPr>
          <w:rFonts w:ascii="Times New Roman" w:cs="Times New Roman" w:eastAsia="Times New Roman" w:hAnsi="Times New Roman"/>
          <w:sz w:val="22"/>
          <w:szCs w:val="22"/>
          <w:color w:val="auto"/>
        </w:rPr>
      </w:pPr>
    </w:p>
    <w:p>
      <w:pPr>
        <w:jc w:val="both"/>
        <w:ind w:right="20" w:firstLine="1505"/>
        <w:spacing w:after="0" w:line="244" w:lineRule="auto"/>
        <w:tabs>
          <w:tab w:leader="none" w:pos="1929" w:val="left"/>
        </w:tabs>
        <w:numPr>
          <w:ilvl w:val="1"/>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disposition of obsolete, worn-out or surplus Equipment (other than any Specified Fleet Asset) in the Ordinary Course of Business, including without limitation, in connection with an exchange for credit against the purchase price of similar replacement property;</w:t>
      </w:r>
    </w:p>
    <w:p>
      <w:pPr>
        <w:spacing w:after="0" w:line="173" w:lineRule="exact"/>
        <w:rPr>
          <w:rFonts w:ascii="Times New Roman" w:cs="Times New Roman" w:eastAsia="Times New Roman" w:hAnsi="Times New Roman"/>
          <w:sz w:val="22"/>
          <w:szCs w:val="22"/>
          <w:color w:val="auto"/>
        </w:rPr>
      </w:pPr>
    </w:p>
    <w:p>
      <w:pPr>
        <w:jc w:val="both"/>
        <w:ind w:firstLine="1505"/>
        <w:spacing w:after="0" w:line="249" w:lineRule="auto"/>
        <w:tabs>
          <w:tab w:leader="none" w:pos="1929" w:val="left"/>
        </w:tabs>
        <w:numPr>
          <w:ilvl w:val="1"/>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dispositions of Fleet Assets (other than the ATB), if all of the following conditions are met: (i) no Default or Event of Default has occurred and is continuing or will result from such disposition, (ii) the aggregate Net Orderly Liquidation Value of Fleet Assets of GLDD and its Subsidiaries sold or otherwise disposed of in any fiscal year does not exceed $30,000,000,</w:t>
      </w:r>
    </w:p>
    <w:p>
      <w:pPr>
        <w:spacing w:after="0" w:line="1" w:lineRule="exact"/>
        <w:rPr>
          <w:rFonts w:ascii="Times New Roman" w:cs="Times New Roman" w:eastAsia="Times New Roman" w:hAnsi="Times New Roman"/>
          <w:sz w:val="21"/>
          <w:szCs w:val="21"/>
          <w:color w:val="auto"/>
        </w:rPr>
      </w:pPr>
    </w:p>
    <w:p>
      <w:pPr>
        <w:jc w:val="both"/>
        <w:ind w:firstLine="8"/>
        <w:spacing w:after="0" w:line="235" w:lineRule="auto"/>
        <w:tabs>
          <w:tab w:leader="none" w:pos="390"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consideration received for any such disposition is at least equal to the fair market value of the applicable assets and the disposition is otherwise made on arm's length terms, and (iv) at least seventy-five percent (75%) of the consideration received for any such disposition is cash or cash equivalents;</w:t>
      </w:r>
    </w:p>
    <w:p>
      <w:pPr>
        <w:spacing w:after="0" w:line="177" w:lineRule="exact"/>
        <w:rPr>
          <w:rFonts w:ascii="Times New Roman" w:cs="Times New Roman" w:eastAsia="Times New Roman" w:hAnsi="Times New Roman"/>
          <w:sz w:val="22"/>
          <w:szCs w:val="22"/>
          <w:color w:val="auto"/>
        </w:rPr>
      </w:pPr>
    </w:p>
    <w:p>
      <w:pPr>
        <w:jc w:val="both"/>
        <w:ind w:firstLine="1505"/>
        <w:spacing w:after="0" w:line="236" w:lineRule="auto"/>
        <w:tabs>
          <w:tab w:leader="none" w:pos="1929" w:val="left"/>
        </w:tabs>
        <w:numPr>
          <w:ilvl w:val="1"/>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dispositions of Equipment (other than any Specified Fleet Asset) and Real Property, if all of the following conditions are met: (i) no Default or Event of Default has occurred and is continuing or will result from such disposition, (ii) the fair market value of Equipment and Real Property of GLDD and its Subsidiaries sold or otherwise disposed of in any fiscal year does not exceed $3,000,000, (iii) the consideration received for any such disposition is at least equal to the fair market value of the applicable assets and the disposition is otherwise made on arm's length terms, and (iv) at least seventy-five percent (75%) of the consideration received for any such disposition is cash or cash equivalents;</w:t>
      </w:r>
    </w:p>
    <w:p>
      <w:pPr>
        <w:spacing w:after="0" w:line="181" w:lineRule="exact"/>
        <w:rPr>
          <w:rFonts w:ascii="Times New Roman" w:cs="Times New Roman" w:eastAsia="Times New Roman" w:hAnsi="Times New Roman"/>
          <w:sz w:val="22"/>
          <w:szCs w:val="22"/>
          <w:color w:val="auto"/>
        </w:rPr>
      </w:pPr>
    </w:p>
    <w:p>
      <w:pPr>
        <w:jc w:val="both"/>
        <w:ind w:firstLine="1505"/>
        <w:spacing w:after="0" w:line="238" w:lineRule="auto"/>
        <w:tabs>
          <w:tab w:leader="none" w:pos="1929" w:val="left"/>
        </w:tabs>
        <w:numPr>
          <w:ilvl w:val="1"/>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dispositions of assets and property to any Strategic Joint Venture, if all of the following conditions are met: (i) no Default or Event of Default has occurred and is continuing or will result from such disposition, (ii) the fair market value of assets and property of GLDD and its Subsidiaries transferred or otherwise disposed of to any Strategic Joint Venture in any fiscal year does not exceed $30,000,000, and (iii) the consideration received for any such disposition is at least equal to the fair market value of the applicable assets and the disposition is otherwise made on arm's length terms;</w:t>
      </w:r>
    </w:p>
    <w:p>
      <w:pPr>
        <w:spacing w:after="0" w:line="172"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1"/>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Intentionally Omitted</w:t>
      </w:r>
      <w:r>
        <w:rPr>
          <w:rFonts w:ascii="Times New Roman" w:cs="Times New Roman" w:eastAsia="Times New Roman" w:hAnsi="Times New Roman"/>
          <w:sz w:val="22"/>
          <w:szCs w:val="22"/>
          <w:color w:val="auto"/>
        </w:rPr>
        <w:t>];</w:t>
      </w:r>
    </w:p>
    <w:p>
      <w:pPr>
        <w:spacing w:after="0" w:line="210" w:lineRule="exact"/>
        <w:rPr>
          <w:rFonts w:ascii="Times New Roman" w:cs="Times New Roman" w:eastAsia="Times New Roman" w:hAnsi="Times New Roman"/>
          <w:sz w:val="22"/>
          <w:szCs w:val="22"/>
          <w:color w:val="auto"/>
        </w:rPr>
      </w:pPr>
    </w:p>
    <w:p>
      <w:pPr>
        <w:jc w:val="both"/>
        <w:ind w:firstLine="1505"/>
        <w:spacing w:after="0" w:line="244" w:lineRule="auto"/>
        <w:tabs>
          <w:tab w:leader="none" w:pos="1929" w:val="left"/>
        </w:tabs>
        <w:numPr>
          <w:ilvl w:val="1"/>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other dispositions of assets (other than (i) any Equity Interests of any Credit Party that owns the ATB (and no other material assets), or (ii) the ATB), so long as the Payment Conditions have been satisfied both before and after giving effect to the removal of such</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96" w:name="page97"/>
    <w:bookmarkEnd w:id="96"/>
    <w:p>
      <w:pPr>
        <w:jc w:val="both"/>
        <w:spacing w:after="0" w:line="244" w:lineRule="auto"/>
        <w:rPr>
          <w:sz w:val="20"/>
          <w:szCs w:val="20"/>
          <w:color w:val="auto"/>
        </w:rPr>
      </w:pPr>
      <w:r>
        <w:rPr>
          <w:rFonts w:ascii="Times New Roman" w:cs="Times New Roman" w:eastAsia="Times New Roman" w:hAnsi="Times New Roman"/>
          <w:sz w:val="22"/>
          <w:szCs w:val="22"/>
          <w:color w:val="auto"/>
        </w:rPr>
        <w:t xml:space="preserve">assets from the calculation of the Gross Amount;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solely with respect to proposed dispositions of assets to any Strategic Joint Venture, up to $15,000,000 of suppressed availability may be included in the calculation of Undrawn Availability for purposes of satisfying the Payment Conditions under this clause (n); and</w:t>
      </w:r>
    </w:p>
    <w:p>
      <w:pPr>
        <w:spacing w:after="0" w:line="173" w:lineRule="exact"/>
        <w:rPr>
          <w:sz w:val="20"/>
          <w:szCs w:val="20"/>
          <w:color w:val="auto"/>
        </w:rPr>
      </w:pPr>
    </w:p>
    <w:p>
      <w:pPr>
        <w:ind w:right="20" w:firstLine="1505"/>
        <w:spacing w:after="0" w:line="258" w:lineRule="auto"/>
        <w:tabs>
          <w:tab w:leader="none" w:pos="1929"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dispositions of (i) any Equity Interests of any Credit Party that owns the ATB (and no other material assets) or (ii) the ATB, in each case, so long as the ATB Conditions have been satisfied.</w:t>
      </w:r>
    </w:p>
    <w:p>
      <w:pPr>
        <w:spacing w:after="0" w:line="162" w:lineRule="exact"/>
        <w:rPr>
          <w:sz w:val="20"/>
          <w:szCs w:val="20"/>
          <w:color w:val="auto"/>
        </w:rPr>
      </w:pPr>
    </w:p>
    <w:p>
      <w:pPr>
        <w:ind w:firstLine="749"/>
        <w:spacing w:after="0" w:line="29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Dual Guaranty Obligations</w:t>
      </w:r>
      <w:r>
        <w:rPr>
          <w:rFonts w:ascii="Times New Roman" w:cs="Times New Roman" w:eastAsia="Times New Roman" w:hAnsi="Times New Roman"/>
          <w:sz w:val="22"/>
          <w:szCs w:val="22"/>
          <w:color w:val="auto"/>
        </w:rPr>
        <w:t>" shall mean Guaranty Obligations of GLDD to Dual under the Dual Agreement.</w:t>
      </w:r>
    </w:p>
    <w:p>
      <w:pPr>
        <w:spacing w:after="0" w:line="13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Encumbrances</w:t>
      </w:r>
      <w:r>
        <w:rPr>
          <w:rFonts w:ascii="Times New Roman" w:cs="Times New Roman" w:eastAsia="Times New Roman" w:hAnsi="Times New Roman"/>
          <w:sz w:val="22"/>
          <w:szCs w:val="22"/>
          <w:color w:val="auto"/>
        </w:rPr>
        <w:t>" shall mean:</w:t>
      </w:r>
    </w:p>
    <w:p>
      <w:pPr>
        <w:spacing w:after="0" w:line="229" w:lineRule="exact"/>
        <w:rPr>
          <w:sz w:val="20"/>
          <w:szCs w:val="20"/>
          <w:color w:val="auto"/>
        </w:rPr>
      </w:pPr>
    </w:p>
    <w:p>
      <w:pPr>
        <w:ind w:right="20" w:firstLine="1505"/>
        <w:spacing w:after="0" w:line="258" w:lineRule="auto"/>
        <w:tabs>
          <w:tab w:leader="none" w:pos="1929"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in favor of Agent for the benefit of Agent and Lenders, including without limitation, Liens securing Hedge Liabilities and Cash Management Liabilities;</w:t>
      </w:r>
    </w:p>
    <w:p>
      <w:pPr>
        <w:spacing w:after="0" w:line="158"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for taxes, assessments or other governmental charges not delinquent or being Properly Contested;</w:t>
      </w:r>
    </w:p>
    <w:p>
      <w:pPr>
        <w:spacing w:after="0" w:line="206" w:lineRule="exact"/>
        <w:rPr>
          <w:rFonts w:ascii="Times New Roman" w:cs="Times New Roman" w:eastAsia="Times New Roman" w:hAnsi="Times New Roman"/>
          <w:sz w:val="22"/>
          <w:szCs w:val="22"/>
          <w:color w:val="auto"/>
        </w:rPr>
      </w:pPr>
    </w:p>
    <w:p>
      <w:pPr>
        <w:ind w:right="60" w:firstLine="1505"/>
        <w:spacing w:after="0" w:line="258" w:lineRule="auto"/>
        <w:tabs>
          <w:tab w:leader="none" w:pos="1929"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deposits to secure obligations under worker's compensation, social security or similar laws, or under unemployment insurance;</w:t>
      </w:r>
    </w:p>
    <w:p>
      <w:pPr>
        <w:spacing w:after="0" w:line="158" w:lineRule="exact"/>
        <w:rPr>
          <w:rFonts w:ascii="Times New Roman" w:cs="Times New Roman" w:eastAsia="Times New Roman" w:hAnsi="Times New Roman"/>
          <w:sz w:val="22"/>
          <w:szCs w:val="22"/>
          <w:color w:val="auto"/>
        </w:rPr>
      </w:pPr>
    </w:p>
    <w:p>
      <w:pPr>
        <w:jc w:val="both"/>
        <w:ind w:firstLine="1505"/>
        <w:spacing w:after="0" w:line="244" w:lineRule="auto"/>
        <w:tabs>
          <w:tab w:leader="none" w:pos="1929"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deposits to secure bids, tenders, contracts (other than contracts for the payment of money), leases, licenses, statutory obligations, surety, performance, litigation and appeal bonds and other obligations of like nature arising in the Ordinary Course of Business;</w:t>
      </w:r>
    </w:p>
    <w:p>
      <w:pPr>
        <w:spacing w:after="0" w:line="173" w:lineRule="exact"/>
        <w:rPr>
          <w:rFonts w:ascii="Times New Roman" w:cs="Times New Roman" w:eastAsia="Times New Roman" w:hAnsi="Times New Roman"/>
          <w:sz w:val="22"/>
          <w:szCs w:val="22"/>
          <w:color w:val="auto"/>
        </w:rPr>
      </w:pPr>
    </w:p>
    <w:p>
      <w:pPr>
        <w:jc w:val="both"/>
        <w:ind w:firstLine="1505"/>
        <w:spacing w:after="0" w:line="239" w:lineRule="auto"/>
        <w:tabs>
          <w:tab w:leader="none" w:pos="1929"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arising by virtue of the rendition, entry or issuance against any Credit Party or any Subsidiary, or any property of any Credit Party or any Subsidiary, of any judgment, writ, order, or decree to the extent the rendition, entry, issuance or continued existence of such judgment, writ, order or decree (or any event or circumstance relating thereto) has not resulted in the occurrence of an Event of Default under Section 10.6 hereof;</w:t>
      </w:r>
    </w:p>
    <w:p>
      <w:pPr>
        <w:spacing w:after="0" w:line="180" w:lineRule="exact"/>
        <w:rPr>
          <w:rFonts w:ascii="Times New Roman" w:cs="Times New Roman" w:eastAsia="Times New Roman" w:hAnsi="Times New Roman"/>
          <w:sz w:val="22"/>
          <w:szCs w:val="22"/>
          <w:color w:val="auto"/>
        </w:rPr>
      </w:pPr>
    </w:p>
    <w:p>
      <w:pPr>
        <w:jc w:val="both"/>
        <w:ind w:firstLine="1505"/>
        <w:spacing w:after="0" w:line="244" w:lineRule="auto"/>
        <w:tabs>
          <w:tab w:leader="none" w:pos="1929"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landlords', warehousemans', carriers', repairmens', mechanics', suppliers' workers', materialmen's, maritime or other like Liens and privileges, in each case, arising in the Ordinary Course of Business with respect to obligations which are not due or which are being Properly Contested;</w:t>
      </w:r>
    </w:p>
    <w:p>
      <w:pPr>
        <w:spacing w:after="0" w:line="173" w:lineRule="exact"/>
        <w:rPr>
          <w:rFonts w:ascii="Times New Roman" w:cs="Times New Roman" w:eastAsia="Times New Roman" w:hAnsi="Times New Roman"/>
          <w:sz w:val="22"/>
          <w:szCs w:val="22"/>
          <w:color w:val="auto"/>
        </w:rPr>
      </w:pPr>
    </w:p>
    <w:p>
      <w:pPr>
        <w:jc w:val="both"/>
        <w:ind w:firstLine="1505"/>
        <w:spacing w:after="0" w:line="238" w:lineRule="auto"/>
        <w:tabs>
          <w:tab w:leader="none" w:pos="1929"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Liens placed upon fixed assets acquired after the Closing Date to secure a portion of the purchase price thereof (including Capitalized Lease Obligations), including any Lien on any fixed assets acquired in a Permitted Acquisition,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 any such Lien shall not encumber any other property of any Credit Party and (II) the aggregate amount of Indebtedness secured by such Liens does not at any time exceed the amount of Permitted Indebtedness outstanding pursuant to clause (e) of the definition thereof;</w:t>
      </w:r>
    </w:p>
    <w:p>
      <w:pPr>
        <w:spacing w:after="0" w:line="176" w:lineRule="exact"/>
        <w:rPr>
          <w:rFonts w:ascii="Times New Roman" w:cs="Times New Roman" w:eastAsia="Times New Roman" w:hAnsi="Times New Roman"/>
          <w:sz w:val="22"/>
          <w:szCs w:val="22"/>
          <w:color w:val="auto"/>
        </w:rPr>
      </w:pPr>
    </w:p>
    <w:p>
      <w:pPr>
        <w:ind w:right="20" w:firstLine="1505"/>
        <w:spacing w:after="0" w:line="258" w:lineRule="auto"/>
        <w:tabs>
          <w:tab w:leader="none" w:pos="1929"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solely on earnest money deposits made by any Credit Party or any Subsidiary in connection with a letter of intent or purchase agreement with respect to a Permitted Acquisition,</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97" w:name="page98"/>
    <w:bookmarkEnd w:id="97"/>
    <w:p>
      <w:pPr>
        <w:ind w:right="40" w:firstLine="1505"/>
        <w:spacing w:after="0" w:line="258" w:lineRule="auto"/>
        <w:tabs>
          <w:tab w:leader="none" w:pos="1929"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in favor of customs and revenue authorities arising as a matter of law which secure payment of customs duties in connection with the importation of goods in the Ordinary Course of Business,</w:t>
      </w:r>
    </w:p>
    <w:p>
      <w:pPr>
        <w:spacing w:after="0" w:line="158" w:lineRule="exact"/>
        <w:rPr>
          <w:rFonts w:ascii="Times New Roman" w:cs="Times New Roman" w:eastAsia="Times New Roman" w:hAnsi="Times New Roman"/>
          <w:sz w:val="22"/>
          <w:szCs w:val="22"/>
          <w:color w:val="auto"/>
        </w:rPr>
      </w:pPr>
    </w:p>
    <w:p>
      <w:pPr>
        <w:jc w:val="both"/>
        <w:ind w:firstLine="1505"/>
        <w:spacing w:after="0" w:line="244" w:lineRule="auto"/>
        <w:tabs>
          <w:tab w:leader="none" w:pos="1929"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zoning restrictions, easements, licenses, rights-of-way or other restrictions or encumbrances on the use of any real property or other minor irregularities in title (including leasehold title) thereto, so long as the same do not materially impair the use, value, or marketability of such real property;</w:t>
      </w:r>
    </w:p>
    <w:p>
      <w:pPr>
        <w:spacing w:after="0" w:line="173"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precautionary Uniform Commercial Code financing statement filings regarding operating leases;</w:t>
      </w:r>
    </w:p>
    <w:p>
      <w:pPr>
        <w:spacing w:after="0" w:line="206" w:lineRule="exact"/>
        <w:rPr>
          <w:rFonts w:ascii="Times New Roman" w:cs="Times New Roman" w:eastAsia="Times New Roman" w:hAnsi="Times New Roman"/>
          <w:sz w:val="22"/>
          <w:szCs w:val="22"/>
          <w:color w:val="auto"/>
        </w:rPr>
      </w:pPr>
    </w:p>
    <w:p>
      <w:pPr>
        <w:jc w:val="both"/>
        <w:ind w:firstLine="1505"/>
        <w:spacing w:after="0" w:line="244" w:lineRule="auto"/>
        <w:tabs>
          <w:tab w:leader="none" w:pos="1929"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leases or subleases of real or personal property (other than Specified Fleet Assets where such lease constitutes a Permitted Disposition) granted to other Persons (as lessee thereof) not materially interfering with the conduct of the business of any Credit Party or any Subsidiary of a Credit Party;</w:t>
      </w:r>
    </w:p>
    <w:p>
      <w:pPr>
        <w:spacing w:after="0" w:line="173" w:lineRule="exact"/>
        <w:rPr>
          <w:rFonts w:ascii="Times New Roman" w:cs="Times New Roman" w:eastAsia="Times New Roman" w:hAnsi="Times New Roman"/>
          <w:sz w:val="22"/>
          <w:szCs w:val="22"/>
          <w:color w:val="auto"/>
        </w:rPr>
      </w:pPr>
    </w:p>
    <w:p>
      <w:pPr>
        <w:jc w:val="both"/>
        <w:ind w:firstLine="1505"/>
        <w:spacing w:after="0" w:line="244" w:lineRule="auto"/>
        <w:tabs>
          <w:tab w:leader="none" w:pos="1929"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on deposit accounts granted or arising in the Ordinary Course of Business in favor of depositary banks maintaining such deposit accounts solely to secure customary account fees and charges payable in respect of such deposit accounts and overdrafts not in violation of this Agreement;</w:t>
      </w:r>
    </w:p>
    <w:p>
      <w:pPr>
        <w:spacing w:after="0" w:line="173" w:lineRule="exact"/>
        <w:rPr>
          <w:rFonts w:ascii="Times New Roman" w:cs="Times New Roman" w:eastAsia="Times New Roman" w:hAnsi="Times New Roman"/>
          <w:sz w:val="22"/>
          <w:szCs w:val="22"/>
          <w:color w:val="auto"/>
        </w:rPr>
      </w:pPr>
    </w:p>
    <w:p>
      <w:pPr>
        <w:jc w:val="both"/>
        <w:ind w:firstLine="1505"/>
        <w:spacing w:after="0" w:line="239" w:lineRule="auto"/>
        <w:tabs>
          <w:tab w:leader="none" w:pos="1929"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Liens on the unearned portion of insurance premiums in favor of insurers (or other Persons financing the payment of insurance premiums) securing the premiums payable in respect of insurance policies issued by such insurers;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Liens attach solely to returned premiums in respect of such insurance policies and the proceeds of such policies;</w:t>
      </w:r>
    </w:p>
    <w:p>
      <w:pPr>
        <w:spacing w:after="0" w:line="180" w:lineRule="exact"/>
        <w:rPr>
          <w:rFonts w:ascii="Times New Roman" w:cs="Times New Roman" w:eastAsia="Times New Roman" w:hAnsi="Times New Roman"/>
          <w:sz w:val="22"/>
          <w:szCs w:val="22"/>
          <w:color w:val="auto"/>
        </w:rPr>
      </w:pPr>
    </w:p>
    <w:p>
      <w:pPr>
        <w:jc w:val="both"/>
        <w:ind w:firstLine="1505"/>
        <w:spacing w:after="0" w:line="239" w:lineRule="auto"/>
        <w:tabs>
          <w:tab w:leader="none" w:pos="1929"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Liens disclosed on Schedule 1.2; </w:t>
      </w:r>
      <w:r>
        <w:rPr>
          <w:rFonts w:ascii="Times New Roman" w:cs="Times New Roman" w:eastAsia="Times New Roman" w:hAnsi="Times New Roman"/>
          <w:sz w:val="22"/>
          <w:szCs w:val="22"/>
          <w:u w:val="single" w:color="auto"/>
          <w:color w:val="auto"/>
        </w:rPr>
        <w:t>provided that</w:t>
      </w:r>
      <w:r>
        <w:rPr>
          <w:rFonts w:ascii="Times New Roman" w:cs="Times New Roman" w:eastAsia="Times New Roman" w:hAnsi="Times New Roman"/>
          <w:sz w:val="22"/>
          <w:szCs w:val="22"/>
          <w:color w:val="auto"/>
        </w:rPr>
        <w:t xml:space="preserve"> such Liens shall secure only those obligations which they secure on the Closing Date (and extensions, renewals and refinancing of such obligations permitted by Section 7.8 hereof) and shall not subsequently apply to any other property or assets of any Credit Party other than the property and assets to which they apply as of the Closing Date;</w:t>
      </w:r>
    </w:p>
    <w:p>
      <w:pPr>
        <w:spacing w:after="0" w:line="176"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Intentionally Omitted]</w:t>
      </w:r>
      <w:r>
        <w:rPr>
          <w:rFonts w:ascii="Times New Roman" w:cs="Times New Roman" w:eastAsia="Times New Roman" w:hAnsi="Times New Roman"/>
          <w:sz w:val="22"/>
          <w:szCs w:val="22"/>
          <w:color w:val="auto"/>
        </w:rPr>
        <w:t>;</w:t>
      </w:r>
    </w:p>
    <w:p>
      <w:pPr>
        <w:spacing w:after="0" w:line="210" w:lineRule="exact"/>
        <w:rPr>
          <w:rFonts w:ascii="Times New Roman" w:cs="Times New Roman" w:eastAsia="Times New Roman" w:hAnsi="Times New Roman"/>
          <w:sz w:val="22"/>
          <w:szCs w:val="22"/>
          <w:color w:val="auto"/>
        </w:rPr>
      </w:pPr>
    </w:p>
    <w:p>
      <w:pPr>
        <w:jc w:val="both"/>
        <w:ind w:firstLine="1505"/>
        <w:spacing w:after="0" w:line="244" w:lineRule="auto"/>
        <w:tabs>
          <w:tab w:leader="none" w:pos="1929"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in favor of Ascot, Chubb, Dual, Liberty, Philly and any Additional Surety Provider to secure obligations of Borrowers to Ascot, Chubb, Dual, Liberty, Philly and any Additional Surety Provider arising in connection with Bonding Obligations so long as such liens are subordinate to Agent's Liens pursuant to the applicable Intercreditor Agreement;</w:t>
      </w:r>
    </w:p>
    <w:p>
      <w:pPr>
        <w:spacing w:after="0" w:line="173" w:lineRule="exact"/>
        <w:rPr>
          <w:rFonts w:ascii="Times New Roman" w:cs="Times New Roman" w:eastAsia="Times New Roman" w:hAnsi="Times New Roman"/>
          <w:sz w:val="22"/>
          <w:szCs w:val="22"/>
          <w:color w:val="auto"/>
        </w:rPr>
      </w:pPr>
    </w:p>
    <w:p>
      <w:pPr>
        <w:jc w:val="both"/>
        <w:ind w:firstLine="1505"/>
        <w:spacing w:after="0" w:line="244" w:lineRule="auto"/>
        <w:tabs>
          <w:tab w:leader="none" w:pos="1929"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on (i) any Release Eligible Vessel for which Agent has released its Lien in accordance with Section 4.13 and (ii) assets securing Indebtedness permitted to be incurred under clauses (d) and (e) of the definition of Permitted Indebtedness;</w:t>
      </w:r>
    </w:p>
    <w:p>
      <w:pPr>
        <w:spacing w:after="0" w:line="173" w:lineRule="exact"/>
        <w:rPr>
          <w:rFonts w:ascii="Times New Roman" w:cs="Times New Roman" w:eastAsia="Times New Roman" w:hAnsi="Times New Roman"/>
          <w:sz w:val="22"/>
          <w:szCs w:val="22"/>
          <w:color w:val="auto"/>
        </w:rPr>
      </w:pPr>
    </w:p>
    <w:p>
      <w:pPr>
        <w:jc w:val="both"/>
        <w:ind w:firstLine="1505"/>
        <w:spacing w:after="0" w:line="244" w:lineRule="auto"/>
        <w:tabs>
          <w:tab w:leader="none" w:pos="1929"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Liens securing Acquired Indebtedness permitted to be incurred under this Agreement;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Liens do not extend to assets not subject to such Lien at the time of acquisition (other than improvements and accessions thereto and replacements or proceeds thereof);</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98" w:name="page99"/>
    <w:bookmarkEnd w:id="98"/>
    <w:p>
      <w:pPr>
        <w:ind w:right="20" w:firstLine="1505"/>
        <w:spacing w:after="0" w:line="258" w:lineRule="auto"/>
        <w:tabs>
          <w:tab w:leader="none" w:pos="1929"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non-consensual Liens not described above securing obligations, provided the aggregate outstanding amount of the obligations secured thereby does not exceed $1,000,000 at any one time; and</w:t>
      </w:r>
    </w:p>
    <w:p>
      <w:pPr>
        <w:spacing w:after="0" w:line="158"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securing the Second Lien Loan, subject to the terms and conditions of the Intercreditor Agreement</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(Second Lien).</w:t>
      </w:r>
    </w:p>
    <w:p>
      <w:pPr>
        <w:spacing w:after="0" w:line="18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Indebtedness</w:t>
      </w:r>
      <w:r>
        <w:rPr>
          <w:rFonts w:ascii="Times New Roman" w:cs="Times New Roman" w:eastAsia="Times New Roman" w:hAnsi="Times New Roman"/>
          <w:sz w:val="22"/>
          <w:szCs w:val="22"/>
          <w:color w:val="auto"/>
        </w:rPr>
        <w:t>" shall mean:</w:t>
      </w:r>
    </w:p>
    <w:p>
      <w:pPr>
        <w:spacing w:after="0" w:line="229" w:lineRule="exact"/>
        <w:rPr>
          <w:sz w:val="20"/>
          <w:szCs w:val="20"/>
          <w:color w:val="auto"/>
        </w:rPr>
      </w:pPr>
    </w:p>
    <w:p>
      <w:pPr>
        <w:ind w:left="1940" w:hanging="435"/>
        <w:spacing w:after="0"/>
        <w:tabs>
          <w:tab w:leader="none" w:pos="1940" w:val="left"/>
        </w:tabs>
        <w:numPr>
          <w:ilvl w:val="1"/>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Obligations;</w:t>
      </w:r>
    </w:p>
    <w:p>
      <w:pPr>
        <w:spacing w:after="0" w:line="206" w:lineRule="exact"/>
        <w:rPr>
          <w:rFonts w:ascii="Times New Roman" w:cs="Times New Roman" w:eastAsia="Times New Roman" w:hAnsi="Times New Roman"/>
          <w:sz w:val="22"/>
          <w:szCs w:val="22"/>
          <w:color w:val="auto"/>
        </w:rPr>
      </w:pPr>
    </w:p>
    <w:p>
      <w:pPr>
        <w:ind w:firstLine="1505"/>
        <w:spacing w:after="0" w:line="258" w:lineRule="auto"/>
        <w:tabs>
          <w:tab w:leader="none" w:pos="1929" w:val="left"/>
        </w:tabs>
        <w:numPr>
          <w:ilvl w:val="1"/>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in respect of Hedge Liabilities entered into in order to manage existing or anticipated interest rate, exchange rate or commodity price risks and not for speculative purposes;</w:t>
      </w:r>
    </w:p>
    <w:p>
      <w:pPr>
        <w:spacing w:after="0" w:line="158" w:lineRule="exact"/>
        <w:rPr>
          <w:rFonts w:ascii="Times New Roman" w:cs="Times New Roman" w:eastAsia="Times New Roman" w:hAnsi="Times New Roman"/>
          <w:sz w:val="22"/>
          <w:szCs w:val="22"/>
          <w:color w:val="auto"/>
        </w:rPr>
      </w:pPr>
    </w:p>
    <w:p>
      <w:pPr>
        <w:jc w:val="both"/>
        <w:ind w:firstLine="1505"/>
        <w:spacing w:after="0" w:line="253" w:lineRule="auto"/>
        <w:tabs>
          <w:tab w:leader="none" w:pos="1929" w:val="left"/>
        </w:tabs>
        <w:numPr>
          <w:ilvl w:val="1"/>
          <w:numId w:val="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Indebtedness existing on the Amendment No. 2 Closing Date and listed on Schedule 1.4 (other than Note Indenture Obligations), and any refinancings, refundings, renewals, replacements, exchanges or extensions thereof; provided that</w:t>
      </w:r>
    </w:p>
    <w:p>
      <w:pPr>
        <w:jc w:val="both"/>
        <w:ind w:firstLine="8"/>
        <w:spacing w:after="0" w:line="232" w:lineRule="auto"/>
        <w:tabs>
          <w:tab w:leader="none" w:pos="273"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principal amount of such Indebtedness is not increased at the time of such refinancing, refunding, renewal, replacement, exchange or extension except by an amount equal to accrued and unpaid interest and a reasonable premium plus other reasonable amounts paid, and fees and expenses reasonably incurred, in connection with such refinancing and by an amount equal to any existing commitments unutilized thereunder, and (ii) the final maturity date and weighted average life of such refinancing, refunding, renewal or extension shall not be prior to or shorter than that applicable to the Indebtedness prior to such refinancing, refunding, renewal or extension;</w:t>
      </w:r>
    </w:p>
    <w:p>
      <w:pPr>
        <w:spacing w:after="0" w:line="182" w:lineRule="exact"/>
        <w:rPr>
          <w:rFonts w:ascii="Times New Roman" w:cs="Times New Roman" w:eastAsia="Times New Roman" w:hAnsi="Times New Roman"/>
          <w:sz w:val="22"/>
          <w:szCs w:val="22"/>
          <w:color w:val="auto"/>
        </w:rPr>
      </w:pPr>
    </w:p>
    <w:p>
      <w:pPr>
        <w:jc w:val="both"/>
        <w:ind w:firstLine="1505"/>
        <w:spacing w:after="0" w:line="234" w:lineRule="auto"/>
        <w:tabs>
          <w:tab w:leader="none" w:pos="1929" w:val="left"/>
        </w:tabs>
        <w:numPr>
          <w:ilvl w:val="1"/>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Capitalized Lease Obligations and purchase money Indebtedness incurred by GLDD or any of its Subsidiaries to any Person to finance the acquisition, construction, maintenance, repair or improvement of assets, including any such Indebtedness incurred after the acquisition, construction, maintenance, repair or improvement of such assets, so long as in each case, the amount of such Indebtedness does not exceed one hundred percent (100%) of the purchase price, construction cost, maintenance cost, repair cost or improvement cost of the assets acquired, constructed, repaired or improved with the proceeds thereof and, in the case of Indebtedness incurred after the acquisition, construction, repair or improvement of the assets to be financed, such Indebtedness is incurred no later than one hundred twenty (120) days after such assets are acquired, constructed, repaired or improved;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the aggregate principal amount of Indebtedness under this clause (d) shall not exceed $75,000,000 at any time;</w:t>
      </w:r>
    </w:p>
    <w:p>
      <w:pPr>
        <w:spacing w:after="0" w:line="183" w:lineRule="exact"/>
        <w:rPr>
          <w:rFonts w:ascii="Times New Roman" w:cs="Times New Roman" w:eastAsia="Times New Roman" w:hAnsi="Times New Roman"/>
          <w:sz w:val="22"/>
          <w:szCs w:val="22"/>
          <w:color w:val="auto"/>
        </w:rPr>
      </w:pPr>
    </w:p>
    <w:p>
      <w:pPr>
        <w:jc w:val="both"/>
        <w:ind w:firstLine="1505"/>
        <w:spacing w:after="0" w:line="235" w:lineRule="auto"/>
        <w:tabs>
          <w:tab w:leader="none" w:pos="1929" w:val="left"/>
        </w:tabs>
        <w:numPr>
          <w:ilvl w:val="1"/>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of a Person consisting of Capitalized Lease Obligations and purchase money financing existing at the time such Person became a Subsidiary or assets were acquired from such Person in connection with a Permitted Acquisition, to the extent that (i) such Indebtedness was not incurred in connection with, or in contemplation of, such Person becoming a Subsidiary or the acquisition of such assets, (ii) neither GLDD nor any Subsidiary thereof (other than such Person or any other Person that such Person merges with or that acquires the assets of such Person) shall have any liability or other obligation with respect to such Indebtedness, and (iii) the aggregate outstanding principal amount of such Indebtedness does not exceed $20,000,000 at any time outstanding;</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99" w:name="page100"/>
    <w:bookmarkEnd w:id="99"/>
    <w:p>
      <w:pPr>
        <w:ind w:left="1940" w:hanging="435"/>
        <w:spacing w:after="0"/>
        <w:tabs>
          <w:tab w:leader="none" w:pos="1940"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Guaranty Obligations with respect to Indebtedness permitted pursuant to this definition;</w:t>
      </w:r>
    </w:p>
    <w:p>
      <w:pPr>
        <w:spacing w:after="0" w:line="206"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arising from Permitted Intercompany Investments;</w:t>
      </w:r>
    </w:p>
    <w:p>
      <w:pPr>
        <w:spacing w:after="0" w:line="206" w:lineRule="exact"/>
        <w:rPr>
          <w:rFonts w:ascii="Times New Roman" w:cs="Times New Roman" w:eastAsia="Times New Roman" w:hAnsi="Times New Roman"/>
          <w:sz w:val="22"/>
          <w:szCs w:val="22"/>
          <w:color w:val="auto"/>
        </w:rPr>
      </w:pPr>
    </w:p>
    <w:p>
      <w:pPr>
        <w:jc w:val="both"/>
        <w:ind w:firstLine="1505"/>
        <w:spacing w:after="0" w:line="239" w:lineRule="auto"/>
        <w:tabs>
          <w:tab w:leader="none" w:pos="1929"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incurred in the Ordinary Course of Business in respect of netting services, overdraft protections, employee credit card programs, automatic clearinghouse arrangements and similar arrangements in each case in connection with deposit accounts and Indebtedness arising from the honoring by a bank or other financial institution of a check, draft or other similar instrument drawn against insufficient funds in the Ordinary Course of Business;</w:t>
      </w:r>
    </w:p>
    <w:p>
      <w:pPr>
        <w:spacing w:after="0" w:line="180" w:lineRule="exact"/>
        <w:rPr>
          <w:rFonts w:ascii="Times New Roman" w:cs="Times New Roman" w:eastAsia="Times New Roman" w:hAnsi="Times New Roman"/>
          <w:sz w:val="22"/>
          <w:szCs w:val="22"/>
          <w:color w:val="auto"/>
        </w:rPr>
      </w:pPr>
    </w:p>
    <w:p>
      <w:pPr>
        <w:jc w:val="both"/>
        <w:ind w:firstLine="1505"/>
        <w:spacing w:after="0" w:line="236" w:lineRule="auto"/>
        <w:tabs>
          <w:tab w:leader="none" w:pos="1929"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Subordinated Indebtedness of GLDD and its Subsidiaries;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in the case of each incurrence of such Subordinated Indebtedness, (i) no Default or Event of Default shall have occurred and be continuing or would result by the incurrence of such Subordinated Indebtedness, (ii) the aggregate amount of Subordinated Indebtedness outstanding at any time does not exceed $20,000,000, and (iii) Agent shall have received satisfactory written evidence that Borrowers would be in compliance with the financial covenants set forth in Section 6.5 on a Pro Forma Basis after giving effect to the issuance of any such Subordinated Indebtedness;</w:t>
      </w:r>
    </w:p>
    <w:p>
      <w:pPr>
        <w:spacing w:after="0" w:line="181"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constituting Bonding Obligations;</w:t>
      </w:r>
    </w:p>
    <w:p>
      <w:pPr>
        <w:spacing w:after="0" w:line="206" w:lineRule="exact"/>
        <w:rPr>
          <w:rFonts w:ascii="Times New Roman" w:cs="Times New Roman" w:eastAsia="Times New Roman" w:hAnsi="Times New Roman"/>
          <w:sz w:val="22"/>
          <w:szCs w:val="22"/>
          <w:color w:val="auto"/>
        </w:rPr>
      </w:pPr>
    </w:p>
    <w:p>
      <w:pPr>
        <w:jc w:val="both"/>
        <w:ind w:firstLine="1505"/>
        <w:spacing w:after="0" w:line="239" w:lineRule="auto"/>
        <w:tabs>
          <w:tab w:leader="none" w:pos="1929"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Unsecured Indebtedness consisting of promissory notes issued to current or former officers, directors and employees (or their respective family members, estates or trusts or other entities for the benefit of any of the foregoing) of GLDD or its Subsidiaries to purchase or redeem Equity Interests permitted hereunder;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aggregate principal amount of all such Indebtedness shall not exceed $5,000,000 at any time outstanding;</w:t>
      </w:r>
    </w:p>
    <w:p>
      <w:pPr>
        <w:spacing w:after="0" w:line="180"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constituting Note Indenture Obligations;</w:t>
      </w:r>
    </w:p>
    <w:p>
      <w:pPr>
        <w:spacing w:after="0" w:line="206" w:lineRule="exact"/>
        <w:rPr>
          <w:rFonts w:ascii="Times New Roman" w:cs="Times New Roman" w:eastAsia="Times New Roman" w:hAnsi="Times New Roman"/>
          <w:sz w:val="22"/>
          <w:szCs w:val="22"/>
          <w:color w:val="auto"/>
        </w:rPr>
      </w:pPr>
    </w:p>
    <w:p>
      <w:pPr>
        <w:jc w:val="both"/>
        <w:ind w:firstLine="1505"/>
        <w:spacing w:after="0" w:line="239" w:lineRule="auto"/>
        <w:tabs>
          <w:tab w:leader="none" w:pos="1929"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incurred in the Ordinary Course of Business of GLDD and its Subsidiaries in the nature of open accounts (extended by suppliers on normal trade terms in connection with purchases of goods and services), accrued liabilities and deferred income, taxes and judgments or orders for the payment of money to the extent such judgments or orders do not result in any Event of Default or result in any Liens prohibited by Section 10.6;</w:t>
      </w:r>
    </w:p>
    <w:p>
      <w:pPr>
        <w:spacing w:after="0" w:line="180" w:lineRule="exact"/>
        <w:rPr>
          <w:rFonts w:ascii="Times New Roman" w:cs="Times New Roman" w:eastAsia="Times New Roman" w:hAnsi="Times New Roman"/>
          <w:sz w:val="22"/>
          <w:szCs w:val="22"/>
          <w:color w:val="auto"/>
        </w:rPr>
      </w:pPr>
    </w:p>
    <w:p>
      <w:pPr>
        <w:ind w:right="40" w:firstLine="1505"/>
        <w:spacing w:after="0" w:line="258" w:lineRule="auto"/>
        <w:tabs>
          <w:tab w:leader="none" w:pos="1929"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in respect of taxes, assessments, governmental charges and claims for labor, materials or supplies, to the extent that payment thereof is not required pursuant to Section 6.4;</w:t>
      </w:r>
    </w:p>
    <w:p>
      <w:pPr>
        <w:spacing w:after="0" w:line="158"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Indebtedness representing deferred compensation or stock-based compensation to employees of GLDD and</w:t>
      </w:r>
    </w:p>
    <w:p>
      <w:pPr>
        <w:spacing w:after="0" w:line="25"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its Subsidiaries;</w:t>
      </w:r>
    </w:p>
    <w:p>
      <w:pPr>
        <w:spacing w:after="0" w:line="182" w:lineRule="exact"/>
        <w:rPr>
          <w:rFonts w:ascii="Times New Roman" w:cs="Times New Roman" w:eastAsia="Times New Roman" w:hAnsi="Times New Roman"/>
          <w:sz w:val="21"/>
          <w:szCs w:val="21"/>
          <w:color w:val="auto"/>
        </w:rPr>
      </w:pPr>
    </w:p>
    <w:p>
      <w:pPr>
        <w:jc w:val="both"/>
        <w:ind w:firstLine="1505"/>
        <w:spacing w:after="0" w:line="238" w:lineRule="auto"/>
        <w:tabs>
          <w:tab w:leader="none" w:pos="1929"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Indebtedness consisting of obligations of GLDD and its Subsidiaries under deferred consideration (including earn-outs, indemnifications, incentive non-competes, purchase price adjustments and other contingent obligations) or other similar arrangements incurred by such Person in connection with any Permitted Acquisitions, asset dispositions and any other Investments permitted under this Agreement;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aggregate principal amount of all such Indebtedness shall not exceed $10,000,000 in the aggregate at any time outstanding</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00" w:name="page101"/>
    <w:bookmarkEnd w:id="100"/>
    <w:p>
      <w:pPr>
        <w:spacing w:after="0" w:line="258" w:lineRule="auto"/>
        <w:rPr>
          <w:sz w:val="20"/>
          <w:szCs w:val="20"/>
          <w:color w:val="auto"/>
        </w:rPr>
      </w:pPr>
      <w:r>
        <w:rPr>
          <w:rFonts w:ascii="Times New Roman" w:cs="Times New Roman" w:eastAsia="Times New Roman" w:hAnsi="Times New Roman"/>
          <w:sz w:val="22"/>
          <w:szCs w:val="22"/>
          <w:color w:val="auto"/>
        </w:rPr>
        <w:t>(calculated to include such amounts to the extent required to be included as liabilities in accordance with GAAP) and such Indebtedness shall be subordinated to the Obligations on terms reasonably satisfactory to Agent;</w:t>
      </w:r>
    </w:p>
    <w:p>
      <w:pPr>
        <w:spacing w:after="0" w:line="158" w:lineRule="exact"/>
        <w:rPr>
          <w:sz w:val="20"/>
          <w:szCs w:val="20"/>
          <w:color w:val="auto"/>
        </w:rPr>
      </w:pPr>
    </w:p>
    <w:p>
      <w:pPr>
        <w:ind w:left="1940" w:hanging="435"/>
        <w:spacing w:after="0"/>
        <w:tabs>
          <w:tab w:leader="none" w:pos="1940"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consisting of the financing of insurance premiums in the Ordinary Course of Business;</w:t>
      </w:r>
    </w:p>
    <w:p>
      <w:pPr>
        <w:spacing w:after="0" w:line="206" w:lineRule="exact"/>
        <w:rPr>
          <w:rFonts w:ascii="Times New Roman" w:cs="Times New Roman" w:eastAsia="Times New Roman" w:hAnsi="Times New Roman"/>
          <w:sz w:val="22"/>
          <w:szCs w:val="22"/>
          <w:color w:val="auto"/>
        </w:rPr>
      </w:pPr>
    </w:p>
    <w:p>
      <w:pPr>
        <w:ind w:right="20" w:firstLine="1505"/>
        <w:spacing w:after="0" w:line="258" w:lineRule="auto"/>
        <w:tabs>
          <w:tab w:leader="none" w:pos="1929"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Unsecured Indebtedness of any Credit Party or any Subsidiary thereof in an aggregate principal amount not to exceed $50,000,000;</w:t>
      </w:r>
    </w:p>
    <w:p>
      <w:pPr>
        <w:spacing w:after="0" w:line="158" w:lineRule="exact"/>
        <w:rPr>
          <w:rFonts w:ascii="Times New Roman" w:cs="Times New Roman" w:eastAsia="Times New Roman" w:hAnsi="Times New Roman"/>
          <w:sz w:val="22"/>
          <w:szCs w:val="22"/>
          <w:color w:val="auto"/>
        </w:rPr>
      </w:pPr>
    </w:p>
    <w:p>
      <w:pPr>
        <w:jc w:val="both"/>
        <w:ind w:right="20" w:firstLine="1505"/>
        <w:spacing w:after="0" w:line="244" w:lineRule="auto"/>
        <w:tabs>
          <w:tab w:leader="none" w:pos="1929"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Permitted Additional Surety Provider Guaranty Obligations, Permitted Ascot Guaranty Obligations, Permitted Chubb Guaranty Obligations, Permitted Dual Guaranty Obligations, Permitted Liberty Guaranty Obligations, Permitted Philly Guaranty Obligations and Permitted Strategic Joint Venture Guaranty Obligations;</w:t>
      </w:r>
    </w:p>
    <w:p>
      <w:pPr>
        <w:spacing w:after="0" w:line="169"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Intentionally Omitted]</w:t>
      </w:r>
      <w:r>
        <w:rPr>
          <w:rFonts w:ascii="Times New Roman" w:cs="Times New Roman" w:eastAsia="Times New Roman" w:hAnsi="Times New Roman"/>
          <w:sz w:val="22"/>
          <w:szCs w:val="22"/>
          <w:color w:val="auto"/>
        </w:rPr>
        <w:t>;</w:t>
      </w:r>
    </w:p>
    <w:p>
      <w:pPr>
        <w:spacing w:after="0" w:line="210" w:lineRule="exact"/>
        <w:rPr>
          <w:rFonts w:ascii="Times New Roman" w:cs="Times New Roman" w:eastAsia="Times New Roman" w:hAnsi="Times New Roman"/>
          <w:sz w:val="22"/>
          <w:szCs w:val="22"/>
          <w:color w:val="auto"/>
        </w:rPr>
      </w:pPr>
    </w:p>
    <w:p>
      <w:pPr>
        <w:ind w:right="20" w:firstLine="1505"/>
        <w:spacing w:after="0" w:line="258" w:lineRule="auto"/>
        <w:tabs>
          <w:tab w:leader="none" w:pos="1929"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secured Indebtedness due under the Second Lien Loan Documents in an aggregate principal amount not to exceed $150,000,000, subject to the terms and conditions of the Intercreditor Agreement (Second Lien);</w:t>
      </w:r>
    </w:p>
    <w:p>
      <w:pPr>
        <w:spacing w:after="0" w:line="158" w:lineRule="exact"/>
        <w:rPr>
          <w:rFonts w:ascii="Times New Roman" w:cs="Times New Roman" w:eastAsia="Times New Roman" w:hAnsi="Times New Roman"/>
          <w:sz w:val="22"/>
          <w:szCs w:val="22"/>
          <w:color w:val="auto"/>
        </w:rPr>
      </w:pPr>
    </w:p>
    <w:p>
      <w:pPr>
        <w:jc w:val="both"/>
        <w:ind w:firstLine="1505"/>
        <w:spacing w:after="0" w:line="233" w:lineRule="auto"/>
        <w:tabs>
          <w:tab w:leader="none" w:pos="1929"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in respect of liabilities owing to any provider, other than any Lender, of (i) (A) any foreign exchange transaction, including spot and forward foreign currency purchases and sales, listed or over-the-counter options on foreign currencies, non-deliverable forwards and options, foreign currency swap agreements or currency exchange rate price hedging arrangements, and any other similar transaction providing for the purchase of one currency in exchange for the sale of another currency entered into by any Borrower, Guarantor and/or any of their respective Subsidiaries, and (B) any swap, forward or derivative transaction in respect of commodities and any arrangement or other similar transaction hedging commodities that is entered into by any Borrower, Guarantor and/or any of their respective Subsidiaries, and (ii) any interest rate exchange, collar, cap, swap, floor, adjustable strike cap, adjustable strike corridor, cross-currency swap or similar agreements entered into by any Borrower, Guarantor and/or their respective Subsidiaries in order to provide protection to, or minimize the impact upon, such Borrower, any Guarantor and/or their respective Subsidiaries of increasing floating rates of interest applicable to Indebtedness, in each case that (x) is entered into in order to manage existing or anticipated interest rate, exchange rate or commodity price risks and not for speculative purposes, (y) is documented in a standard International Swap Dealers Association, Inc. Master Agreement or another reasonable and customary manner, and (z) provides for the method of calculating the reimbursable amount of the provider's credit exposure in a reasonable and customary manner;</w:t>
      </w:r>
    </w:p>
    <w:p>
      <w:pPr>
        <w:spacing w:after="0" w:line="179" w:lineRule="exact"/>
        <w:rPr>
          <w:rFonts w:ascii="Times New Roman" w:cs="Times New Roman" w:eastAsia="Times New Roman" w:hAnsi="Times New Roman"/>
          <w:sz w:val="22"/>
          <w:szCs w:val="22"/>
          <w:color w:val="auto"/>
        </w:rPr>
      </w:pPr>
    </w:p>
    <w:p>
      <w:pPr>
        <w:ind w:right="20" w:firstLine="1505"/>
        <w:spacing w:after="0" w:line="258" w:lineRule="auto"/>
        <w:tabs>
          <w:tab w:leader="none" w:pos="1929"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premiums (if any), interest (including post-petition interest), fees, expenses, indemnities, charges and additional or contingent interest on obligations described in clauses (a) through (t) of this definition;</w:t>
      </w:r>
    </w:p>
    <w:p>
      <w:pPr>
        <w:spacing w:after="0" w:line="158" w:lineRule="exact"/>
        <w:rPr>
          <w:rFonts w:ascii="Times New Roman" w:cs="Times New Roman" w:eastAsia="Times New Roman" w:hAnsi="Times New Roman"/>
          <w:sz w:val="22"/>
          <w:szCs w:val="22"/>
          <w:color w:val="auto"/>
        </w:rPr>
      </w:pPr>
    </w:p>
    <w:p>
      <w:pPr>
        <w:ind w:right="40" w:firstLine="1505"/>
        <w:spacing w:after="0" w:line="258" w:lineRule="auto"/>
        <w:tabs>
          <w:tab w:leader="none" w:pos="1929"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Acquired Indebtedness in an aggregate amount not to exceed $50,000,000, so long as after giving effect thereto the Payment Conditions are satisfied; and</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01" w:name="page102"/>
    <w:bookmarkEnd w:id="101"/>
    <w:p>
      <w:pPr>
        <w:ind w:firstLine="1505"/>
        <w:spacing w:after="0" w:line="258" w:lineRule="auto"/>
        <w:tabs>
          <w:tab w:leader="none" w:pos="1929"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other Indebtedness, in an aggregate amount not to exceed $30,000,000 outstanding at any time, so long as after giving effect thereto the Payment Conditions are satisfied.</w:t>
      </w:r>
    </w:p>
    <w:p>
      <w:pPr>
        <w:spacing w:after="0" w:line="158"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color w:val="auto"/>
        </w:rPr>
        <w:t>Notwithstanding anything to the contrary herein, other than with respect to Indebtedness under the Second Lien Credit Agreement, no Credit Party nor any of its Subsidiaries shall incur Indebtedness that is subordinated in respect of lien or payment priority to the Second Lien Obligations unless such Indebtedness is also subordinated to the Obligations hereunder in the same manner.</w:t>
      </w:r>
    </w:p>
    <w:p>
      <w:pPr>
        <w:spacing w:after="0" w:line="18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Intercompany Investments</w:t>
      </w:r>
      <w:r>
        <w:rPr>
          <w:rFonts w:ascii="Times New Roman" w:cs="Times New Roman" w:eastAsia="Times New Roman" w:hAnsi="Times New Roman"/>
          <w:sz w:val="22"/>
          <w:szCs w:val="22"/>
          <w:color w:val="auto"/>
        </w:rPr>
        <w:t>" shall mean loans and other Investments made by:</w:t>
      </w:r>
    </w:p>
    <w:p>
      <w:pPr>
        <w:spacing w:after="0" w:line="229" w:lineRule="exact"/>
        <w:rPr>
          <w:sz w:val="20"/>
          <w:szCs w:val="20"/>
          <w:color w:val="auto"/>
        </w:rPr>
      </w:pPr>
    </w:p>
    <w:p>
      <w:pPr>
        <w:ind w:left="1940" w:hanging="435"/>
        <w:spacing w:after="0"/>
        <w:tabs>
          <w:tab w:leader="none" w:pos="1940"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Credit Party to another Credit Party;</w:t>
      </w:r>
    </w:p>
    <w:p>
      <w:pPr>
        <w:spacing w:after="0" w:line="206" w:lineRule="exact"/>
        <w:rPr>
          <w:rFonts w:ascii="Times New Roman" w:cs="Times New Roman" w:eastAsia="Times New Roman" w:hAnsi="Times New Roman"/>
          <w:sz w:val="22"/>
          <w:szCs w:val="22"/>
          <w:color w:val="auto"/>
        </w:rPr>
      </w:pPr>
    </w:p>
    <w:p>
      <w:pPr>
        <w:ind w:right="20" w:firstLine="1505"/>
        <w:spacing w:after="0" w:line="282" w:lineRule="auto"/>
        <w:tabs>
          <w:tab w:leader="none" w:pos="1929" w:val="left"/>
        </w:tabs>
        <w:numPr>
          <w:ilvl w:val="0"/>
          <w:numId w:val="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Subsidiary of GLDD that is not a Credit Party to a Credit Party or a Subsidiary of a Credit Party so long as such Subsidiary is a party to the Intercompany Subordination Agreement if such loan or Investment is to a Credit Party;</w:t>
      </w:r>
    </w:p>
    <w:p>
      <w:pPr>
        <w:spacing w:after="0" w:line="134" w:lineRule="exact"/>
        <w:rPr>
          <w:rFonts w:ascii="Times New Roman" w:cs="Times New Roman" w:eastAsia="Times New Roman" w:hAnsi="Times New Roman"/>
          <w:sz w:val="21"/>
          <w:szCs w:val="21"/>
          <w:color w:val="auto"/>
        </w:rPr>
      </w:pPr>
    </w:p>
    <w:p>
      <w:pPr>
        <w:jc w:val="both"/>
        <w:ind w:right="20" w:firstLine="1505"/>
        <w:spacing w:after="0" w:line="244" w:lineRule="auto"/>
        <w:tabs>
          <w:tab w:leader="none" w:pos="1929"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Credit Party to a Subsidiary of GLDD that is not a Credit Party consisting of loans and Investments so long as the aggregate amount of all such loans and other Investments (by type, not by the borrower) does not exceed $5,000,000 (or such higher amount as Agent may agree to in its sole discretion) outstanding at any one time; and</w:t>
      </w:r>
    </w:p>
    <w:p>
      <w:pPr>
        <w:spacing w:after="0" w:line="173" w:lineRule="exact"/>
        <w:rPr>
          <w:rFonts w:ascii="Times New Roman" w:cs="Times New Roman" w:eastAsia="Times New Roman" w:hAnsi="Times New Roman"/>
          <w:sz w:val="22"/>
          <w:szCs w:val="22"/>
          <w:color w:val="auto"/>
        </w:rPr>
      </w:pPr>
    </w:p>
    <w:p>
      <w:pPr>
        <w:ind w:right="20" w:firstLine="1505"/>
        <w:spacing w:after="0" w:line="258" w:lineRule="auto"/>
        <w:tabs>
          <w:tab w:leader="none" w:pos="1994"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Credit Party may make loans and other Investments in a Subsidiary of GLDD that is not a Credit Party without limitation so long as the Payment Conditions have been satisfied.</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Investments</w:t>
      </w:r>
      <w:r>
        <w:rPr>
          <w:rFonts w:ascii="Times New Roman" w:cs="Times New Roman" w:eastAsia="Times New Roman" w:hAnsi="Times New Roman"/>
          <w:sz w:val="22"/>
          <w:szCs w:val="22"/>
          <w:color w:val="auto"/>
        </w:rPr>
        <w:t>" shall mean:</w:t>
      </w:r>
    </w:p>
    <w:p>
      <w:pPr>
        <w:spacing w:after="0" w:line="229" w:lineRule="exact"/>
        <w:rPr>
          <w:sz w:val="20"/>
          <w:szCs w:val="20"/>
          <w:color w:val="auto"/>
        </w:rPr>
      </w:pPr>
    </w:p>
    <w:p>
      <w:pPr>
        <w:ind w:left="1940" w:hanging="435"/>
        <w:spacing w:after="0"/>
        <w:tabs>
          <w:tab w:leader="none" w:pos="1940"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existing on the Amendment No. 2 Closing Date, as set forth on Schedule 1.5;</w:t>
      </w:r>
    </w:p>
    <w:p>
      <w:pPr>
        <w:spacing w:after="0" w:line="206"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in cash and Cash Equivalents;</w:t>
      </w:r>
    </w:p>
    <w:p>
      <w:pPr>
        <w:spacing w:after="0" w:line="206"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existing on the Closing Date in Subsidiaries of GLDD existing on the Closing Date;</w:t>
      </w:r>
    </w:p>
    <w:p>
      <w:pPr>
        <w:spacing w:after="0" w:line="206"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in the form of Capital Expenditures;</w:t>
      </w:r>
    </w:p>
    <w:p>
      <w:pPr>
        <w:spacing w:after="0" w:line="206" w:lineRule="exact"/>
        <w:rPr>
          <w:rFonts w:ascii="Times New Roman" w:cs="Times New Roman" w:eastAsia="Times New Roman" w:hAnsi="Times New Roman"/>
          <w:sz w:val="22"/>
          <w:szCs w:val="22"/>
          <w:color w:val="auto"/>
        </w:rPr>
      </w:pPr>
    </w:p>
    <w:p>
      <w:pPr>
        <w:ind w:firstLine="1505"/>
        <w:spacing w:after="0" w:line="258" w:lineRule="auto"/>
        <w:tabs>
          <w:tab w:leader="none" w:pos="1929"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deposits made in the Ordinary Course of Business to secure the performance of leases or other obligations so long as such deposits constitute Permitted Encumbrances;</w:t>
      </w:r>
    </w:p>
    <w:p>
      <w:pPr>
        <w:spacing w:after="0" w:line="158"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Hedge Liabilities permitted pursuant to clause (b) of the definition of Permitted Indebtedness;</w:t>
      </w:r>
    </w:p>
    <w:p>
      <w:pPr>
        <w:spacing w:after="0" w:line="206"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purchases of assets in the Ordinary Course of Business;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02" w:name="page103"/>
    <w:bookmarkEnd w:id="102"/>
    <w:p>
      <w:pPr>
        <w:jc w:val="both"/>
        <w:ind w:firstLine="1505"/>
        <w:spacing w:after="0" w:line="239" w:lineRule="auto"/>
        <w:tabs>
          <w:tab w:leader="none" w:pos="1929"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Investments in the form of loans and advances to officers, directors and employees in the Ordinary Course of Business in an aggregate amount not to exceed at any time outstanding $2,500,000 and (ii) Investments constituting loans to employees of GLDD and its Subsidiaries to purchase Equity Interests of GLDD not exceeding in the aggregate $5,000,000 at any time outstanding;</w:t>
      </w:r>
    </w:p>
    <w:p>
      <w:pPr>
        <w:spacing w:after="0" w:line="180"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constituting Permitted Intercompany Investments;</w:t>
      </w:r>
    </w:p>
    <w:p>
      <w:pPr>
        <w:spacing w:after="0" w:line="206"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Guaranty Obligations permitted pursuant to clause (f) of the definition of Permitted Indebtedness;</w:t>
      </w:r>
    </w:p>
    <w:p>
      <w:pPr>
        <w:spacing w:after="0" w:line="206" w:lineRule="exact"/>
        <w:rPr>
          <w:rFonts w:ascii="Times New Roman" w:cs="Times New Roman" w:eastAsia="Times New Roman" w:hAnsi="Times New Roman"/>
          <w:sz w:val="22"/>
          <w:szCs w:val="22"/>
          <w:color w:val="auto"/>
        </w:rPr>
      </w:pPr>
    </w:p>
    <w:p>
      <w:pPr>
        <w:jc w:val="both"/>
        <w:ind w:right="20" w:firstLine="1505"/>
        <w:spacing w:after="0" w:line="244" w:lineRule="auto"/>
        <w:tabs>
          <w:tab w:leader="none" w:pos="1929"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in the form of accounts receivable arising, and trade credit granted, in the Ordinary Course of Business and any securities received in satisfaction or partial satisfaction thereof from financially troubled account debtors to the extent reasonably necessary in order to prevent or limit loss;</w:t>
      </w:r>
    </w:p>
    <w:p>
      <w:pPr>
        <w:spacing w:after="0" w:line="173" w:lineRule="exact"/>
        <w:rPr>
          <w:rFonts w:ascii="Times New Roman" w:cs="Times New Roman" w:eastAsia="Times New Roman" w:hAnsi="Times New Roman"/>
          <w:sz w:val="22"/>
          <w:szCs w:val="22"/>
          <w:color w:val="auto"/>
        </w:rPr>
      </w:pPr>
    </w:p>
    <w:p>
      <w:pPr>
        <w:ind w:right="40" w:firstLine="1505"/>
        <w:spacing w:after="0" w:line="258" w:lineRule="auto"/>
        <w:tabs>
          <w:tab w:leader="none" w:pos="1929"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received in connection with the bankruptcy or reorganization of, or settlement of delinquent accounts and disputes with customers and suppliers, in each case in the Ordinary Course of Business;</w:t>
      </w:r>
    </w:p>
    <w:p>
      <w:pPr>
        <w:spacing w:after="0" w:line="158" w:lineRule="exact"/>
        <w:rPr>
          <w:rFonts w:ascii="Times New Roman" w:cs="Times New Roman" w:eastAsia="Times New Roman" w:hAnsi="Times New Roman"/>
          <w:sz w:val="22"/>
          <w:szCs w:val="22"/>
          <w:color w:val="auto"/>
        </w:rPr>
      </w:pPr>
    </w:p>
    <w:p>
      <w:pPr>
        <w:ind w:right="20" w:firstLine="1505"/>
        <w:spacing w:after="0" w:line="258" w:lineRule="auto"/>
        <w:tabs>
          <w:tab w:leader="none" w:pos="1929"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promissory notes and other non-cash consideration received in connection with dispositions permitted by clauses (j), (k) or (l) of the definition of Permitted Dispositions;</w:t>
      </w:r>
    </w:p>
    <w:p>
      <w:pPr>
        <w:spacing w:after="0" w:line="158" w:lineRule="exact"/>
        <w:rPr>
          <w:rFonts w:ascii="Times New Roman" w:cs="Times New Roman" w:eastAsia="Times New Roman" w:hAnsi="Times New Roman"/>
          <w:sz w:val="22"/>
          <w:szCs w:val="22"/>
          <w:color w:val="auto"/>
        </w:rPr>
      </w:pPr>
    </w:p>
    <w:p>
      <w:pPr>
        <w:jc w:val="both"/>
        <w:ind w:firstLine="1505"/>
        <w:spacing w:after="0" w:line="244" w:lineRule="auto"/>
        <w:tabs>
          <w:tab w:leader="none" w:pos="1929"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of any Person existing at the time such Person becomes a Subsidiary or consolidates or merges with any Credit Party or any of its Subsidiaries so long as such Investments were not made in contemplation of such Person becoming a Subsidiary or of such consolidation or merger;</w:t>
      </w:r>
    </w:p>
    <w:p>
      <w:pPr>
        <w:spacing w:after="0" w:line="173"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Permitted Acquisitions;</w:t>
      </w:r>
    </w:p>
    <w:p>
      <w:pPr>
        <w:spacing w:after="0" w:line="206" w:lineRule="exact"/>
        <w:rPr>
          <w:rFonts w:ascii="Times New Roman" w:cs="Times New Roman" w:eastAsia="Times New Roman" w:hAnsi="Times New Roman"/>
          <w:sz w:val="22"/>
          <w:szCs w:val="22"/>
          <w:color w:val="auto"/>
        </w:rPr>
      </w:pPr>
    </w:p>
    <w:p>
      <w:pPr>
        <w:ind w:right="40" w:firstLine="1505"/>
        <w:spacing w:after="0" w:line="258" w:lineRule="auto"/>
        <w:tabs>
          <w:tab w:leader="none" w:pos="1929"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(including equity Investments) in Strategic Joint Ventures in an aggregate amount not to exceed $75,000,000; and</w:t>
      </w:r>
    </w:p>
    <w:p>
      <w:pPr>
        <w:spacing w:after="0" w:line="158"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other Investments so long as after giving effect to such Investment the Payment Conditions are</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satisfied.</w:t>
      </w:r>
    </w:p>
    <w:p>
      <w:pPr>
        <w:spacing w:after="0" w:line="186"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2"/>
          <w:szCs w:val="22"/>
          <w:color w:val="auto"/>
        </w:rPr>
        <w:t>For purposes of determining the amount of any Investment outstanding for purposes of this Agreement, such amount shall be deemed to be the amount of such Investment when made or acquired (without adjustment for subsequent increases or decreases in the value of such Investment) less any amount realized in respect of such Investment upon the sale, collection, distribution, return of capital or repayment of principal (not to exceed the original amount invested).</w:t>
      </w:r>
    </w:p>
    <w:p>
      <w:pPr>
        <w:spacing w:after="0" w:line="162" w:lineRule="exact"/>
        <w:rPr>
          <w:sz w:val="20"/>
          <w:szCs w:val="20"/>
          <w:color w:val="auto"/>
        </w:rPr>
      </w:pPr>
    </w:p>
    <w:p>
      <w:pPr>
        <w:jc w:val="both"/>
        <w:ind w:firstLine="749"/>
        <w:spacing w:after="0" w:line="29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Liberty Guaranty Obligations</w:t>
      </w:r>
      <w:r>
        <w:rPr>
          <w:rFonts w:ascii="Times New Roman" w:cs="Times New Roman" w:eastAsia="Times New Roman" w:hAnsi="Times New Roman"/>
          <w:sz w:val="22"/>
          <w:szCs w:val="22"/>
          <w:color w:val="auto"/>
        </w:rPr>
        <w:t>" shall mean Guaranty Obligations of GLDD to Liberty under the Liberty Agreement.</w:t>
      </w:r>
    </w:p>
    <w:p>
      <w:pPr>
        <w:spacing w:after="0" w:line="13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Note Refinancing</w:t>
      </w:r>
      <w:r>
        <w:rPr>
          <w:rFonts w:ascii="Times New Roman" w:cs="Times New Roman" w:eastAsia="Times New Roman" w:hAnsi="Times New Roman"/>
          <w:sz w:val="22"/>
          <w:szCs w:val="22"/>
          <w:color w:val="auto"/>
        </w:rPr>
        <w:t>" shall have the meaning set forth in the definition of Note Indenture Obligations.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03" w:name="page104"/>
    <w:bookmarkEnd w:id="103"/>
    <w:p>
      <w:pPr>
        <w:ind w:firstLine="749"/>
        <w:spacing w:after="0" w:line="29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Philly Guaranty Obligations</w:t>
      </w:r>
      <w:r>
        <w:rPr>
          <w:rFonts w:ascii="Times New Roman" w:cs="Times New Roman" w:eastAsia="Times New Roman" w:hAnsi="Times New Roman"/>
          <w:sz w:val="22"/>
          <w:szCs w:val="22"/>
          <w:color w:val="auto"/>
        </w:rPr>
        <w:t>" shall mean Guaranty Obligations of GLDD to Philly under the Philly Agreement.</w:t>
      </w:r>
    </w:p>
    <w:p>
      <w:pPr>
        <w:spacing w:after="0" w:line="13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Restricted Payments</w:t>
      </w:r>
      <w:r>
        <w:rPr>
          <w:rFonts w:ascii="Times New Roman" w:cs="Times New Roman" w:eastAsia="Times New Roman" w:hAnsi="Times New Roman"/>
          <w:sz w:val="22"/>
          <w:szCs w:val="22"/>
          <w:color w:val="auto"/>
        </w:rPr>
        <w:t>" shall mean:</w:t>
      </w:r>
    </w:p>
    <w:p>
      <w:pPr>
        <w:spacing w:after="0" w:line="229" w:lineRule="exact"/>
        <w:rPr>
          <w:sz w:val="20"/>
          <w:szCs w:val="20"/>
          <w:color w:val="auto"/>
        </w:rPr>
      </w:pPr>
    </w:p>
    <w:p>
      <w:pPr>
        <w:jc w:val="both"/>
        <w:ind w:firstLine="1505"/>
        <w:spacing w:after="0" w:line="239" w:lineRule="auto"/>
        <w:tabs>
          <w:tab w:leader="none" w:pos="1929"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Subsidiary of GLDD may make Restricted Payments to GLDD and any Subsidiary of GLDD that is a Credit Party (and, in the case of a Restricted Payment by a non-wholly-owned Subsidiary of GLDD, to GLDD, any Subsidiary of GLDD that is a Credit Party and to each other owner of Equity Interests of such Subsidiary based on their relative ownership interests);</w:t>
      </w:r>
    </w:p>
    <w:p>
      <w:pPr>
        <w:spacing w:after="0" w:line="180" w:lineRule="exact"/>
        <w:rPr>
          <w:rFonts w:ascii="Times New Roman" w:cs="Times New Roman" w:eastAsia="Times New Roman" w:hAnsi="Times New Roman"/>
          <w:sz w:val="22"/>
          <w:szCs w:val="22"/>
          <w:color w:val="auto"/>
        </w:rPr>
      </w:pPr>
    </w:p>
    <w:p>
      <w:pPr>
        <w:ind w:right="40" w:firstLine="1505"/>
        <w:spacing w:after="0" w:line="258" w:lineRule="auto"/>
        <w:tabs>
          <w:tab w:leader="none" w:pos="1929"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GLDD and each Subsidiary of GLDD may declare and make dividend payments or other distributions payable solely in the Equity Interests (other than Disqualified Equity Interests) of such Person;</w:t>
      </w:r>
    </w:p>
    <w:p>
      <w:pPr>
        <w:spacing w:after="0" w:line="158" w:lineRule="exact"/>
        <w:rPr>
          <w:rFonts w:ascii="Times New Roman" w:cs="Times New Roman" w:eastAsia="Times New Roman" w:hAnsi="Times New Roman"/>
          <w:sz w:val="22"/>
          <w:szCs w:val="22"/>
          <w:color w:val="auto"/>
        </w:rPr>
      </w:pPr>
    </w:p>
    <w:p>
      <w:pPr>
        <w:ind w:right="20" w:firstLine="1505"/>
        <w:spacing w:after="0" w:line="258" w:lineRule="auto"/>
        <w:tabs>
          <w:tab w:leader="none" w:pos="1929"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GLDD may make Restricted Payments with the net cash proceeds from any substantially concurrent sale or issuance of Equity Interests (other than Disqualified Equity Interests) of GLDD;</w:t>
      </w:r>
    </w:p>
    <w:p>
      <w:pPr>
        <w:spacing w:after="0" w:line="158" w:lineRule="exact"/>
        <w:rPr>
          <w:rFonts w:ascii="Times New Roman" w:cs="Times New Roman" w:eastAsia="Times New Roman" w:hAnsi="Times New Roman"/>
          <w:sz w:val="22"/>
          <w:szCs w:val="22"/>
          <w:color w:val="auto"/>
        </w:rPr>
      </w:pPr>
    </w:p>
    <w:p>
      <w:pPr>
        <w:ind w:right="40" w:firstLine="1505"/>
        <w:spacing w:after="0" w:line="258" w:lineRule="auto"/>
        <w:tabs>
          <w:tab w:leader="none" w:pos="1929"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constituting Restricted Payments, GLDD and its Subsidiaries may enter into transactions expressly permitted as a Permitted Investment or by Section 7.1;</w:t>
      </w:r>
    </w:p>
    <w:p>
      <w:pPr>
        <w:spacing w:after="0" w:line="158" w:lineRule="exact"/>
        <w:rPr>
          <w:rFonts w:ascii="Times New Roman" w:cs="Times New Roman" w:eastAsia="Times New Roman" w:hAnsi="Times New Roman"/>
          <w:sz w:val="22"/>
          <w:szCs w:val="22"/>
          <w:color w:val="auto"/>
        </w:rPr>
      </w:pPr>
    </w:p>
    <w:p>
      <w:pPr>
        <w:jc w:val="both"/>
        <w:ind w:firstLine="1505"/>
        <w:spacing w:after="0" w:line="235" w:lineRule="auto"/>
        <w:tabs>
          <w:tab w:leader="none" w:pos="1929"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GLDD may make Restricted Payments to redeem, retire or otherwise acquire Equity Interests or options or other equity or phantom equity in respect of Equity Interests from present and former directors, employees or members of management of GLDD or any Subsidiary of GLDD (or their estate, family members, spouse and/or former spouse) in connection with the resignation, termination, death or disability of any such director, employee or member of management, in an aggregate amount not to exceed (i) $3,000,000 in any fiscal year and (ii) $6,000,000 for all such Restricted Payments made after the Closing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amount set forth in this clause (e) may be further increased by the cash proceeds of any key-man life insurance maintained by GLDD or any of its Subsidiaries;</w:t>
      </w:r>
    </w:p>
    <w:p>
      <w:pPr>
        <w:spacing w:after="0" w:line="183" w:lineRule="exact"/>
        <w:rPr>
          <w:rFonts w:ascii="Times New Roman" w:cs="Times New Roman" w:eastAsia="Times New Roman" w:hAnsi="Times New Roman"/>
          <w:sz w:val="22"/>
          <w:szCs w:val="22"/>
          <w:color w:val="auto"/>
        </w:rPr>
      </w:pPr>
    </w:p>
    <w:p>
      <w:pPr>
        <w:ind w:right="20" w:firstLine="1505"/>
        <w:spacing w:after="0" w:line="258" w:lineRule="auto"/>
        <w:tabs>
          <w:tab w:leader="none" w:pos="1929"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constituting Restricted Payments, repurchases of Equity Interests of GLDD deemed to occur upon the non-cash exercise of stock options and warrants or similar equity incentive awards;</w:t>
      </w:r>
    </w:p>
    <w:p>
      <w:pPr>
        <w:spacing w:after="0" w:line="158" w:lineRule="exact"/>
        <w:rPr>
          <w:rFonts w:ascii="Times New Roman" w:cs="Times New Roman" w:eastAsia="Times New Roman" w:hAnsi="Times New Roman"/>
          <w:sz w:val="22"/>
          <w:szCs w:val="22"/>
          <w:color w:val="auto"/>
        </w:rPr>
      </w:pPr>
    </w:p>
    <w:p>
      <w:pPr>
        <w:ind w:right="20" w:firstLine="1505"/>
        <w:spacing w:after="0" w:line="258" w:lineRule="auto"/>
        <w:tabs>
          <w:tab w:leader="none" w:pos="1929"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GLDD or any Subsidiary of GLDD may declare and make Restricted Payments so long as after giving effect to such Restricted Payment, the Payment Conditions are satisfied;</w:t>
      </w:r>
    </w:p>
    <w:p>
      <w:pPr>
        <w:spacing w:after="0" w:line="158" w:lineRule="exact"/>
        <w:rPr>
          <w:rFonts w:ascii="Times New Roman" w:cs="Times New Roman" w:eastAsia="Times New Roman" w:hAnsi="Times New Roman"/>
          <w:sz w:val="22"/>
          <w:szCs w:val="22"/>
          <w:color w:val="auto"/>
        </w:rPr>
      </w:pPr>
    </w:p>
    <w:p>
      <w:pPr>
        <w:jc w:val="both"/>
        <w:ind w:firstLine="1505"/>
        <w:spacing w:after="0" w:line="244" w:lineRule="auto"/>
        <w:tabs>
          <w:tab w:leader="none" w:pos="1929"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GLDD or any Subsidiary of GLDD may (i) pay cash in lieu of fractional shares in connection with any dividend, split or combination thereof or any Permitted Acquisition and (ii) honor any conversion request by a holder of convertible Indebtedness and make cash payments in lieu of fractional shares in connection with any such conversion;</w:t>
      </w:r>
    </w:p>
    <w:p>
      <w:pPr>
        <w:spacing w:after="0" w:line="173" w:lineRule="exact"/>
        <w:rPr>
          <w:rFonts w:ascii="Times New Roman" w:cs="Times New Roman" w:eastAsia="Times New Roman" w:hAnsi="Times New Roman"/>
          <w:sz w:val="22"/>
          <w:szCs w:val="22"/>
          <w:color w:val="auto"/>
        </w:rPr>
      </w:pPr>
    </w:p>
    <w:p>
      <w:pPr>
        <w:jc w:val="both"/>
        <w:ind w:firstLine="1505"/>
        <w:spacing w:after="0" w:line="244" w:lineRule="auto"/>
        <w:tabs>
          <w:tab w:leader="none" w:pos="1929"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GLDD or any Subsidiary of GLDD may refinance, refund, renew, extend or exchange any Subordinated Indebtedness permitted by clause (i) of the definition of Permitted Indebtedness and by any subordination agreement applicable thereto;</w:t>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104" w:name="page105"/>
    <w:bookmarkEnd w:id="104"/>
    <w:p>
      <w:pPr>
        <w:jc w:val="both"/>
        <w:ind w:firstLine="1505"/>
        <w:spacing w:after="0" w:line="244" w:lineRule="auto"/>
        <w:tabs>
          <w:tab w:leader="none" w:pos="1929"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GLDD or any Subsidiary of GLDD may pay interest, expenses and indemnities in respect of Subordinated Indebtedness permitted by clause (i) of the definition of Permitted Indebtedness (other than any such payments prohibited by the subordination provisions thereof); and</w:t>
      </w:r>
    </w:p>
    <w:p>
      <w:pPr>
        <w:spacing w:after="0" w:line="173" w:lineRule="exact"/>
        <w:rPr>
          <w:rFonts w:ascii="Times New Roman" w:cs="Times New Roman" w:eastAsia="Times New Roman" w:hAnsi="Times New Roman"/>
          <w:sz w:val="22"/>
          <w:szCs w:val="22"/>
          <w:color w:val="auto"/>
        </w:rPr>
      </w:pPr>
    </w:p>
    <w:p>
      <w:pPr>
        <w:ind w:right="20" w:firstLine="1505"/>
        <w:spacing w:after="0" w:line="258" w:lineRule="auto"/>
        <w:tabs>
          <w:tab w:leader="none" w:pos="1929"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GLDD or any Subsidiary of GLDD may make Restricted Payments not described above in an aggregate amount not to exceed $15,000,000 in any fiscal year.</w:t>
      </w:r>
    </w:p>
    <w:p>
      <w:pPr>
        <w:spacing w:after="0" w:line="162" w:lineRule="exact"/>
        <w:rPr>
          <w:sz w:val="20"/>
          <w:szCs w:val="20"/>
          <w:color w:val="auto"/>
        </w:rPr>
      </w:pPr>
    </w:p>
    <w:p>
      <w:pPr>
        <w:jc w:val="both"/>
        <w:ind w:firstLine="749"/>
        <w:spacing w:after="0" w:line="26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Strategic Joint Venture Guaranty Obligations</w:t>
      </w:r>
      <w:r>
        <w:rPr>
          <w:rFonts w:ascii="Times New Roman" w:cs="Times New Roman" w:eastAsia="Times New Roman" w:hAnsi="Times New Roman"/>
          <w:sz w:val="22"/>
          <w:szCs w:val="22"/>
          <w:color w:val="auto"/>
        </w:rPr>
        <w:t>" shall mean Guaranty Obligations of GLDD and its Subsidiaries with respect to any third-party Indebtedness of a Strategic Joint Venture so long as all such Guaranty Obligations are unsecured and expressly subordinated in right and time of payment to the Obligations on terms and conditions reasonably satisfactory to Agent (including, for the sake of clarity, that such third-party shall be subject to a permanent standstill of rights and remedies against the Credit Parties until the Obligations have been paid in full).</w:t>
      </w:r>
    </w:p>
    <w:p>
      <w:pPr>
        <w:spacing w:after="0" w:line="169"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Person</w:t>
      </w:r>
      <w:r>
        <w:rPr>
          <w:rFonts w:ascii="Times New Roman" w:cs="Times New Roman" w:eastAsia="Times New Roman" w:hAnsi="Times New Roman"/>
          <w:sz w:val="22"/>
          <w:szCs w:val="22"/>
          <w:color w:val="auto"/>
        </w:rPr>
        <w:t>" shall mean any individual, sole proprietorship, partnership, corporation, business trust, joint stock company, trust, unincorporated organization, association, limited liability company, limited liability partnership, institution, public benefit corporation, joint venture, entity or Governmental Body (whether federal, state, county, city, municipal or otherwise, including any instrumentality, division, agency, body or department thereof).</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Philly</w:t>
      </w:r>
      <w:r>
        <w:rPr>
          <w:rFonts w:ascii="Times New Roman" w:cs="Times New Roman" w:eastAsia="Times New Roman" w:hAnsi="Times New Roman"/>
          <w:sz w:val="22"/>
          <w:szCs w:val="22"/>
          <w:color w:val="auto"/>
        </w:rPr>
        <w:t>" shall mean the Philadelphia Indemnity Insurance Company or any of its affiliates, and its successors and</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assigns.</w:t>
      </w:r>
    </w:p>
    <w:p>
      <w:pPr>
        <w:spacing w:after="0" w:line="209" w:lineRule="exact"/>
        <w:rPr>
          <w:sz w:val="20"/>
          <w:szCs w:val="20"/>
          <w:color w:val="auto"/>
        </w:rPr>
      </w:pPr>
    </w:p>
    <w:p>
      <w:pPr>
        <w:jc w:val="both"/>
        <w:ind w:right="20" w:firstLine="749"/>
        <w:spacing w:after="0" w:line="29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Philly Agreement</w:t>
      </w:r>
      <w:r>
        <w:rPr>
          <w:rFonts w:ascii="Times New Roman" w:cs="Times New Roman" w:eastAsia="Times New Roman" w:hAnsi="Times New Roman"/>
          <w:sz w:val="22"/>
          <w:szCs w:val="22"/>
          <w:color w:val="auto"/>
        </w:rPr>
        <w:t>" shall mean that certain General Agreement of Indemnity dated as of August 8, 2023, by and among certain of the Credit Parties, Philly and the other parties thereto from time to time.</w:t>
      </w:r>
    </w:p>
    <w:p>
      <w:pPr>
        <w:spacing w:after="0" w:line="134" w:lineRule="exact"/>
        <w:rPr>
          <w:sz w:val="20"/>
          <w:szCs w:val="20"/>
          <w:color w:val="auto"/>
        </w:rPr>
      </w:pPr>
    </w:p>
    <w:p>
      <w:pPr>
        <w:jc w:val="both"/>
        <w:ind w:firstLine="749"/>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Pledge Agreement</w:t>
      </w:r>
      <w:r>
        <w:rPr>
          <w:rFonts w:ascii="Times New Roman" w:cs="Times New Roman" w:eastAsia="Times New Roman" w:hAnsi="Times New Roman"/>
          <w:sz w:val="22"/>
          <w:szCs w:val="22"/>
          <w:color w:val="auto"/>
        </w:rPr>
        <w:t>" shall mean that certain Pledge Agreement executed by GLDD, GLDD LLC, Environmental and Solutions in favor of Agent dated as of the Original Closing Date and any other pledge agreements executed subsequent to the Closing Date by any other Person to secure the Obligations.</w:t>
      </w:r>
    </w:p>
    <w:p>
      <w:pPr>
        <w:spacing w:after="0" w:line="156" w:lineRule="exact"/>
        <w:rPr>
          <w:sz w:val="20"/>
          <w:szCs w:val="20"/>
          <w:color w:val="auto"/>
        </w:rPr>
      </w:pPr>
    </w:p>
    <w:p>
      <w:pPr>
        <w:jc w:val="both"/>
        <w:ind w:firstLine="749"/>
        <w:spacing w:after="0" w:line="29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PNC</w:t>
      </w:r>
      <w:r>
        <w:rPr>
          <w:rFonts w:ascii="Times New Roman" w:cs="Times New Roman" w:eastAsia="Times New Roman" w:hAnsi="Times New Roman"/>
          <w:sz w:val="22"/>
          <w:szCs w:val="22"/>
          <w:color w:val="auto"/>
        </w:rPr>
        <w:t>" shall have the meaning set forth in the preamble to this Agreement and shall extend to all of its successors and assigns.</w:t>
      </w:r>
    </w:p>
    <w:p>
      <w:pPr>
        <w:spacing w:after="0" w:line="134" w:lineRule="exact"/>
        <w:rPr>
          <w:sz w:val="20"/>
          <w:szCs w:val="20"/>
          <w:color w:val="auto"/>
        </w:rPr>
      </w:pPr>
    </w:p>
    <w:p>
      <w:pPr>
        <w:jc w:val="both"/>
        <w:ind w:right="20" w:firstLine="749"/>
        <w:spacing w:after="0" w:line="29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Preferred Maritime Reserves</w:t>
      </w:r>
      <w:r>
        <w:rPr>
          <w:rFonts w:ascii="Times New Roman" w:cs="Times New Roman" w:eastAsia="Times New Roman" w:hAnsi="Times New Roman"/>
          <w:sz w:val="22"/>
          <w:szCs w:val="22"/>
          <w:color w:val="auto"/>
        </w:rPr>
        <w:t>" shall mean, at any time during a Preferred Maritime Reserve Period, the aggregate amount of the Maritime Reserves.</w:t>
      </w:r>
    </w:p>
    <w:p>
      <w:pPr>
        <w:spacing w:after="0" w:line="134"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Preferred Maritime Reserves Period</w:t>
      </w:r>
      <w:r>
        <w:rPr>
          <w:rFonts w:ascii="Times New Roman" w:cs="Times New Roman" w:eastAsia="Times New Roman" w:hAnsi="Times New Roman"/>
          <w:sz w:val="22"/>
          <w:szCs w:val="22"/>
          <w:color w:val="auto"/>
        </w:rPr>
        <w:t>" shall mean the period commencing after the occurrence of a Preferred Maritime Reserves Trigger Event and continuing until the date when (a) no Event of Default shall exist and be continuing and (b) Undrawn Availability is greater than twelve and one-half percent (12.5%) of the Maximum Loan Amount for twenty (20) consecutive days.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05" w:name="page106"/>
    <w:bookmarkEnd w:id="105"/>
    <w:p>
      <w:pPr>
        <w:jc w:val="both"/>
        <w:ind w:firstLine="749"/>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Preferred Maritime Reserves Trigger Event</w:t>
      </w:r>
      <w:r>
        <w:rPr>
          <w:rFonts w:ascii="Times New Roman" w:cs="Times New Roman" w:eastAsia="Times New Roman" w:hAnsi="Times New Roman"/>
          <w:sz w:val="22"/>
          <w:szCs w:val="22"/>
          <w:color w:val="auto"/>
        </w:rPr>
        <w:t>" shall mean the occurrence of any of the following: (a) the occurrence and continuance of any Event of Default, or (b) Undrawn Availability is less than twelve and one-half percent (12.5%) of the Maximum Loan Amount for five (5) consecutive days.</w:t>
      </w:r>
    </w:p>
    <w:p>
      <w:pPr>
        <w:spacing w:after="0" w:line="156" w:lineRule="exact"/>
        <w:rPr>
          <w:sz w:val="20"/>
          <w:szCs w:val="20"/>
          <w:color w:val="auto"/>
        </w:rPr>
      </w:pPr>
    </w:p>
    <w:p>
      <w:pPr>
        <w:jc w:val="both"/>
        <w:ind w:firstLine="749"/>
        <w:spacing w:after="0" w:line="29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Primary Depository Institution</w:t>
      </w:r>
      <w:r>
        <w:rPr>
          <w:rFonts w:ascii="Times New Roman" w:cs="Times New Roman" w:eastAsia="Times New Roman" w:hAnsi="Times New Roman"/>
          <w:sz w:val="22"/>
          <w:szCs w:val="22"/>
          <w:color w:val="auto"/>
        </w:rPr>
        <w:t>" shall mean Bank of America, N.A. or any other Lender which Agent in its discretion shall approve.</w:t>
      </w:r>
    </w:p>
    <w:p>
      <w:pPr>
        <w:spacing w:after="0" w:line="13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 Forma Balance Sheet</w:t>
      </w:r>
      <w:r>
        <w:rPr>
          <w:rFonts w:ascii="Times New Roman" w:cs="Times New Roman" w:eastAsia="Times New Roman" w:hAnsi="Times New Roman"/>
          <w:sz w:val="22"/>
          <w:szCs w:val="22"/>
          <w:color w:val="auto"/>
        </w:rPr>
        <w:t>" shall have the meaning set forth in Section 5.5(a) hereof.</w:t>
      </w:r>
    </w:p>
    <w:p>
      <w:pPr>
        <w:spacing w:after="0" w:line="233"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 Forma Basis</w:t>
      </w:r>
      <w:r>
        <w:rPr>
          <w:rFonts w:ascii="Times New Roman" w:cs="Times New Roman" w:eastAsia="Times New Roman" w:hAnsi="Times New Roman"/>
          <w:sz w:val="22"/>
          <w:szCs w:val="22"/>
          <w:color w:val="auto"/>
        </w:rPr>
        <w:t xml:space="preserve">" shall mean, (i) for purposes of calculating EBITDA for any period during which one or more Specified Transactions occurs, that such Specified Transaction (and all other Specified Transactions that have been consummated during the applicable period) shall be deemed to have occurred as of the first (1st) day of the applicable period of measurement and all income statement items (whether positive or negative) attributable to the Property or Person disposed of in a Specified Disposition shall be excluded and all income statement items (whether positive or negative) attributable to the Property or Person acquired in a Permitted Acquisition shall be included (it being understood that the foregoing calculations may incorporate add-backs and other adjustments permitted by this Agreement to the extent such add-backs and adjustments are not duplicative of any amounts or adjustments that are already included in the calculation of EBITDA), and (ii) for purposes of calculating Debt Payments for any period during which one or more Specified Transactions occurs, (A) interest accrued during the relevant period on, and the principal of, any Indebtedness repaid in such transaction shall be excluded from the results of GLDD on a Consolidated Basis for such period, and (B) any Indebtedness incurred or assumed in such transaction shall be deemed to have been incurred as of the first (1st) day of the applicable period, and interest thereon shall be deemed to have accrued from such day on such Indebtedness at the applicable rates provided therefor (and in the case of interest that does or would accrue at a formula or floating rate, at the rate in effect at the time of determination) and shall be included in the results of GLDD on a Consolidated Basis for such period;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xml:space="preserve"> that the foregoing pro forma adjustment may incorporate add-backs and other adjustments permitted by this Agreement to the extent such add-backs and adjustments are not duplicative of any amounts or adjustments that are already included in the calculation of EBITDA.</w:t>
      </w:r>
    </w:p>
    <w:p>
      <w:pPr>
        <w:spacing w:after="0" w:line="200" w:lineRule="exact"/>
        <w:rPr>
          <w:sz w:val="20"/>
          <w:szCs w:val="20"/>
          <w:color w:val="auto"/>
        </w:rPr>
      </w:pPr>
    </w:p>
    <w:p>
      <w:pPr>
        <w:spacing w:after="0" w:line="25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 Forma Financial Statements</w:t>
      </w:r>
      <w:r>
        <w:rPr>
          <w:rFonts w:ascii="Times New Roman" w:cs="Times New Roman" w:eastAsia="Times New Roman" w:hAnsi="Times New Roman"/>
          <w:sz w:val="22"/>
          <w:szCs w:val="22"/>
          <w:color w:val="auto"/>
        </w:rPr>
        <w:t>" shall have the meaning set forth in Section 5.5(b) hereof.</w:t>
      </w:r>
    </w:p>
    <w:p>
      <w:pPr>
        <w:spacing w:after="0" w:line="23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Projections</w:t>
      </w:r>
      <w:r>
        <w:rPr>
          <w:rFonts w:ascii="Times New Roman" w:cs="Times New Roman" w:eastAsia="Times New Roman" w:hAnsi="Times New Roman"/>
          <w:sz w:val="22"/>
          <w:szCs w:val="22"/>
          <w:color w:val="auto"/>
        </w:rPr>
        <w:t>" shall have the meaning set forth in Section 5.5(b) hereof.</w:t>
      </w:r>
    </w:p>
    <w:p>
      <w:pPr>
        <w:spacing w:after="0" w:line="233" w:lineRule="exact"/>
        <w:rPr>
          <w:sz w:val="20"/>
          <w:szCs w:val="20"/>
          <w:color w:val="auto"/>
        </w:rPr>
      </w:pPr>
    </w:p>
    <w:p>
      <w:pPr>
        <w:jc w:val="both"/>
        <w:ind w:firstLine="749"/>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Properly Contested</w:t>
      </w:r>
      <w:r>
        <w:rPr>
          <w:rFonts w:ascii="Times New Roman" w:cs="Times New Roman" w:eastAsia="Times New Roman" w:hAnsi="Times New Roman"/>
          <w:sz w:val="22"/>
          <w:szCs w:val="22"/>
          <w:color w:val="auto"/>
        </w:rPr>
        <w:t>" shall mean, in the case of any Indebtedness, Lien or Taxes, as applicable, of any Person that are not paid as and when due or payable by reason of such Person's bona fide dispute concerning its liability to pay the same or concerning the amount thereof: (a) such Indebtedness, Lien or Taxes, as applicable, are being properly contested in good faith by appropriate proceedings promptly instituted and diligently conducted; (b) such Person has established appropriate reserves as shall be required in conformity with GAAP; (c) the non-payment of such Indebtedness or Taxes will not have a Material Adverse Effect or</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106" w:name="page107"/>
    <w:bookmarkEnd w:id="106"/>
    <w:p>
      <w:pPr>
        <w:jc w:val="both"/>
        <w:spacing w:after="0" w:line="265" w:lineRule="auto"/>
        <w:rPr>
          <w:sz w:val="20"/>
          <w:szCs w:val="20"/>
          <w:color w:val="auto"/>
        </w:rPr>
      </w:pPr>
      <w:r>
        <w:rPr>
          <w:rFonts w:ascii="Times New Roman" w:cs="Times New Roman" w:eastAsia="Times New Roman" w:hAnsi="Times New Roman"/>
          <w:sz w:val="22"/>
          <w:szCs w:val="22"/>
          <w:color w:val="auto"/>
        </w:rPr>
        <w:t>will not result in the forfeiture of any assets of such Person; (d) no Lien is imposed upon any of such Person's assets with respect to such Indebtedness or taxes unless enforcement of such Lien is stayed during the period prior to the final resolution or disposition of such dispute; and (e) if such Indebtedness or Lien, as applicable, results from, or is determined by the entry, rendition or issuance against a Person or any of its assets of a judgment, writ, order or decree, enforcement of such judgment, writ, order or decree is stayed pending a timely appeal or other judicial review.</w:t>
      </w:r>
    </w:p>
    <w:p>
      <w:pPr>
        <w:spacing w:after="0" w:line="16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Proposed Payment</w:t>
      </w:r>
      <w:r>
        <w:rPr>
          <w:rFonts w:ascii="Times New Roman" w:cs="Times New Roman" w:eastAsia="Times New Roman" w:hAnsi="Times New Roman"/>
          <w:sz w:val="22"/>
          <w:szCs w:val="22"/>
          <w:color w:val="auto"/>
        </w:rPr>
        <w:t>" shall mean any proposed:</w:t>
      </w:r>
    </w:p>
    <w:p>
      <w:pPr>
        <w:spacing w:after="0" w:line="229" w:lineRule="exact"/>
        <w:rPr>
          <w:sz w:val="20"/>
          <w:szCs w:val="20"/>
          <w:color w:val="auto"/>
        </w:rPr>
      </w:pPr>
    </w:p>
    <w:p>
      <w:pPr>
        <w:ind w:left="1940" w:hanging="435"/>
        <w:spacing w:after="0"/>
        <w:tabs>
          <w:tab w:leader="none" w:pos="1940" w:val="left"/>
        </w:tabs>
        <w:numPr>
          <w:ilvl w:val="1"/>
          <w:numId w:val="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Investment or loan pursuant to clause (d) of the definition of Permitted Intercompany Investments or clause</w:t>
      </w:r>
    </w:p>
    <w:p>
      <w:pPr>
        <w:spacing w:after="0" w:line="25" w:lineRule="exact"/>
        <w:rPr>
          <w:rFonts w:ascii="Times New Roman" w:cs="Times New Roman" w:eastAsia="Times New Roman" w:hAnsi="Times New Roman"/>
          <w:sz w:val="21"/>
          <w:szCs w:val="21"/>
          <w:color w:val="auto"/>
        </w:rPr>
      </w:pPr>
    </w:p>
    <w:p>
      <w:pPr>
        <w:ind w:left="320" w:hanging="312"/>
        <w:spacing w:after="0"/>
        <w:tabs>
          <w:tab w:leader="none" w:pos="320"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 the definition of Permitted Investments;</w:t>
      </w:r>
    </w:p>
    <w:p>
      <w:pPr>
        <w:spacing w:after="0" w:line="182"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1"/>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Permitted Acquisition;</w:t>
      </w:r>
    </w:p>
    <w:p>
      <w:pPr>
        <w:spacing w:after="0" w:line="206"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1"/>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prepayment pursuant to Section 7.17;</w:t>
      </w:r>
    </w:p>
    <w:p>
      <w:pPr>
        <w:spacing w:after="0" w:line="206"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1"/>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Restricted Payment pursuant to clause (g) of the definition of Permitted Restricted Payments;</w:t>
      </w:r>
    </w:p>
    <w:p>
      <w:pPr>
        <w:spacing w:after="0" w:line="206"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1"/>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incurrence of Indebtedness pursuant to clause (y) of the definition of Permitted Indebtedness; or</w:t>
      </w:r>
    </w:p>
    <w:p>
      <w:pPr>
        <w:spacing w:after="0" w:line="206"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1"/>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dispositions pursuant to clause (n) of the definition of Permitted Dispositions.</w:t>
      </w:r>
    </w:p>
    <w:p>
      <w:pPr>
        <w:spacing w:after="0" w:line="21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Protective Advances</w:t>
      </w:r>
      <w:r>
        <w:rPr>
          <w:rFonts w:ascii="Times New Roman" w:cs="Times New Roman" w:eastAsia="Times New Roman" w:hAnsi="Times New Roman"/>
          <w:sz w:val="22"/>
          <w:szCs w:val="22"/>
          <w:color w:val="auto"/>
        </w:rPr>
        <w:t>" shall have the meaning set forth in Section 16.2(f) hereof.</w:t>
      </w:r>
    </w:p>
    <w:p>
      <w:pPr>
        <w:spacing w:after="0" w:line="23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Purchasing CLO</w:t>
      </w:r>
      <w:r>
        <w:rPr>
          <w:rFonts w:ascii="Times New Roman" w:cs="Times New Roman" w:eastAsia="Times New Roman" w:hAnsi="Times New Roman"/>
          <w:sz w:val="22"/>
          <w:szCs w:val="22"/>
          <w:color w:val="auto"/>
        </w:rPr>
        <w:t>" shall have the meaning set forth in Section 16.3(d) hereof.</w:t>
      </w:r>
    </w:p>
    <w:p>
      <w:pPr>
        <w:spacing w:after="0" w:line="23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Purchasing Lender</w:t>
      </w:r>
      <w:r>
        <w:rPr>
          <w:rFonts w:ascii="Times New Roman" w:cs="Times New Roman" w:eastAsia="Times New Roman" w:hAnsi="Times New Roman"/>
          <w:sz w:val="22"/>
          <w:szCs w:val="22"/>
          <w:color w:val="auto"/>
        </w:rPr>
        <w:t>" shall have the meaning set forth in Section 16.3(c) hereof.</w:t>
      </w:r>
    </w:p>
    <w:p>
      <w:pPr>
        <w:spacing w:after="0" w:line="23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QFC</w:t>
      </w:r>
      <w:r>
        <w:rPr>
          <w:rFonts w:ascii="Times New Roman" w:cs="Times New Roman" w:eastAsia="Times New Roman" w:hAnsi="Times New Roman"/>
          <w:sz w:val="22"/>
          <w:szCs w:val="22"/>
          <w:color w:val="auto"/>
        </w:rPr>
        <w:t>" shall have the meaning set forth in Section 16.22 hereof.</w:t>
      </w:r>
    </w:p>
    <w:p>
      <w:pPr>
        <w:spacing w:after="0" w:line="23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QFC Covered Entity</w:t>
      </w:r>
      <w:r>
        <w:rPr>
          <w:rFonts w:ascii="Times New Roman" w:cs="Times New Roman" w:eastAsia="Times New Roman" w:hAnsi="Times New Roman"/>
          <w:sz w:val="22"/>
          <w:szCs w:val="22"/>
          <w:color w:val="auto"/>
        </w:rPr>
        <w:t>" shall have the meaning set forth in Section 16.22 hereof.</w:t>
      </w:r>
    </w:p>
    <w:p>
      <w:pPr>
        <w:spacing w:after="0" w:line="23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QFC Credit Support</w:t>
      </w:r>
      <w:r>
        <w:rPr>
          <w:rFonts w:ascii="Times New Roman" w:cs="Times New Roman" w:eastAsia="Times New Roman" w:hAnsi="Times New Roman"/>
          <w:sz w:val="22"/>
          <w:szCs w:val="22"/>
          <w:color w:val="auto"/>
        </w:rPr>
        <w:t>" shall have the meaning set forth in Section 16.22 hereof.</w:t>
      </w:r>
    </w:p>
    <w:p>
      <w:pPr>
        <w:spacing w:after="0" w:line="233" w:lineRule="exact"/>
        <w:rPr>
          <w:sz w:val="20"/>
          <w:szCs w:val="20"/>
          <w:color w:val="auto"/>
        </w:rPr>
      </w:pPr>
    </w:p>
    <w:p>
      <w:pPr>
        <w:jc w:val="both"/>
        <w:ind w:firstLine="749"/>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Qualified ECP Loan Party</w:t>
      </w:r>
      <w:r>
        <w:rPr>
          <w:rFonts w:ascii="Times New Roman" w:cs="Times New Roman" w:eastAsia="Times New Roman" w:hAnsi="Times New Roman"/>
          <w:sz w:val="22"/>
          <w:szCs w:val="22"/>
          <w:color w:val="auto"/>
        </w:rPr>
        <w:t>" shall mean each Borrower or Guarantor that on the Eligibility Date is (a) a corporation, partnership, proprietorship, organization, trust, or other entity other than a "commodity pool" as defined in Section 1a(10) of the CEA and CFTC regulations thereunder that has total assets exceeding $10,000,000 or (b) an Eligible Contract Participant that can cause another person to qualify as an Eligible Contract Participant on the Eligibility Date under Section 1a(18)(A)(v)(II) of the CEA by entering into or otherwise providing a "letter of credit or keepwell, support, or other agreement" for purposes of Section 1a(18)(A)(v)(II) of the CEA.</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107" w:name="page108"/>
    <w:bookmarkEnd w:id="107"/>
    <w:p>
      <w:pPr>
        <w:jc w:val="both"/>
        <w:ind w:firstLine="749"/>
        <w:spacing w:after="0" w:line="29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Real Property</w:t>
      </w:r>
      <w:r>
        <w:rPr>
          <w:rFonts w:ascii="Times New Roman" w:cs="Times New Roman" w:eastAsia="Times New Roman" w:hAnsi="Times New Roman"/>
          <w:sz w:val="22"/>
          <w:szCs w:val="22"/>
          <w:color w:val="auto"/>
        </w:rPr>
        <w:t>" shall mean all of the owned or leased premises of any Credit Party identified on Schedule 4.4 hereto and all of the hereafter owned or leased premises of any Credit Party.</w:t>
      </w:r>
    </w:p>
    <w:p>
      <w:pPr>
        <w:spacing w:after="0" w:line="134"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Receivables</w:t>
      </w:r>
      <w:r>
        <w:rPr>
          <w:rFonts w:ascii="Times New Roman" w:cs="Times New Roman" w:eastAsia="Times New Roman" w:hAnsi="Times New Roman"/>
          <w:sz w:val="22"/>
          <w:szCs w:val="22"/>
          <w:color w:val="auto"/>
        </w:rPr>
        <w:t>" shall mean and include, as to each Credit Party, all of such Credit Party's accounts (as defined in Article 9 of the Uniform Commercial Code) and all of such Credit Party's contract rights, instruments (including those evidencing indebtedness owed to such Credit Party by its Affiliates), documents, chattel paper (including electronic chattel paper), general intangibles relating to accounts, contract rights, instruments, documents and chattel paper, and drafts and acceptances, credit card receivables and all other forms of obligations owing to such Credit Party arising out of or in connection with the sale or lease of Inventory or the rendition of services, all supporting obligations, guarantees and other security therefor, whether secured or unsecured, now existing or hereafter created, and whether or not specifically sold or assigned to Agent hereunder.</w:t>
      </w:r>
    </w:p>
    <w:p>
      <w:pPr>
        <w:spacing w:after="0" w:line="200" w:lineRule="exact"/>
        <w:rPr>
          <w:sz w:val="20"/>
          <w:szCs w:val="20"/>
          <w:color w:val="auto"/>
        </w:rPr>
      </w:pPr>
    </w:p>
    <w:p>
      <w:pPr>
        <w:spacing w:after="0" w:line="24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Receivables Advance Rate</w:t>
      </w:r>
      <w:r>
        <w:rPr>
          <w:rFonts w:ascii="Times New Roman" w:cs="Times New Roman" w:eastAsia="Times New Roman" w:hAnsi="Times New Roman"/>
          <w:sz w:val="22"/>
          <w:szCs w:val="22"/>
          <w:color w:val="auto"/>
        </w:rPr>
        <w:t>" shall have the meaning set forth in Section 2.1(a)(z)(i) hereof.</w:t>
      </w:r>
    </w:p>
    <w:p>
      <w:pPr>
        <w:spacing w:after="0" w:line="23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Register</w:t>
      </w:r>
      <w:r>
        <w:rPr>
          <w:rFonts w:ascii="Times New Roman" w:cs="Times New Roman" w:eastAsia="Times New Roman" w:hAnsi="Times New Roman"/>
          <w:sz w:val="22"/>
          <w:szCs w:val="22"/>
          <w:color w:val="auto"/>
        </w:rPr>
        <w:t>" shall have the meaning set forth in Section 16.3(e) hereof.</w:t>
      </w:r>
    </w:p>
    <w:p>
      <w:pPr>
        <w:spacing w:after="0" w:line="23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Reimbursement Obligation</w:t>
      </w:r>
      <w:r>
        <w:rPr>
          <w:rFonts w:ascii="Times New Roman" w:cs="Times New Roman" w:eastAsia="Times New Roman" w:hAnsi="Times New Roman"/>
          <w:sz w:val="22"/>
          <w:szCs w:val="22"/>
          <w:color w:val="auto"/>
        </w:rPr>
        <w:t>" shall have the meaning set forth in Section 2.14(b) hereof.</w:t>
      </w:r>
    </w:p>
    <w:p>
      <w:pPr>
        <w:spacing w:after="0" w:line="233" w:lineRule="exact"/>
        <w:rPr>
          <w:sz w:val="20"/>
          <w:szCs w:val="20"/>
          <w:color w:val="auto"/>
        </w:rPr>
      </w:pPr>
    </w:p>
    <w:p>
      <w:pPr>
        <w:jc w:val="both"/>
        <w:ind w:firstLine="749"/>
        <w:spacing w:after="0" w:line="26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Release Conditions</w:t>
      </w:r>
      <w:r>
        <w:rPr>
          <w:rFonts w:ascii="Times New Roman" w:cs="Times New Roman" w:eastAsia="Times New Roman" w:hAnsi="Times New Roman"/>
          <w:sz w:val="22"/>
          <w:szCs w:val="22"/>
          <w:color w:val="auto"/>
        </w:rPr>
        <w:t>" shall mean, with respect to a request for a release of Agent's Lien on (i) a Release Eligible Vessel (other than the ATB), each of the following conditions: (a) after giving effect to any release, Undrawn Availability is greater than twenty percent (20.0%) of the Maximum Loan Amount, (b) the Fixed Charge Coverage Ratio shall be at least 1.25 to 1.00 for the most recently ended fiscal month for which Agent has received financial statements required under Section 9.9 and (c) no Default or Event of Default exists or would be caused thereby; or (ii) the ATB, satisfaction of the ATB Conditions.</w:t>
      </w:r>
    </w:p>
    <w:p>
      <w:pPr>
        <w:spacing w:after="0" w:line="200" w:lineRule="exact"/>
        <w:rPr>
          <w:sz w:val="20"/>
          <w:szCs w:val="20"/>
          <w:color w:val="auto"/>
        </w:rPr>
      </w:pPr>
    </w:p>
    <w:p>
      <w:pPr>
        <w:spacing w:after="0" w:line="239" w:lineRule="exact"/>
        <w:rPr>
          <w:sz w:val="20"/>
          <w:szCs w:val="20"/>
          <w:color w:val="auto"/>
        </w:rPr>
      </w:pPr>
    </w:p>
    <w:p>
      <w:pPr>
        <w:jc w:val="both"/>
        <w:ind w:firstLine="749"/>
        <w:spacing w:after="0" w:line="29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Release Eligible Vessels</w:t>
      </w:r>
      <w:r>
        <w:rPr>
          <w:rFonts w:ascii="Times New Roman" w:cs="Times New Roman" w:eastAsia="Times New Roman" w:hAnsi="Times New Roman"/>
          <w:sz w:val="22"/>
          <w:szCs w:val="22"/>
          <w:color w:val="auto"/>
        </w:rPr>
        <w:t>" shall mean any Fleet Asset (other than the ATB unless the ATB Conditions have been satisfied).</w:t>
      </w:r>
    </w:p>
    <w:p>
      <w:pPr>
        <w:spacing w:after="0" w:line="134" w:lineRule="exact"/>
        <w:rPr>
          <w:sz w:val="20"/>
          <w:szCs w:val="20"/>
          <w:color w:val="auto"/>
        </w:rPr>
      </w:pPr>
    </w:p>
    <w:p>
      <w:pPr>
        <w:jc w:val="both"/>
        <w:ind w:firstLine="749"/>
        <w:spacing w:after="0" w:line="26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Reportable Compliance Event</w:t>
      </w:r>
      <w:r>
        <w:rPr>
          <w:rFonts w:ascii="Times New Roman" w:cs="Times New Roman" w:eastAsia="Times New Roman" w:hAnsi="Times New Roman"/>
          <w:sz w:val="22"/>
          <w:szCs w:val="22"/>
          <w:color w:val="auto"/>
        </w:rPr>
        <w:t xml:space="preserve">" shall mean that (1) any Covered Entity becomes a Sanctioned Person, or is </w:t>
      </w:r>
      <w:r>
        <w:rPr>
          <w:rFonts w:ascii="Times New Roman" w:cs="Times New Roman" w:eastAsia="Times New Roman" w:hAnsi="Times New Roman"/>
          <w:sz w:val="20"/>
          <w:szCs w:val="20"/>
          <w:color w:val="auto"/>
        </w:rPr>
        <w:t>charged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0"/>
          <w:szCs w:val="20"/>
          <w:color w:val="auto"/>
        </w:rPr>
        <w:t>by indictment, criminal complaint or similar charging instrument</w:t>
      </w:r>
      <w:r>
        <w:rPr>
          <w:rFonts w:ascii="Times New Roman" w:cs="Times New Roman" w:eastAsia="Times New Roman" w:hAnsi="Times New Roman"/>
          <w:sz w:val="22"/>
          <w:szCs w:val="22"/>
          <w:color w:val="auto"/>
        </w:rPr>
        <w:t>, arraigned, custodially detained, penalized or the subject of an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2"/>
          <w:szCs w:val="22"/>
          <w:color w:val="auto"/>
        </w:rPr>
        <w:t>assessment for a penalty or enters into a settlement with an Governmental Body in connection with any sanctions or other Anti-Terrorism Law or Anti-Corruption law, or any predicate crime to any Anti-Terrorism Law or Anti-Corruption Law, or has knowledge of facts or circumstances to the effect that it is reasonably likely that any aspect of its operations represents a violation of any Anti-Terrorism Law or Anti-Corruption Law; (2) any Covered Entity engages in a transaction that has caused or may cause the Lenders or Agent to be in violation of any Anti-Terrorism Law, including a Covered Entity's use of any proceeds of the credit facility to fund any operations in, finance any investments or activities in, or, make any payments to, directly or indirectly, a Sanctioned Jurisdiction or Sanctioned Person; or (3) any Collateral becomes Embargoed Property.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108" w:name="page109"/>
    <w:bookmarkEnd w:id="108"/>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Required Lenders</w:t>
      </w:r>
      <w:r>
        <w:rPr>
          <w:rFonts w:ascii="Times New Roman" w:cs="Times New Roman" w:eastAsia="Times New Roman" w:hAnsi="Times New Roman"/>
          <w:sz w:val="22"/>
          <w:szCs w:val="22"/>
          <w:color w:val="auto"/>
        </w:rPr>
        <w:t xml:space="preserve">" shall mean Lenders (not including Swing Loan Lender (in its capacity as such Swing Loan Lender) or any Defaulting Lender) holding at least fifty and one-tenth percent (50.1%) of either (a) the aggregate of the Revolving Commitment Amounts of all Lenders (excluding any Defaulting Lender), or (b) after the termination of all commitments of Lenders hereunder, the sum of (x) the outstanding Revolving Advances and Swing Loans,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the Dollar Equivalent of the Maximum Undrawn Amount of all outstanding Letters of Credit;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if there are two (2) or more Lenders (who are not Affiliates of one another), Required Lenders must include at least two (2) Lenders (who are not Affiliates of one another).</w:t>
      </w:r>
    </w:p>
    <w:p>
      <w:pPr>
        <w:spacing w:after="0" w:line="173" w:lineRule="exact"/>
        <w:rPr>
          <w:sz w:val="20"/>
          <w:szCs w:val="20"/>
          <w:color w:val="auto"/>
        </w:rPr>
      </w:pPr>
    </w:p>
    <w:p>
      <w:pPr>
        <w:jc w:val="both"/>
        <w:ind w:right="20" w:firstLine="749"/>
        <w:spacing w:after="0" w:line="29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Resolution Authority</w:t>
      </w:r>
      <w:r>
        <w:rPr>
          <w:rFonts w:ascii="Times New Roman" w:cs="Times New Roman" w:eastAsia="Times New Roman" w:hAnsi="Times New Roman"/>
          <w:sz w:val="22"/>
          <w:szCs w:val="22"/>
          <w:color w:val="auto"/>
        </w:rPr>
        <w:t>" shall mean an EEA Resolution Authority or, with respect to any UK Financial Institution, a UK Resolution Authority.</w:t>
      </w:r>
    </w:p>
    <w:p>
      <w:pPr>
        <w:spacing w:after="0" w:line="134" w:lineRule="exact"/>
        <w:rPr>
          <w:sz w:val="20"/>
          <w:szCs w:val="20"/>
          <w:color w:val="auto"/>
        </w:rPr>
      </w:pPr>
    </w:p>
    <w:p>
      <w:pPr>
        <w:jc w:val="both"/>
        <w:ind w:firstLine="749"/>
        <w:spacing w:after="0" w:line="26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Responsible Officer</w:t>
      </w:r>
      <w:r>
        <w:rPr>
          <w:rFonts w:ascii="Times New Roman" w:cs="Times New Roman" w:eastAsia="Times New Roman" w:hAnsi="Times New Roman"/>
          <w:sz w:val="22"/>
          <w:szCs w:val="22"/>
          <w:color w:val="auto"/>
        </w:rPr>
        <w:t>" shall mean the chief executive officer, president, chief financial officer, controller, treasurer, assistant treasurer or similar officer of a Credit Party and, as to any document delivered on the Closing Date, any secretary or assistant secretary. Any document delivered hereunder or under any Other Document that is signed by a Responsible Officer of a Person shall be conclusively presumed to have been authorized by all necessary corporate, partnership and/or other action on the part of such Person and such Responsible Officer shall be conclusively presumed to have acted on behalf of such Person.</w:t>
      </w:r>
    </w:p>
    <w:p>
      <w:pPr>
        <w:spacing w:after="0" w:line="200" w:lineRule="exact"/>
        <w:rPr>
          <w:sz w:val="20"/>
          <w:szCs w:val="20"/>
          <w:color w:val="auto"/>
        </w:rPr>
      </w:pPr>
    </w:p>
    <w:p>
      <w:pPr>
        <w:spacing w:after="0" w:line="239" w:lineRule="exact"/>
        <w:rPr>
          <w:sz w:val="20"/>
          <w:szCs w:val="20"/>
          <w:color w:val="auto"/>
        </w:rPr>
      </w:pPr>
    </w:p>
    <w:p>
      <w:pPr>
        <w:jc w:val="both"/>
        <w:ind w:firstLine="749"/>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Restricted Payments</w:t>
      </w:r>
      <w:r>
        <w:rPr>
          <w:rFonts w:ascii="Times New Roman" w:cs="Times New Roman" w:eastAsia="Times New Roman" w:hAnsi="Times New Roman"/>
          <w:sz w:val="22"/>
          <w:szCs w:val="22"/>
          <w:color w:val="auto"/>
        </w:rPr>
        <w:t>" shall mean (a) any payment or other distribution on account of, or purchase, redeem, retire or otherwise acquire (directly or indirectly), or set apart assets for a sinking or other analogous fund for the purchase, redemption, retirement or other acquisition of, any class of Equity Interests of any Credit Party or any Subsidiary thereof,</w:t>
      </w:r>
    </w:p>
    <w:p>
      <w:pPr>
        <w:spacing w:after="0" w:line="3" w:lineRule="exact"/>
        <w:rPr>
          <w:sz w:val="20"/>
          <w:szCs w:val="20"/>
          <w:color w:val="auto"/>
        </w:rPr>
      </w:pPr>
    </w:p>
    <w:p>
      <w:pPr>
        <w:jc w:val="both"/>
        <w:ind w:firstLine="8"/>
        <w:spacing w:after="0" w:line="260" w:lineRule="auto"/>
        <w:tabs>
          <w:tab w:leader="none" w:pos="339"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distribution of cash, property or assets to the holders of shares of any Equity Interests of any Credit Party or any Subsidiary thereof, or (c) any voluntary or mandatory redemption, repurchase, retirement, sinking fund payment or other payment of principal with respect to any Subordinated Indebtedness, or the Note Indenture Obligations (other than in connection with a Permitted Note Refinancing), or any voluntary prepayment of interest with respect to any Subordinated Indebtedness or the Note Indenture Obligations (other than in connection with a Permitted Note Refinancing).</w:t>
      </w:r>
    </w:p>
    <w:p>
      <w:pPr>
        <w:spacing w:after="0" w:line="171" w:lineRule="exact"/>
        <w:rPr>
          <w:sz w:val="20"/>
          <w:szCs w:val="20"/>
          <w:color w:val="auto"/>
        </w:rPr>
      </w:pPr>
    </w:p>
    <w:p>
      <w:pPr>
        <w:jc w:val="both"/>
        <w:ind w:firstLine="749"/>
        <w:spacing w:after="0" w:line="29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Revolving Advances</w:t>
      </w:r>
      <w:r>
        <w:rPr>
          <w:rFonts w:ascii="Times New Roman" w:cs="Times New Roman" w:eastAsia="Times New Roman" w:hAnsi="Times New Roman"/>
          <w:sz w:val="22"/>
          <w:szCs w:val="22"/>
          <w:color w:val="auto"/>
        </w:rPr>
        <w:t>" shall mean Advances other than Letters of Credit and the Swing Loans. For the avoidance of doubt, a Green Loan Advance is a Revolving Advance.</w:t>
      </w:r>
    </w:p>
    <w:p>
      <w:pPr>
        <w:spacing w:after="0" w:line="134" w:lineRule="exact"/>
        <w:rPr>
          <w:sz w:val="20"/>
          <w:szCs w:val="20"/>
          <w:color w:val="auto"/>
        </w:rPr>
      </w:pPr>
    </w:p>
    <w:p>
      <w:pPr>
        <w:jc w:val="both"/>
        <w:ind w:firstLine="749"/>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Revolving Commitment</w:t>
      </w:r>
      <w:r>
        <w:rPr>
          <w:rFonts w:ascii="Times New Roman" w:cs="Times New Roman" w:eastAsia="Times New Roman" w:hAnsi="Times New Roman"/>
          <w:sz w:val="22"/>
          <w:szCs w:val="22"/>
          <w:color w:val="auto"/>
        </w:rPr>
        <w:t>" shall mean, as to any Lender, the obligation of such Lender (if applicable), to make Revolving Advances and participate in Swing Loans and Letters of Credit, in an aggregate principal and/or face amount not to exceed the Revolving Commitment Amount (if any) of such Lender.</w:t>
      </w:r>
    </w:p>
    <w:p>
      <w:pPr>
        <w:spacing w:after="0" w:line="156"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Revolving Commitment Amount</w:t>
      </w:r>
      <w:r>
        <w:rPr>
          <w:rFonts w:ascii="Times New Roman" w:cs="Times New Roman" w:eastAsia="Times New Roman" w:hAnsi="Times New Roman"/>
          <w:sz w:val="22"/>
          <w:szCs w:val="22"/>
          <w:color w:val="auto"/>
        </w:rPr>
        <w:t>" shall mean, as to any Lender, the Revolving Commitment amount (if any) set forth opposite such Lender's name on Annex I hereto (as such amount may be adjusted pursuant to Section 2.20(a) and Section 2.24 or, in the case of any Lender that became party to this Agreement after the Closing Date pursuant to Section 16.3(c) or (d) hereof, the Revolving Commitment amount (if any) of such Lender as set forth in the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109" w:name="page110"/>
    <w:bookmarkEnd w:id="109"/>
    <w:p>
      <w:pPr>
        <w:jc w:val="both"/>
        <w:spacing w:after="0" w:line="267" w:lineRule="auto"/>
        <w:rPr>
          <w:sz w:val="20"/>
          <w:szCs w:val="20"/>
          <w:color w:val="auto"/>
        </w:rPr>
      </w:pPr>
      <w:r>
        <w:rPr>
          <w:rFonts w:ascii="Times New Roman" w:cs="Times New Roman" w:eastAsia="Times New Roman" w:hAnsi="Times New Roman"/>
          <w:sz w:val="22"/>
          <w:szCs w:val="22"/>
          <w:color w:val="auto"/>
        </w:rPr>
        <w:t>applicable Commitment Transfer Supplement as such amount may be adjusted pursuant to Section 2.20(a) and Section 2.24).</w:t>
      </w:r>
    </w:p>
    <w:p>
      <w:pPr>
        <w:spacing w:after="0" w:line="200" w:lineRule="exact"/>
        <w:rPr>
          <w:sz w:val="20"/>
          <w:szCs w:val="20"/>
          <w:color w:val="auto"/>
        </w:rPr>
      </w:pPr>
    </w:p>
    <w:p>
      <w:pPr>
        <w:spacing w:after="0" w:line="275" w:lineRule="exact"/>
        <w:rPr>
          <w:sz w:val="20"/>
          <w:szCs w:val="20"/>
          <w:color w:val="auto"/>
        </w:rPr>
      </w:pPr>
    </w:p>
    <w:p>
      <w:pPr>
        <w:jc w:val="both"/>
        <w:ind w:firstLine="749"/>
        <w:spacing w:after="0" w:line="26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Revolving Commitment Percentage</w:t>
      </w:r>
      <w:r>
        <w:rPr>
          <w:rFonts w:ascii="Times New Roman" w:cs="Times New Roman" w:eastAsia="Times New Roman" w:hAnsi="Times New Roman"/>
          <w:sz w:val="22"/>
          <w:szCs w:val="22"/>
          <w:color w:val="auto"/>
        </w:rPr>
        <w:t>" shall mean, as to any Lender, the Revolving Commitment Percentage (if any) set forth opposite such Lender's name on Annex I hereto (as such percentage may be adjusted pursuant to Section 2.24 or, in the case of any Lender that became party to this Agreement after the Closing Date pursuant to Section 16.3(c) or (d) hereof, the Revolving Commitment Percentage (if any) of such Lender as set forth in the applicable Commitment Transfer Supplement as such percentage may be adjusted pursuant to Section 2.24).</w:t>
      </w:r>
    </w:p>
    <w:p>
      <w:pPr>
        <w:spacing w:after="0" w:line="16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Revolving Credit Note</w:t>
      </w:r>
      <w:r>
        <w:rPr>
          <w:rFonts w:ascii="Times New Roman" w:cs="Times New Roman" w:eastAsia="Times New Roman" w:hAnsi="Times New Roman"/>
          <w:sz w:val="22"/>
          <w:szCs w:val="22"/>
          <w:color w:val="auto"/>
        </w:rPr>
        <w:t>" shall mean, collectively, the promissory notes referred to in Section 2.1(a) hereof.</w:t>
      </w:r>
    </w:p>
    <w:p>
      <w:pPr>
        <w:spacing w:after="0" w:line="233" w:lineRule="exact"/>
        <w:rPr>
          <w:sz w:val="20"/>
          <w:szCs w:val="20"/>
          <w:color w:val="auto"/>
        </w:rPr>
      </w:pPr>
    </w:p>
    <w:p>
      <w:pPr>
        <w:jc w:val="both"/>
        <w:ind w:firstLine="749"/>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Revolving Interest Rate</w:t>
      </w:r>
      <w:r>
        <w:rPr>
          <w:rFonts w:ascii="Times New Roman" w:cs="Times New Roman" w:eastAsia="Times New Roman" w:hAnsi="Times New Roman"/>
          <w:sz w:val="22"/>
          <w:szCs w:val="22"/>
          <w:color w:val="auto"/>
        </w:rPr>
        <w:t xml:space="preserve">" shall mean (a) with respect to Revolving Advances that are Domestic Rate Loans and Swing Loans, an interest rate per annum equal to the sum of the Applicable Margin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the Alternate Base Rate and (b) with respect to Term SOFR Rate Loans, the sum of the Applicable Margin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the Term SOFR Rate.</w:t>
      </w:r>
    </w:p>
    <w:p>
      <w:pPr>
        <w:spacing w:after="0" w:line="156" w:lineRule="exact"/>
        <w:rPr>
          <w:sz w:val="20"/>
          <w:szCs w:val="20"/>
          <w:color w:val="auto"/>
        </w:rPr>
      </w:pPr>
    </w:p>
    <w:p>
      <w:pPr>
        <w:jc w:val="both"/>
        <w:ind w:right="20" w:firstLine="749"/>
        <w:spacing w:after="0" w:line="29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Sanctioned Jurisdiction</w:t>
      </w:r>
      <w:r>
        <w:rPr>
          <w:rFonts w:ascii="Times New Roman" w:cs="Times New Roman" w:eastAsia="Times New Roman" w:hAnsi="Times New Roman"/>
          <w:sz w:val="22"/>
          <w:szCs w:val="22"/>
          <w:color w:val="auto"/>
        </w:rPr>
        <w:t>" shall mean a country, region or territory subject to a sanctions program maintained under any Anti-Terrorism Law.</w:t>
      </w:r>
    </w:p>
    <w:p>
      <w:pPr>
        <w:spacing w:after="0" w:line="134" w:lineRule="exact"/>
        <w:rPr>
          <w:sz w:val="20"/>
          <w:szCs w:val="20"/>
          <w:color w:val="auto"/>
        </w:rPr>
      </w:pPr>
    </w:p>
    <w:p>
      <w:pPr>
        <w:jc w:val="both"/>
        <w:ind w:firstLine="749"/>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Sanctioned Person</w:t>
      </w:r>
      <w:r>
        <w:rPr>
          <w:rFonts w:ascii="Times New Roman" w:cs="Times New Roman" w:eastAsia="Times New Roman" w:hAnsi="Times New Roman"/>
          <w:sz w:val="22"/>
          <w:szCs w:val="22"/>
          <w:color w:val="auto"/>
        </w:rPr>
        <w:t>" shall mean (a) a Person that is the subject of sanctions administered by OFAC or the U.S. Department of State ("</w:t>
      </w:r>
      <w:r>
        <w:rPr>
          <w:rFonts w:ascii="Times New Roman" w:cs="Times New Roman" w:eastAsia="Times New Roman" w:hAnsi="Times New Roman"/>
          <w:sz w:val="22"/>
          <w:szCs w:val="22"/>
          <w:u w:val="single" w:color="auto"/>
          <w:color w:val="auto"/>
        </w:rPr>
        <w:t>State</w:t>
      </w:r>
      <w:r>
        <w:rPr>
          <w:rFonts w:ascii="Times New Roman" w:cs="Times New Roman" w:eastAsia="Times New Roman" w:hAnsi="Times New Roman"/>
          <w:sz w:val="22"/>
          <w:szCs w:val="22"/>
          <w:color w:val="auto"/>
        </w:rPr>
        <w:t>"), including by virtue of being (i) named on OFAC's list of "Specially Designated Nationals and Blocked Persons"; (ii) organized under the laws of, ordinarily resident in, or physically located in a Sanctioned Jurisdiction;</w:t>
      </w:r>
    </w:p>
    <w:p>
      <w:pPr>
        <w:spacing w:after="0" w:line="3" w:lineRule="exact"/>
        <w:rPr>
          <w:sz w:val="20"/>
          <w:szCs w:val="20"/>
          <w:color w:val="auto"/>
        </w:rPr>
      </w:pPr>
    </w:p>
    <w:p>
      <w:pPr>
        <w:jc w:val="both"/>
        <w:ind w:firstLine="8"/>
        <w:spacing w:after="0" w:line="259" w:lineRule="auto"/>
        <w:tabs>
          <w:tab w:leader="none" w:pos="452"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owned or controlled 50% or more in the aggregate, by one or more Persons that are the subject of sanctions administered by OFAC; (b) a Person that is the subject of sanctions maintained by the European Union ("</w:t>
      </w:r>
      <w:r>
        <w:rPr>
          <w:rFonts w:ascii="Times New Roman" w:cs="Times New Roman" w:eastAsia="Times New Roman" w:hAnsi="Times New Roman"/>
          <w:sz w:val="22"/>
          <w:szCs w:val="22"/>
          <w:u w:val="single" w:color="auto"/>
          <w:color w:val="auto"/>
        </w:rPr>
        <w:t>E.U.</w:t>
      </w:r>
      <w:r>
        <w:rPr>
          <w:rFonts w:ascii="Times New Roman" w:cs="Times New Roman" w:eastAsia="Times New Roman" w:hAnsi="Times New Roman"/>
          <w:sz w:val="22"/>
          <w:szCs w:val="22"/>
          <w:color w:val="auto"/>
        </w:rPr>
        <w:t>"), including by virtue of being named on the E.U.'s "Consolidated list of persons, groups and entities subject to E.U. financial sanctions" or other, similar lists; (c) a Person that is the subject of sanctions maintained by the United Kingdom ("U.K."), including by virtue of being named on the "Consolidated List Of Financial Sanctions Targets in the U.K. " or other, similar lists; or (d) a Person that is the subject of sanctions imposed by any Governmental Body of a jurisdiction whose laws apply to this Agreement.</w:t>
      </w:r>
    </w:p>
    <w:p>
      <w:pPr>
        <w:spacing w:after="0" w:line="200" w:lineRule="exact"/>
        <w:rPr>
          <w:sz w:val="20"/>
          <w:szCs w:val="20"/>
          <w:color w:val="auto"/>
        </w:rPr>
      </w:pPr>
    </w:p>
    <w:p>
      <w:pPr>
        <w:spacing w:after="0" w:line="24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w:t>
      </w:r>
      <w:r>
        <w:rPr>
          <w:rFonts w:ascii="Times New Roman" w:cs="Times New Roman" w:eastAsia="Times New Roman" w:hAnsi="Times New Roman"/>
          <w:sz w:val="22"/>
          <w:szCs w:val="22"/>
          <w:color w:val="auto"/>
        </w:rPr>
        <w:t>" shall mean the Securities and Exchange Commission or any successor thereto.</w:t>
      </w:r>
    </w:p>
    <w:p>
      <w:pPr>
        <w:spacing w:after="0" w:line="23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Second Lien Agent</w:t>
      </w:r>
      <w:r>
        <w:rPr>
          <w:rFonts w:ascii="Times New Roman" w:cs="Times New Roman" w:eastAsia="Times New Roman" w:hAnsi="Times New Roman"/>
          <w:sz w:val="22"/>
          <w:szCs w:val="22"/>
          <w:color w:val="auto"/>
        </w:rPr>
        <w:t>" shall mean Guggenheim Credit Services, LLC.</w:t>
      </w:r>
    </w:p>
    <w:p>
      <w:pPr>
        <w:spacing w:after="0" w:line="23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Second Lien Lenders</w:t>
      </w:r>
      <w:r>
        <w:rPr>
          <w:rFonts w:ascii="Times New Roman" w:cs="Times New Roman" w:eastAsia="Times New Roman" w:hAnsi="Times New Roman"/>
          <w:sz w:val="22"/>
          <w:szCs w:val="22"/>
          <w:color w:val="auto"/>
        </w:rPr>
        <w:t>" shall mean the "Lenders" as defined in the Second Lien Loan Agreement.</w:t>
      </w:r>
    </w:p>
    <w:p>
      <w:pPr>
        <w:spacing w:after="0" w:line="23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Second Lien Loan</w:t>
      </w:r>
      <w:r>
        <w:rPr>
          <w:rFonts w:ascii="Times New Roman" w:cs="Times New Roman" w:eastAsia="Times New Roman" w:hAnsi="Times New Roman"/>
          <w:sz w:val="22"/>
          <w:szCs w:val="22"/>
          <w:color w:val="auto"/>
        </w:rPr>
        <w:t>" shall mean the loan and Indebtedness evidenced by the Second Lien Loan Documents.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110" w:name="page111"/>
    <w:bookmarkEnd w:id="110"/>
    <w:p>
      <w:pPr>
        <w:jc w:val="both"/>
        <w:ind w:right="20" w:firstLine="749"/>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Second Lien Loan Agreement</w:t>
      </w:r>
      <w:r>
        <w:rPr>
          <w:rFonts w:ascii="Times New Roman" w:cs="Times New Roman" w:eastAsia="Times New Roman" w:hAnsi="Times New Roman"/>
          <w:sz w:val="22"/>
          <w:szCs w:val="22"/>
          <w:color w:val="auto"/>
        </w:rPr>
        <w:t>" shall mean the Second Lien Credit Agreement dated as of the Amendment No. 1 Closing Date in the original principal amount of up to $150,000,000 among Borrowers, Second Lien Agent, and each Second Lien Lender.</w:t>
      </w:r>
    </w:p>
    <w:p>
      <w:pPr>
        <w:spacing w:after="0" w:line="156" w:lineRule="exact"/>
        <w:rPr>
          <w:sz w:val="20"/>
          <w:szCs w:val="20"/>
          <w:color w:val="auto"/>
        </w:rPr>
      </w:pPr>
    </w:p>
    <w:p>
      <w:pPr>
        <w:jc w:val="both"/>
        <w:ind w:firstLine="749"/>
        <w:spacing w:after="0" w:line="29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Second Lien Loan Documents</w:t>
      </w:r>
      <w:r>
        <w:rPr>
          <w:rFonts w:ascii="Times New Roman" w:cs="Times New Roman" w:eastAsia="Times New Roman" w:hAnsi="Times New Roman"/>
          <w:sz w:val="22"/>
          <w:szCs w:val="22"/>
          <w:color w:val="auto"/>
        </w:rPr>
        <w:t>" shall mean the Second Lien Loan Agreement, the "Loan Documents" (as defined in the Second Lien Loan Agreement) and all other instruments, agreements and documents executed in connection therewith.</w:t>
      </w:r>
    </w:p>
    <w:p>
      <w:pPr>
        <w:spacing w:after="0" w:line="13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Second Lien Obligations</w:t>
      </w:r>
      <w:r>
        <w:rPr>
          <w:rFonts w:ascii="Times New Roman" w:cs="Times New Roman" w:eastAsia="Times New Roman" w:hAnsi="Times New Roman"/>
          <w:sz w:val="22"/>
          <w:szCs w:val="22"/>
          <w:color w:val="auto"/>
        </w:rPr>
        <w:t>" shall mean the "Obligations" (as defined in the Second Lien Loan Agreement).</w:t>
      </w:r>
    </w:p>
    <w:p>
      <w:pPr>
        <w:spacing w:after="0" w:line="233" w:lineRule="exact"/>
        <w:rPr>
          <w:sz w:val="20"/>
          <w:szCs w:val="20"/>
          <w:color w:val="auto"/>
        </w:rPr>
      </w:pPr>
    </w:p>
    <w:p>
      <w:pPr>
        <w:jc w:val="both"/>
        <w:ind w:firstLine="749"/>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Secured Parties</w:t>
      </w:r>
      <w:r>
        <w:rPr>
          <w:rFonts w:ascii="Times New Roman" w:cs="Times New Roman" w:eastAsia="Times New Roman" w:hAnsi="Times New Roman"/>
          <w:sz w:val="22"/>
          <w:szCs w:val="22"/>
          <w:color w:val="auto"/>
        </w:rPr>
        <w:t>" shall mean, collectively, Agent, Issuer, Swing Loan Lender and Lenders, together with any Affiliates of Agent or any Lender to whom any Hedge Liabilities or Cash Management Liabilities are owed and with each other holder of any of the Obligations, and the respective successors and assigns of each of them.</w:t>
      </w:r>
    </w:p>
    <w:p>
      <w:pPr>
        <w:spacing w:after="0" w:line="15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Securities Act</w:t>
      </w:r>
      <w:r>
        <w:rPr>
          <w:rFonts w:ascii="Times New Roman" w:cs="Times New Roman" w:eastAsia="Times New Roman" w:hAnsi="Times New Roman"/>
          <w:sz w:val="22"/>
          <w:szCs w:val="22"/>
          <w:color w:val="auto"/>
        </w:rPr>
        <w:t>" shall mean the Securities Act of 1933, as amended.</w:t>
      </w:r>
    </w:p>
    <w:p>
      <w:pPr>
        <w:spacing w:after="0" w:line="23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Settlement</w:t>
      </w:r>
      <w:r>
        <w:rPr>
          <w:rFonts w:ascii="Times New Roman" w:cs="Times New Roman" w:eastAsia="Times New Roman" w:hAnsi="Times New Roman"/>
          <w:sz w:val="22"/>
          <w:szCs w:val="22"/>
          <w:color w:val="auto"/>
        </w:rPr>
        <w:t>" shall have the meaning set forth in Section 2.6(d) hereof.</w:t>
      </w:r>
    </w:p>
    <w:p>
      <w:pPr>
        <w:spacing w:after="0" w:line="23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Settlement Date</w:t>
      </w:r>
      <w:r>
        <w:rPr>
          <w:rFonts w:ascii="Times New Roman" w:cs="Times New Roman" w:eastAsia="Times New Roman" w:hAnsi="Times New Roman"/>
          <w:sz w:val="22"/>
          <w:szCs w:val="22"/>
          <w:color w:val="auto"/>
        </w:rPr>
        <w:t>" shall have the meaning set forth in Section 2.6(d) hereof.</w:t>
      </w:r>
    </w:p>
    <w:p>
      <w:pPr>
        <w:spacing w:after="0" w:line="233" w:lineRule="exact"/>
        <w:rPr>
          <w:sz w:val="20"/>
          <w:szCs w:val="20"/>
          <w:color w:val="auto"/>
        </w:rPr>
      </w:pPr>
    </w:p>
    <w:p>
      <w:pPr>
        <w:jc w:val="both"/>
        <w:ind w:firstLine="749"/>
        <w:spacing w:after="0" w:line="29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Ship Mortgages</w:t>
      </w:r>
      <w:r>
        <w:rPr>
          <w:rFonts w:ascii="Times New Roman" w:cs="Times New Roman" w:eastAsia="Times New Roman" w:hAnsi="Times New Roman"/>
          <w:sz w:val="22"/>
          <w:szCs w:val="22"/>
          <w:color w:val="auto"/>
        </w:rPr>
        <w:t>" shall mean the Original Closing Date Ship Mortgage, the ATB Ship Mortgage and any first preferred fleet mortgage in substantially the same form as the Original Closing Date Ship Mortgage.</w:t>
      </w:r>
    </w:p>
    <w:p>
      <w:pPr>
        <w:spacing w:after="0" w:line="134" w:lineRule="exact"/>
        <w:rPr>
          <w:sz w:val="20"/>
          <w:szCs w:val="20"/>
          <w:color w:val="auto"/>
        </w:rPr>
      </w:pPr>
    </w:p>
    <w:p>
      <w:pPr>
        <w:jc w:val="both"/>
        <w:ind w:firstLine="749"/>
        <w:spacing w:after="0" w:line="29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SOFR</w:t>
      </w:r>
      <w:r>
        <w:rPr>
          <w:rFonts w:ascii="Times New Roman" w:cs="Times New Roman" w:eastAsia="Times New Roman" w:hAnsi="Times New Roman"/>
          <w:sz w:val="22"/>
          <w:szCs w:val="22"/>
          <w:color w:val="auto"/>
        </w:rPr>
        <w:t>" shall mean, for any day, a rate equal to the secured overnight financing rate as administered by the Federal Reserve Bank of New York (or a successor administrator of the secured overnight financing rate).</w:t>
      </w:r>
    </w:p>
    <w:p>
      <w:pPr>
        <w:spacing w:after="0" w:line="13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SOFR Adjustment</w:t>
      </w:r>
      <w:r>
        <w:rPr>
          <w:rFonts w:ascii="Times New Roman" w:cs="Times New Roman" w:eastAsia="Times New Roman" w:hAnsi="Times New Roman"/>
          <w:sz w:val="22"/>
          <w:szCs w:val="22"/>
          <w:color w:val="auto"/>
        </w:rPr>
        <w:t>" shall mean an amount equal to 10.0 basis points (0.10%).</w:t>
      </w:r>
    </w:p>
    <w:p>
      <w:pPr>
        <w:spacing w:after="0" w:line="23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SOFR Floor</w:t>
      </w:r>
      <w:r>
        <w:rPr>
          <w:rFonts w:ascii="Times New Roman" w:cs="Times New Roman" w:eastAsia="Times New Roman" w:hAnsi="Times New Roman"/>
          <w:sz w:val="22"/>
          <w:szCs w:val="22"/>
          <w:color w:val="auto"/>
        </w:rPr>
        <w:t>" shall mean a rate of interest per annum equal to zero percent (0.0%).</w:t>
      </w:r>
    </w:p>
    <w:p>
      <w:pPr>
        <w:spacing w:after="0" w:line="233"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SOFR Reserve Percentage</w:t>
      </w:r>
      <w:r>
        <w:rPr>
          <w:rFonts w:ascii="Times New Roman" w:cs="Times New Roman" w:eastAsia="Times New Roman" w:hAnsi="Times New Roman"/>
          <w:sz w:val="22"/>
          <w:szCs w:val="22"/>
          <w:color w:val="auto"/>
        </w:rPr>
        <w:t>" shall mean, for any day, the maximum effective percentage in effect on such day, if any, as prescribed by the Board of Governors of the Federal Reserve System (or any successor) for determining the reserve requirements (including, without limitation, supplemental, marginal and emergency reserve requirements) with respect to SOFR funding.</w:t>
      </w:r>
    </w:p>
    <w:p>
      <w:pPr>
        <w:spacing w:after="0" w:line="162"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Specified Disposition</w:t>
      </w:r>
      <w:r>
        <w:rPr>
          <w:rFonts w:ascii="Times New Roman" w:cs="Times New Roman" w:eastAsia="Times New Roman" w:hAnsi="Times New Roman"/>
          <w:sz w:val="22"/>
          <w:szCs w:val="22"/>
          <w:color w:val="auto"/>
        </w:rPr>
        <w:t>" shall mean any disposition of all or substantially all of the assets or Equity Interests of any Subsidiary of any Credit Party or any division, business unit, product line or line of business of any Credit Party or any of its Subsidiaries, or any disposition of the ATB or any Equity Interests of any Credit Party that owns the ATB, in each case to the extent permitted under this Agreement.</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111" w:name="page112"/>
    <w:bookmarkEnd w:id="111"/>
    <w:p>
      <w:pPr>
        <w:jc w:val="both"/>
        <w:ind w:firstLine="749"/>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Specified Fleet Asset</w:t>
      </w:r>
      <w:r>
        <w:rPr>
          <w:rFonts w:ascii="Times New Roman" w:cs="Times New Roman" w:eastAsia="Times New Roman" w:hAnsi="Times New Roman"/>
          <w:sz w:val="22"/>
          <w:szCs w:val="22"/>
          <w:color w:val="auto"/>
        </w:rPr>
        <w:t>" shall mean any Documented Vessel (including, without limitation, the ATB), any New Fleet Asset acquired for a purchase price in excess of $250,000, and any other Fleet Asset subject to an Acceptable Appraisal with a Net Orderly Liquidation Value in excess of $250,000.</w:t>
      </w:r>
    </w:p>
    <w:p>
      <w:pPr>
        <w:spacing w:after="0" w:line="15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Specified Green Investment Project</w:t>
      </w:r>
      <w:r>
        <w:rPr>
          <w:rFonts w:ascii="Times New Roman" w:cs="Times New Roman" w:eastAsia="Times New Roman" w:hAnsi="Times New Roman"/>
          <w:sz w:val="22"/>
          <w:szCs w:val="22"/>
          <w:color w:val="auto"/>
        </w:rPr>
        <w:t>" shall have the meaning specified in Section 2.21(a).</w:t>
      </w:r>
    </w:p>
    <w:p>
      <w:pPr>
        <w:spacing w:after="0" w:line="23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Specified Transactions</w:t>
      </w:r>
      <w:r>
        <w:rPr>
          <w:rFonts w:ascii="Times New Roman" w:cs="Times New Roman" w:eastAsia="Times New Roman" w:hAnsi="Times New Roman"/>
          <w:sz w:val="22"/>
          <w:szCs w:val="22"/>
          <w:color w:val="auto"/>
        </w:rPr>
        <w:t>" shall mean (a) any Specified Disposition and (b) any Permitted Acquisition.</w:t>
      </w:r>
    </w:p>
    <w:p>
      <w:pPr>
        <w:spacing w:after="0" w:line="233" w:lineRule="exact"/>
        <w:rPr>
          <w:sz w:val="20"/>
          <w:szCs w:val="20"/>
          <w:color w:val="auto"/>
        </w:rPr>
      </w:pPr>
    </w:p>
    <w:p>
      <w:pPr>
        <w:jc w:val="both"/>
        <w:ind w:firstLine="749"/>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Spot Rate</w:t>
      </w:r>
      <w:r>
        <w:rPr>
          <w:rFonts w:ascii="Times New Roman" w:cs="Times New Roman" w:eastAsia="Times New Roman" w:hAnsi="Times New Roman"/>
          <w:sz w:val="22"/>
          <w:szCs w:val="22"/>
          <w:color w:val="auto"/>
        </w:rPr>
        <w:t>" shall mean, for a currency, the rate determined by Agent to be the rate quoted by PNC acting in such capacity as the spot rate for the purchase by PNC of such currency with another currency through its principal foreign exchange trading office at approximately 11:00 a.m. (New York time) on the date two (2) Business Days prior to the date as of which the foreign exchange computation is made; provided, that Agent may obtain such spot rate from another financial institution designated by Agent if PNC acting in such capacity does not have as of the date of determination a spot buying rate for any such currency.</w:t>
      </w:r>
    </w:p>
    <w:p>
      <w:pPr>
        <w:spacing w:after="0" w:line="166" w:lineRule="exact"/>
        <w:rPr>
          <w:sz w:val="20"/>
          <w:szCs w:val="20"/>
          <w:color w:val="auto"/>
        </w:rPr>
      </w:pPr>
    </w:p>
    <w:p>
      <w:pPr>
        <w:jc w:val="both"/>
        <w:ind w:firstLine="749"/>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Strategic Joint Venture</w:t>
      </w:r>
      <w:r>
        <w:rPr>
          <w:rFonts w:ascii="Times New Roman" w:cs="Times New Roman" w:eastAsia="Times New Roman" w:hAnsi="Times New Roman"/>
          <w:sz w:val="22"/>
          <w:szCs w:val="22"/>
          <w:color w:val="auto"/>
        </w:rPr>
        <w:t>" shall mean any joint venture with a strategic partner for the purposes of engaging in (i) offshore wind energy projects or other similar projects or (ii) other projects economically advantageous to the Credit Parties, including without limitation the joint venture contemplated as of the Closing Date and disclosed to the Agent.</w:t>
      </w:r>
    </w:p>
    <w:p>
      <w:pPr>
        <w:spacing w:after="0" w:line="156" w:lineRule="exact"/>
        <w:rPr>
          <w:sz w:val="20"/>
          <w:szCs w:val="20"/>
          <w:color w:val="auto"/>
        </w:rPr>
      </w:pPr>
    </w:p>
    <w:p>
      <w:pPr>
        <w:jc w:val="both"/>
        <w:ind w:firstLine="749"/>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Subordinated Indebtedness</w:t>
      </w:r>
      <w:r>
        <w:rPr>
          <w:rFonts w:ascii="Times New Roman" w:cs="Times New Roman" w:eastAsia="Times New Roman" w:hAnsi="Times New Roman"/>
          <w:sz w:val="22"/>
          <w:szCs w:val="22"/>
          <w:color w:val="auto"/>
        </w:rPr>
        <w:t>" shall mean the collective reference to any Indebtedness incurred by GLDD or any of its Subsidiaries that is expressly subordinated in right and time of payment to the Obligations on terms and conditions satisfactory to Agent.</w:t>
      </w:r>
    </w:p>
    <w:p>
      <w:pPr>
        <w:spacing w:after="0" w:line="156"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Subsidiary</w:t>
      </w:r>
      <w:r>
        <w:rPr>
          <w:rFonts w:ascii="Times New Roman" w:cs="Times New Roman" w:eastAsia="Times New Roman" w:hAnsi="Times New Roman"/>
          <w:sz w:val="22"/>
          <w:szCs w:val="22"/>
          <w:color w:val="auto"/>
        </w:rPr>
        <w:t>" shall mean of any Person a corporation or other entity of whose Equity Interests having ordinary voting power (other than Equity Interests having such power only by reason of the happening of a contingency) to elect a majority of the directors of such corporation, or other Persons performing similar functions for such entity, are owned, directly or indirectly, by such Person.</w:t>
      </w:r>
    </w:p>
    <w:p>
      <w:pPr>
        <w:spacing w:after="0" w:line="162"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Supermajority Lenders</w:t>
      </w:r>
      <w:r>
        <w:rPr>
          <w:rFonts w:ascii="Times New Roman" w:cs="Times New Roman" w:eastAsia="Times New Roman" w:hAnsi="Times New Roman"/>
          <w:sz w:val="22"/>
          <w:szCs w:val="22"/>
          <w:color w:val="auto"/>
        </w:rPr>
        <w:t xml:space="preserve">" shall mean Lenders (not including Swing Loan Lender (in its capacity as such Swing Loan Lender) or any Defaulting Lender) holding at least sixty-six and two-thirds percent (66.66%) of either (a) the aggregate of the Revolving Commitment Amounts of all Lenders (excluding any Defaulting Lender), or (b) after the termination of all commitments of Lenders hereunder, the sum of the outstanding Revolving Advances and Swing Loans,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the Dollar Equivalent of the Maximum Undrawn Amount of all outstanding Letters of Credit;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if there are two (2) or more Lenders (who are not Affiliates of one another), Supermajority Lenders must include at least two (2) Lenders (who are not Affiliates of one another).</w:t>
      </w:r>
    </w:p>
    <w:p>
      <w:pPr>
        <w:spacing w:after="0" w:line="1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Supported QFC</w:t>
      </w:r>
      <w:r>
        <w:rPr>
          <w:rFonts w:ascii="Times New Roman" w:cs="Times New Roman" w:eastAsia="Times New Roman" w:hAnsi="Times New Roman"/>
          <w:sz w:val="22"/>
          <w:szCs w:val="22"/>
          <w:color w:val="auto"/>
        </w:rPr>
        <w:t>" shall have the meaning set forth in Section 16.22 hereof.</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112" w:name="page113"/>
    <w:bookmarkEnd w:id="112"/>
    <w:p>
      <w:pPr>
        <w:jc w:val="both"/>
        <w:ind w:firstLine="749"/>
        <w:spacing w:after="0" w:line="29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Surety</w:t>
      </w:r>
      <w:r>
        <w:rPr>
          <w:rFonts w:ascii="Times New Roman" w:cs="Times New Roman" w:eastAsia="Times New Roman" w:hAnsi="Times New Roman"/>
          <w:sz w:val="22"/>
          <w:szCs w:val="22"/>
          <w:color w:val="auto"/>
        </w:rPr>
        <w:t>" shall mean, collectively, (a) Ascot, (b) Chubb, (c) Dual, (d) Liberty, (e) Philly and (f) any other Additional Surety Provider.</w:t>
      </w:r>
    </w:p>
    <w:p>
      <w:pPr>
        <w:spacing w:after="0" w:line="134" w:lineRule="exact"/>
        <w:rPr>
          <w:sz w:val="20"/>
          <w:szCs w:val="20"/>
          <w:color w:val="auto"/>
        </w:rPr>
      </w:pPr>
    </w:p>
    <w:p>
      <w:pPr>
        <w:jc w:val="both"/>
        <w:ind w:firstLine="749"/>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Swap</w:t>
      </w:r>
      <w:r>
        <w:rPr>
          <w:rFonts w:ascii="Times New Roman" w:cs="Times New Roman" w:eastAsia="Times New Roman" w:hAnsi="Times New Roman"/>
          <w:sz w:val="22"/>
          <w:szCs w:val="22"/>
          <w:color w:val="auto"/>
        </w:rPr>
        <w:t>" shall mean any "swap" as defined in Section 1a(47) of the CEA and regulations thereunder, other than (a) a swap entered into, or subject to the rules of, a board of trade designated as a contract market under Section 5 of the CEA, or (b) a commodity option entered into pursuant to CFTC Regulation 32.3(a).</w:t>
      </w:r>
    </w:p>
    <w:p>
      <w:pPr>
        <w:spacing w:after="0" w:line="152" w:lineRule="exact"/>
        <w:rPr>
          <w:sz w:val="20"/>
          <w:szCs w:val="20"/>
          <w:color w:val="auto"/>
        </w:rPr>
      </w:pPr>
    </w:p>
    <w:p>
      <w:pPr>
        <w:jc w:val="both"/>
        <w:ind w:firstLine="749"/>
        <w:spacing w:after="0" w:line="277" w:lineRule="auto"/>
        <w:rPr>
          <w:sz w:val="20"/>
          <w:szCs w:val="20"/>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u w:val="single" w:color="auto"/>
          <w:color w:val="auto"/>
        </w:rPr>
        <w:t>Swap Obligation</w:t>
      </w:r>
      <w:r>
        <w:rPr>
          <w:rFonts w:ascii="Times New Roman" w:cs="Times New Roman" w:eastAsia="Times New Roman" w:hAnsi="Times New Roman"/>
          <w:sz w:val="22"/>
          <w:szCs w:val="22"/>
          <w:color w:val="auto"/>
        </w:rPr>
        <w:t>" shall mean any obligation to pay or perform under any agreement, contract or transaction that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constitutes a Swap which is also a Lender-Provided Interest Rate Hedge, or a Lender-Provided Foreign Currency/Commodity Hedge.</w:t>
      </w:r>
    </w:p>
    <w:p>
      <w:pPr>
        <w:spacing w:after="0" w:line="15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Swing Loan Lender</w:t>
      </w:r>
      <w:r>
        <w:rPr>
          <w:rFonts w:ascii="Times New Roman" w:cs="Times New Roman" w:eastAsia="Times New Roman" w:hAnsi="Times New Roman"/>
          <w:sz w:val="22"/>
          <w:szCs w:val="22"/>
          <w:color w:val="auto"/>
        </w:rPr>
        <w:t>" shall mean PNC, in its capacity as lender of the Swing Loans.</w:t>
      </w:r>
    </w:p>
    <w:p>
      <w:pPr>
        <w:spacing w:after="0" w:line="23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Swing Loan Note</w:t>
      </w:r>
      <w:r>
        <w:rPr>
          <w:rFonts w:ascii="Times New Roman" w:cs="Times New Roman" w:eastAsia="Times New Roman" w:hAnsi="Times New Roman"/>
          <w:sz w:val="22"/>
          <w:szCs w:val="22"/>
          <w:color w:val="auto"/>
        </w:rPr>
        <w:t>" shall mean the promissory note described in Section 2.4(a) hereof.</w:t>
      </w:r>
    </w:p>
    <w:p>
      <w:pPr>
        <w:spacing w:after="0" w:line="23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Swing Loans</w:t>
      </w:r>
      <w:r>
        <w:rPr>
          <w:rFonts w:ascii="Times New Roman" w:cs="Times New Roman" w:eastAsia="Times New Roman" w:hAnsi="Times New Roman"/>
          <w:sz w:val="22"/>
          <w:szCs w:val="22"/>
          <w:color w:val="auto"/>
        </w:rPr>
        <w:t>" shall mean the Advances made pursuant to Section 2.4 hereof.</w:t>
      </w:r>
    </w:p>
    <w:p>
      <w:pPr>
        <w:spacing w:after="0" w:line="233" w:lineRule="exact"/>
        <w:rPr>
          <w:sz w:val="20"/>
          <w:szCs w:val="20"/>
          <w:color w:val="auto"/>
        </w:rPr>
      </w:pPr>
    </w:p>
    <w:p>
      <w:pPr>
        <w:jc w:val="both"/>
        <w:ind w:firstLine="749"/>
        <w:spacing w:after="0" w:line="29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Taxes</w:t>
      </w:r>
      <w:r>
        <w:rPr>
          <w:rFonts w:ascii="Times New Roman" w:cs="Times New Roman" w:eastAsia="Times New Roman" w:hAnsi="Times New Roman"/>
          <w:sz w:val="22"/>
          <w:szCs w:val="22"/>
          <w:color w:val="auto"/>
        </w:rPr>
        <w:t>" shall mean all present or future taxes, levies, imposts, duties, deductions, withholdings, assessments, fees or other charges imposed by any Governmental Body, including any interest, penalties or additions to tax applicable thereto.</w:t>
      </w:r>
    </w:p>
    <w:p>
      <w:pPr>
        <w:spacing w:after="0" w:line="13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w:t>
      </w:r>
      <w:r>
        <w:rPr>
          <w:rFonts w:ascii="Times New Roman" w:cs="Times New Roman" w:eastAsia="Times New Roman" w:hAnsi="Times New Roman"/>
          <w:sz w:val="22"/>
          <w:szCs w:val="22"/>
          <w:color w:val="auto"/>
        </w:rPr>
        <w:t>" shall mean the period commencing on the date hereof and ending on the Maturity Date.</w:t>
      </w:r>
    </w:p>
    <w:p>
      <w:pPr>
        <w:spacing w:after="0" w:line="233" w:lineRule="exact"/>
        <w:rPr>
          <w:sz w:val="20"/>
          <w:szCs w:val="20"/>
          <w:color w:val="auto"/>
        </w:rPr>
      </w:pPr>
    </w:p>
    <w:p>
      <w:pPr>
        <w:jc w:val="both"/>
        <w:ind w:firstLine="749"/>
        <w:spacing w:after="0" w:line="29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 SOFR Administrator</w:t>
      </w:r>
      <w:r>
        <w:rPr>
          <w:rFonts w:ascii="Times New Roman" w:cs="Times New Roman" w:eastAsia="Times New Roman" w:hAnsi="Times New Roman"/>
          <w:sz w:val="22"/>
          <w:szCs w:val="22"/>
          <w:color w:val="auto"/>
        </w:rPr>
        <w:t>" shall mean CME Group Benchmark Administration Limited (CBA) (or a successor administrator of the Term SOFR Reference Rate selected by the Agent in its reasonable discretion).</w:t>
      </w:r>
    </w:p>
    <w:p>
      <w:pPr>
        <w:spacing w:after="0" w:line="134" w:lineRule="exact"/>
        <w:rPr>
          <w:sz w:val="20"/>
          <w:szCs w:val="20"/>
          <w:color w:val="auto"/>
        </w:rPr>
      </w:pPr>
    </w:p>
    <w:p>
      <w:pPr>
        <w:jc w:val="both"/>
        <w:ind w:firstLine="749"/>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 SOFR Rate</w:t>
      </w:r>
      <w:r>
        <w:rPr>
          <w:rFonts w:ascii="Times New Roman" w:cs="Times New Roman" w:eastAsia="Times New Roman" w:hAnsi="Times New Roman"/>
          <w:sz w:val="22"/>
          <w:szCs w:val="22"/>
          <w:color w:val="auto"/>
        </w:rPr>
        <w:t>" shall mean, with respect to any Term SOFR Rate Loan for any Interest Period, the interest rate per annum determined by the Agent by dividing (the resulting quotient rounded upwards, at the Agent's discretion, to the nearest 1/100th of 1%) (A) the Term SOFR Reference Rate for a tenor comparable to such Interest Period on the day (the "</w:t>
      </w:r>
      <w:r>
        <w:rPr>
          <w:rFonts w:ascii="Times New Roman" w:cs="Times New Roman" w:eastAsia="Times New Roman" w:hAnsi="Times New Roman"/>
          <w:sz w:val="22"/>
          <w:szCs w:val="22"/>
          <w:u w:val="single" w:color="auto"/>
          <w:color w:val="auto"/>
        </w:rPr>
        <w:t>Term SOFR Determination Date</w:t>
      </w:r>
      <w:r>
        <w:rPr>
          <w:rFonts w:ascii="Times New Roman" w:cs="Times New Roman" w:eastAsia="Times New Roman" w:hAnsi="Times New Roman"/>
          <w:sz w:val="22"/>
          <w:szCs w:val="22"/>
          <w:color w:val="auto"/>
        </w:rPr>
        <w:t>") that is two (2) Business Days prior to the first (1st) day of such Interest Period, as such rate is published by the Term SOFR Administrator, by (B) a number equal to 1.00 minus the SOFR Reserve Percentage. If the Term SOFR Reference Rate for the applicable tenor has not been published or replaced with a Benchmark Replacement by 5:00 p.m. (Pittsburgh, Pennsylvania time) on the Term SOFR Determination Date, then the Term SOFR Reference Rate, for purposes of clause (A) in the preceding sentence, shall be the Term SOFR Reference Rate for such tenor on the first Business Day preceding such Term SOFR Determination Date for which such Term SOFR Reference Rate for such tenor was published in accordance herewith, so long as such first preceding Business Day is not more than three (3) Business Days prior to such Term SOFR Determination Date. If the Term SOFR Rate, determined as provided above, would be less than the SOFR Floor, then the Term SOFR Rate shall be deemed to be the SOFR Floor. The Term SOFR Rate shall be adjusted automatically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113" w:name="page114"/>
    <w:bookmarkEnd w:id="113"/>
    <w:p>
      <w:pPr>
        <w:jc w:val="both"/>
        <w:ind w:right="20"/>
        <w:spacing w:after="0" w:line="295" w:lineRule="auto"/>
        <w:rPr>
          <w:sz w:val="20"/>
          <w:szCs w:val="20"/>
          <w:color w:val="auto"/>
        </w:rPr>
      </w:pPr>
      <w:r>
        <w:rPr>
          <w:rFonts w:ascii="Times New Roman" w:cs="Times New Roman" w:eastAsia="Times New Roman" w:hAnsi="Times New Roman"/>
          <w:sz w:val="22"/>
          <w:szCs w:val="22"/>
          <w:color w:val="auto"/>
        </w:rPr>
        <w:t>without notice to the Borrower on and as of (i) the first (1st) day of each Interest Period, and (ii) the effective date of any change in the SOFR Reserve Percentage.</w:t>
      </w:r>
    </w:p>
    <w:p>
      <w:pPr>
        <w:spacing w:after="0" w:line="13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 SOFR Rate Loan</w:t>
      </w:r>
      <w:r>
        <w:rPr>
          <w:rFonts w:ascii="Times New Roman" w:cs="Times New Roman" w:eastAsia="Times New Roman" w:hAnsi="Times New Roman"/>
          <w:sz w:val="22"/>
          <w:szCs w:val="22"/>
          <w:color w:val="auto"/>
        </w:rPr>
        <w:t>" shall mean an Advance that bears interest based on Term SOFR Rate.</w:t>
      </w:r>
    </w:p>
    <w:p>
      <w:pPr>
        <w:spacing w:after="0" w:line="23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 SOFR Reference Rate</w:t>
      </w:r>
      <w:r>
        <w:rPr>
          <w:rFonts w:ascii="Times New Roman" w:cs="Times New Roman" w:eastAsia="Times New Roman" w:hAnsi="Times New Roman"/>
          <w:sz w:val="22"/>
          <w:szCs w:val="22"/>
          <w:color w:val="auto"/>
        </w:rPr>
        <w:t>" shall mean the forward-looking term rate based on SOFR.</w:t>
      </w:r>
    </w:p>
    <w:p>
      <w:pPr>
        <w:spacing w:after="0" w:line="233" w:lineRule="exact"/>
        <w:rPr>
          <w:sz w:val="20"/>
          <w:szCs w:val="20"/>
          <w:color w:val="auto"/>
        </w:rPr>
      </w:pPr>
    </w:p>
    <w:p>
      <w:pPr>
        <w:jc w:val="both"/>
        <w:ind w:firstLine="749"/>
        <w:spacing w:after="0" w:line="26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Termination Event</w:t>
      </w:r>
      <w:r>
        <w:rPr>
          <w:rFonts w:ascii="Times New Roman" w:cs="Times New Roman" w:eastAsia="Times New Roman" w:hAnsi="Times New Roman"/>
          <w:sz w:val="22"/>
          <w:szCs w:val="22"/>
          <w:color w:val="auto"/>
        </w:rPr>
        <w:t>" shall mean the occurrence of any of the following which, individually or in the aggregate, has resulted or would, individually or in the aggregate, reasonably be expected to result in liability of GLDD in an aggregate amount in excess of the Threshold Amount: (a) a "Reportable Event" described in Section 4043 of ERISA for which the thirty (30) day notice requirement has not been waived by the PBGC, or (b) the withdrawal of any Credit Party or any ERISA Affiliate from a Pension Plan during a plan year in which it was a "substantial employer" as defined in Section 4001(a)(2) of ERISA or a cessation of operations that is treated as such a withdrawal under Section 4062(e) of ERISA, or</w:t>
      </w:r>
    </w:p>
    <w:p>
      <w:pPr>
        <w:jc w:val="both"/>
        <w:ind w:firstLine="8"/>
        <w:spacing w:after="0" w:line="257" w:lineRule="auto"/>
        <w:tabs>
          <w:tab w:leader="none" w:pos="306"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termination of a Pension Plan, the filing of a notice of intent to terminate a Pension Plan or the treatment of a Pension Plan amendment as a termination, under Section 4041 of ERISA, if the plan assets are not sufficient to pay all plan liabilities, or (d) the institution of proceedings to terminate, or the appointment of a trustee with respect to, any Pension Plan by the PBGC, or (e) any other event or condition which would constitute grounds under Section 4042(a) of ERISA for the termination of, or the appointment of a trustee to administer, any Pension Plan, or (f) the imposition of a Lien pursuant to Section 430(k) of the Code or Section 303 of ERISA, or (g) the determination that any Pension Plan or Multiemployer Plan is considered an at-risk plan or plan in endangered or critical status with the meaning of Sections 430, 431 or 432 of the Code or Sections 303, 304 or 305 of ERISA or (h) the partial or complete withdrawal of any Credit Party or any ERISA Affiliate from a Multiemployer Plan if withdrawal liability is asserted by such plan, or (i) any event or condition which results in the insolvency of a Multiemployer Plan, or (j) any event or condition which results in the termination of a Multiemployer Plan under Section 4041A of ERISA or the institution by PBGC of proceedings to terminate a Multiemployer Plan under Section 4042 of ERISA, or (k) the imposition of any liability under Title IV of ERISA, other than for PBGC premiums due but not delinquent under Section 4007 of ERISA, upon any Credit Party or any ERISA Affiliate.</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Threshold Amount</w:t>
      </w:r>
      <w:r>
        <w:rPr>
          <w:rFonts w:ascii="Times New Roman" w:cs="Times New Roman" w:eastAsia="Times New Roman" w:hAnsi="Times New Roman"/>
          <w:sz w:val="22"/>
          <w:szCs w:val="22"/>
          <w:color w:val="auto"/>
        </w:rPr>
        <w:t>" shall mean $10,000,000.</w:t>
      </w:r>
    </w:p>
    <w:p>
      <w:pPr>
        <w:spacing w:after="0" w:line="233" w:lineRule="exact"/>
        <w:rPr>
          <w:sz w:val="20"/>
          <w:szCs w:val="20"/>
          <w:color w:val="auto"/>
        </w:rPr>
      </w:pPr>
    </w:p>
    <w:p>
      <w:pPr>
        <w:jc w:val="both"/>
        <w:ind w:firstLine="749"/>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Total Debt</w:t>
      </w:r>
      <w:r>
        <w:rPr>
          <w:rFonts w:ascii="Times New Roman" w:cs="Times New Roman" w:eastAsia="Times New Roman" w:hAnsi="Times New Roman"/>
          <w:sz w:val="22"/>
          <w:szCs w:val="22"/>
          <w:color w:val="auto"/>
        </w:rPr>
        <w:t xml:space="preserve">" shall mean, with respect to GLDD on a Consolidated Basis, the aggregate balance of Revolving Advances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Swing Loans outstanding,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the outstanding balance of the Note Indenture Obligations,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Capitalized Lease Obligations.</w:t>
      </w:r>
    </w:p>
    <w:p>
      <w:pPr>
        <w:spacing w:after="0" w:line="15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Total Leverage Ratio</w:t>
      </w:r>
      <w:r>
        <w:rPr>
          <w:rFonts w:ascii="Times New Roman" w:cs="Times New Roman" w:eastAsia="Times New Roman" w:hAnsi="Times New Roman"/>
          <w:sz w:val="22"/>
          <w:szCs w:val="22"/>
          <w:color w:val="auto"/>
        </w:rPr>
        <w:t>" shall mean, for any period, the ratio of (a) Total Debt to (b) EBITDA.</w:t>
      </w:r>
    </w:p>
    <w:p>
      <w:pPr>
        <w:spacing w:after="0" w:line="233" w:lineRule="exact"/>
        <w:rPr>
          <w:sz w:val="20"/>
          <w:szCs w:val="20"/>
          <w:color w:val="auto"/>
        </w:rPr>
      </w:pPr>
    </w:p>
    <w:p>
      <w:pPr>
        <w:jc w:val="both"/>
        <w:ind w:firstLine="749"/>
        <w:spacing w:after="0" w:line="29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Toxic Substance</w:t>
      </w:r>
      <w:r>
        <w:rPr>
          <w:rFonts w:ascii="Times New Roman" w:cs="Times New Roman" w:eastAsia="Times New Roman" w:hAnsi="Times New Roman"/>
          <w:sz w:val="22"/>
          <w:szCs w:val="22"/>
          <w:color w:val="auto"/>
        </w:rPr>
        <w:t>" shall mean and include any material present on the Real Property which has been shown to have significant adverse effect on human health or which is subject</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114" w:name="page115"/>
    <w:bookmarkEnd w:id="114"/>
    <w:p>
      <w:pPr>
        <w:jc w:val="both"/>
        <w:ind w:right="20"/>
        <w:spacing w:after="0" w:line="275" w:lineRule="auto"/>
        <w:rPr>
          <w:sz w:val="20"/>
          <w:szCs w:val="20"/>
          <w:color w:val="auto"/>
        </w:rPr>
      </w:pPr>
      <w:r>
        <w:rPr>
          <w:rFonts w:ascii="Times New Roman" w:cs="Times New Roman" w:eastAsia="Times New Roman" w:hAnsi="Times New Roman"/>
          <w:sz w:val="22"/>
          <w:szCs w:val="22"/>
          <w:color w:val="auto"/>
        </w:rPr>
        <w:t>to regulation under the Toxic Substances Control Act (TSCA), 15 U.S.C. §§ 2601 et seq., applicable state law, or any other applicable Federal or state laws now in force or hereafter enacted relating to toxic substances. "Toxic Substance" includes but is not limited to asbestos, polychlorinated biphenyls (PCBs) and lead-based paints.</w:t>
      </w:r>
    </w:p>
    <w:p>
      <w:pPr>
        <w:spacing w:after="0" w:line="156" w:lineRule="exact"/>
        <w:rPr>
          <w:sz w:val="20"/>
          <w:szCs w:val="20"/>
          <w:color w:val="auto"/>
        </w:rPr>
      </w:pPr>
    </w:p>
    <w:p>
      <w:pPr>
        <w:jc w:val="both"/>
        <w:ind w:firstLine="749"/>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Transaction Costs</w:t>
      </w:r>
      <w:r>
        <w:rPr>
          <w:rFonts w:ascii="Times New Roman" w:cs="Times New Roman" w:eastAsia="Times New Roman" w:hAnsi="Times New Roman"/>
          <w:sz w:val="22"/>
          <w:szCs w:val="22"/>
          <w:color w:val="auto"/>
        </w:rPr>
        <w:t>" shall mean all fees, expenses, costs, and other amounts related to (i) the Transactions, (ii) any amendments, consents or waivers of this Agreement and the Other Documents (including all such fees, expenses, costs and other amounts incurred during any workout, restructuring or negotiations in respect thereof), in each case, whether or not consummated, including all transactions occurring on or in connection with the Amendment No. 1 Closing Date and the Amendment No. 2 Closing Date, (iii) any Permitted Note Refinancing, (iv) any Permitted Acquisitions, whether or not consummated (including, without limitation, any financing fees, merger and acquisition fees, legal fees and expenses, due diligence fees, appraisal fees or any other fees and expenses in connection therewith), (v) the Second Lien Loans, including all transactions occurring on, and in connection with, or contemplated as of, the Amendment No. 1 Closing Date and the Amendment No. 2 Closing Date and (vi) the incurrence of Permitted Indebtedness, in each case to the extent paid within one hundred eighty (180) days of either the Closing Date, such amendment, consent or waiver of this Agreement and the Other Documents, such Permitted Note Refinancing or such Permitted Acquisition, the Amendment No. 1 Closing Date, the Amendment No. 2 Closing Date, or the date of incurrence of such Permitted Indebtedness, as applicable.</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Transactions</w:t>
      </w:r>
      <w:r>
        <w:rPr>
          <w:rFonts w:ascii="Times New Roman" w:cs="Times New Roman" w:eastAsia="Times New Roman" w:hAnsi="Times New Roman"/>
          <w:sz w:val="22"/>
          <w:szCs w:val="22"/>
          <w:color w:val="auto"/>
        </w:rPr>
        <w:t>" shall have the meaning set forth in Section 5.5(a) hereof.</w:t>
      </w:r>
    </w:p>
    <w:p>
      <w:pPr>
        <w:spacing w:after="0" w:line="23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Transferee</w:t>
      </w:r>
      <w:r>
        <w:rPr>
          <w:rFonts w:ascii="Times New Roman" w:cs="Times New Roman" w:eastAsia="Times New Roman" w:hAnsi="Times New Roman"/>
          <w:sz w:val="22"/>
          <w:szCs w:val="22"/>
          <w:color w:val="auto"/>
        </w:rPr>
        <w:t>" shall have the meaning set forth in Section 16.3(d) hereof.</w:t>
      </w:r>
    </w:p>
    <w:p>
      <w:pPr>
        <w:spacing w:after="0" w:line="233" w:lineRule="exact"/>
        <w:rPr>
          <w:sz w:val="20"/>
          <w:szCs w:val="20"/>
          <w:color w:val="auto"/>
        </w:rPr>
      </w:pPr>
    </w:p>
    <w:p>
      <w:pPr>
        <w:jc w:val="both"/>
        <w:ind w:firstLine="749"/>
        <w:spacing w:after="0" w:line="26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UK Financial Institution</w:t>
      </w:r>
      <w:r>
        <w:rPr>
          <w:rFonts w:ascii="Times New Roman" w:cs="Times New Roman" w:eastAsia="Times New Roman" w:hAnsi="Times New Roman"/>
          <w:sz w:val="22"/>
          <w:szCs w:val="22"/>
          <w:color w:val="auto"/>
        </w:rPr>
        <w:t>" shall mean any BRRD Undertaking (as such term is defined under the PRA Rulebook (as amended form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69" w:lineRule="exact"/>
        <w:rPr>
          <w:sz w:val="20"/>
          <w:szCs w:val="20"/>
          <w:color w:val="auto"/>
        </w:rPr>
      </w:pPr>
    </w:p>
    <w:p>
      <w:pPr>
        <w:jc w:val="both"/>
        <w:ind w:firstLine="749"/>
        <w:spacing w:after="0" w:line="29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UK Resolution Authority</w:t>
      </w:r>
      <w:r>
        <w:rPr>
          <w:rFonts w:ascii="Times New Roman" w:cs="Times New Roman" w:eastAsia="Times New Roman" w:hAnsi="Times New Roman"/>
          <w:sz w:val="22"/>
          <w:szCs w:val="22"/>
          <w:color w:val="auto"/>
        </w:rPr>
        <w:t>" shall mean the Bank of England or any other public administrative authority having responsibility for the resolution of any UK Financial Institution.</w:t>
      </w:r>
    </w:p>
    <w:p>
      <w:pPr>
        <w:spacing w:after="0" w:line="134" w:lineRule="exact"/>
        <w:rPr>
          <w:sz w:val="20"/>
          <w:szCs w:val="20"/>
          <w:color w:val="auto"/>
        </w:rPr>
      </w:pPr>
    </w:p>
    <w:p>
      <w:pPr>
        <w:jc w:val="both"/>
        <w:ind w:firstLine="749"/>
        <w:spacing w:after="0" w:line="29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Undrawn Availability</w:t>
      </w:r>
      <w:r>
        <w:rPr>
          <w:rFonts w:ascii="Times New Roman" w:cs="Times New Roman" w:eastAsia="Times New Roman" w:hAnsi="Times New Roman"/>
          <w:sz w:val="22"/>
          <w:szCs w:val="22"/>
          <w:color w:val="auto"/>
        </w:rPr>
        <w:t xml:space="preserve">" at a particular date shall mean an amount equal to (a) Availability, </w:t>
      </w:r>
      <w:r>
        <w:rPr>
          <w:rFonts w:ascii="Times New Roman" w:cs="Times New Roman" w:eastAsia="Times New Roman" w:hAnsi="Times New Roman"/>
          <w:sz w:val="22"/>
          <w:szCs w:val="22"/>
          <w:u w:val="single" w:color="auto"/>
          <w:color w:val="auto"/>
        </w:rPr>
        <w:t>minus</w:t>
      </w:r>
      <w:r>
        <w:rPr>
          <w:rFonts w:ascii="Times New Roman" w:cs="Times New Roman" w:eastAsia="Times New Roman" w:hAnsi="Times New Roman"/>
          <w:sz w:val="22"/>
          <w:szCs w:val="22"/>
          <w:color w:val="auto"/>
        </w:rPr>
        <w:t xml:space="preserve"> (b) the sum of the outstanding amount of Advances.</w:t>
      </w:r>
    </w:p>
    <w:p>
      <w:pPr>
        <w:spacing w:after="0" w:line="134" w:lineRule="exact"/>
        <w:rPr>
          <w:sz w:val="20"/>
          <w:szCs w:val="20"/>
          <w:color w:val="auto"/>
        </w:rPr>
      </w:pPr>
    </w:p>
    <w:p>
      <w:pPr>
        <w:jc w:val="both"/>
        <w:ind w:firstLine="749"/>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Unfinanced Capital Expenditures</w:t>
      </w:r>
      <w:r>
        <w:rPr>
          <w:rFonts w:ascii="Times New Roman" w:cs="Times New Roman" w:eastAsia="Times New Roman" w:hAnsi="Times New Roman"/>
          <w:sz w:val="22"/>
          <w:szCs w:val="22"/>
          <w:color w:val="auto"/>
        </w:rPr>
        <w:t>" shall mean, with respect to GLDD on a Consolidated Basis, Capital Expenditures funded (a) from such internally generated cash flow of GLDD on a Consolidated Basis or (b) with the proceeds of a Revolving Advance or Swing Loan.</w:t>
      </w:r>
    </w:p>
    <w:p>
      <w:pPr>
        <w:spacing w:after="0" w:line="15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Uniform Commercial Code</w:t>
      </w:r>
      <w:r>
        <w:rPr>
          <w:rFonts w:ascii="Times New Roman" w:cs="Times New Roman" w:eastAsia="Times New Roman" w:hAnsi="Times New Roman"/>
          <w:sz w:val="22"/>
          <w:szCs w:val="22"/>
          <w:color w:val="auto"/>
        </w:rPr>
        <w:t>" shall have the meaning set forth in Section 1.3 hereof.</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115" w:name="page116"/>
    <w:bookmarkEnd w:id="115"/>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Unused Line Fee</w:t>
      </w:r>
      <w:r>
        <w:rPr>
          <w:rFonts w:ascii="Times New Roman" w:cs="Times New Roman" w:eastAsia="Times New Roman" w:hAnsi="Times New Roman"/>
          <w:sz w:val="22"/>
          <w:szCs w:val="22"/>
          <w:color w:val="auto"/>
        </w:rPr>
        <w:t>" shall mean, for any calendar month, three tenths of one percent (0.30%) per annum.</w:t>
      </w:r>
    </w:p>
    <w:p>
      <w:pPr>
        <w:spacing w:after="0" w:line="23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Usage Amount</w:t>
      </w:r>
      <w:r>
        <w:rPr>
          <w:rFonts w:ascii="Times New Roman" w:cs="Times New Roman" w:eastAsia="Times New Roman" w:hAnsi="Times New Roman"/>
          <w:sz w:val="22"/>
          <w:szCs w:val="22"/>
          <w:color w:val="auto"/>
        </w:rPr>
        <w:t>" shall have the meaning set forth in Section 3.3 hereof.</w:t>
      </w:r>
    </w:p>
    <w:p>
      <w:pPr>
        <w:spacing w:after="0" w:line="233" w:lineRule="exact"/>
        <w:rPr>
          <w:sz w:val="20"/>
          <w:szCs w:val="20"/>
          <w:color w:val="auto"/>
        </w:rPr>
      </w:pPr>
    </w:p>
    <w:p>
      <w:pPr>
        <w:jc w:val="both"/>
        <w:ind w:firstLine="749"/>
        <w:spacing w:after="0" w:line="278" w:lineRule="exact"/>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USA PATRIOT Act</w:t>
      </w:r>
      <w:r>
        <w:rPr>
          <w:rFonts w:ascii="Times New Roman" w:cs="Times New Roman" w:eastAsia="Times New Roman" w:hAnsi="Times New Roman"/>
          <w:sz w:val="22"/>
          <w:szCs w:val="22"/>
          <w:color w:val="auto"/>
        </w:rPr>
        <w:t>" shall mean the Uniting and Strengthening America by Providing Appropriate Tools Required to Intercept and Obstruct Terrorism Act of 2001, Public Law 107</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56, as the same has been, or shall hereafter be, renewed, extended, amended or replaced.</w:t>
      </w:r>
    </w:p>
    <w:p>
      <w:pPr>
        <w:spacing w:after="0" w:line="194" w:lineRule="exact"/>
        <w:rPr>
          <w:sz w:val="20"/>
          <w:szCs w:val="20"/>
          <w:color w:val="auto"/>
        </w:rPr>
      </w:pPr>
    </w:p>
    <w:p>
      <w:pPr>
        <w:jc w:val="both"/>
        <w:ind w:firstLine="749"/>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U.S. Government Securities Business Day</w:t>
      </w:r>
      <w:r>
        <w:rPr>
          <w:rFonts w:ascii="Times New Roman" w:cs="Times New Roman" w:eastAsia="Times New Roman" w:hAnsi="Times New Roman"/>
          <w:sz w:val="22"/>
          <w:szCs w:val="22"/>
          <w:color w:val="auto"/>
        </w:rPr>
        <w:t>" shall mean any day except for (a) a Saturday or Sunday or (b) a day on which the Securities Industry and Financial Markets Association recommends that the fixed income departments of its members be closed for the entire day for purposes of trading in United States government securities.</w:t>
      </w:r>
    </w:p>
    <w:p>
      <w:pPr>
        <w:spacing w:after="0" w:line="15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U.S. Person</w:t>
      </w:r>
      <w:r>
        <w:rPr>
          <w:rFonts w:ascii="Times New Roman" w:cs="Times New Roman" w:eastAsia="Times New Roman" w:hAnsi="Times New Roman"/>
          <w:sz w:val="22"/>
          <w:szCs w:val="22"/>
          <w:color w:val="auto"/>
        </w:rPr>
        <w:t>" shall mean a "United States Person" as defined in Section 7701(a)(30) of the Code.</w:t>
      </w:r>
    </w:p>
    <w:p>
      <w:pPr>
        <w:spacing w:after="0" w:line="23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U.S. Special Resolutions Regimes</w:t>
      </w:r>
      <w:r>
        <w:rPr>
          <w:rFonts w:ascii="Times New Roman" w:cs="Times New Roman" w:eastAsia="Times New Roman" w:hAnsi="Times New Roman"/>
          <w:sz w:val="22"/>
          <w:szCs w:val="22"/>
          <w:color w:val="auto"/>
        </w:rPr>
        <w:t>" shall have the meaning set forth in Section 16.22 hereof.</w:t>
      </w:r>
    </w:p>
    <w:p>
      <w:pPr>
        <w:spacing w:after="0" w:line="233" w:lineRule="exact"/>
        <w:rPr>
          <w:sz w:val="20"/>
          <w:szCs w:val="20"/>
          <w:color w:val="auto"/>
        </w:rPr>
      </w:pPr>
    </w:p>
    <w:p>
      <w:pPr>
        <w:jc w:val="both"/>
        <w:ind w:firstLine="749"/>
        <w:spacing w:after="0" w:line="272" w:lineRule="exact"/>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Write-Down and Conversion Powers</w:t>
      </w:r>
      <w:r>
        <w:rPr>
          <w:rFonts w:ascii="Times New Roman" w:cs="Times New Roman" w:eastAsia="Times New Roman" w:hAnsi="Times New Roman"/>
          <w:sz w:val="22"/>
          <w:szCs w:val="22"/>
          <w:color w:val="auto"/>
        </w:rPr>
        <w:t>" shall mean, (a) with respect to any EEA Resolution Authority, the write-down and conversion powers of such EEA Resolution Authority from time to time under the Bail</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In Legislation for the applicable EEA Member Country, which write-down and conversion powers are described in the EU Bail</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91" w:lineRule="exact"/>
        <w:rPr>
          <w:sz w:val="20"/>
          <w:szCs w:val="20"/>
          <w:color w:val="auto"/>
        </w:rPr>
      </w:pPr>
    </w:p>
    <w:p>
      <w:pPr>
        <w:jc w:val="both"/>
        <w:ind w:firstLine="1497"/>
        <w:spacing w:after="0" w:line="234" w:lineRule="auto"/>
        <w:rPr>
          <w:sz w:val="20"/>
          <w:szCs w:val="20"/>
          <w:color w:val="auto"/>
        </w:rPr>
      </w:pPr>
      <w:r>
        <w:rPr>
          <w:rFonts w:ascii="Times New Roman" w:cs="Times New Roman" w:eastAsia="Times New Roman" w:hAnsi="Times New Roman"/>
          <w:sz w:val="22"/>
          <w:szCs w:val="22"/>
          <w:b w:val="1"/>
          <w:bCs w:val="1"/>
          <w:u w:val="single" w:color="auto"/>
          <w:color w:val="auto"/>
        </w:rPr>
        <w:t>Uniform Commercial Code Terms</w:t>
      </w:r>
      <w:r>
        <w:rPr>
          <w:rFonts w:ascii="Times New Roman" w:cs="Times New Roman" w:eastAsia="Times New Roman" w:hAnsi="Times New Roman"/>
          <w:sz w:val="22"/>
          <w:szCs w:val="22"/>
          <w:b w:val="1"/>
          <w:bCs w:val="1"/>
          <w:color w:val="auto"/>
        </w:rPr>
        <w:t>. All terms used herein and defined in the Uniform Commercial Code as adopted in the State of New York from time to time (the "</w:t>
      </w:r>
      <w:r>
        <w:rPr>
          <w:rFonts w:ascii="Times New Roman" w:cs="Times New Roman" w:eastAsia="Times New Roman" w:hAnsi="Times New Roman"/>
          <w:sz w:val="22"/>
          <w:szCs w:val="22"/>
          <w:b w:val="1"/>
          <w:bCs w:val="1"/>
          <w:u w:val="single" w:color="auto"/>
          <w:color w:val="auto"/>
        </w:rPr>
        <w:t>Uniform Commercial Code</w:t>
      </w:r>
      <w:r>
        <w:rPr>
          <w:rFonts w:ascii="Times New Roman" w:cs="Times New Roman" w:eastAsia="Times New Roman" w:hAnsi="Times New Roman"/>
          <w:sz w:val="22"/>
          <w:szCs w:val="22"/>
          <w:b w:val="1"/>
          <w:bCs w:val="1"/>
          <w:color w:val="auto"/>
        </w:rPr>
        <w:t>") shall have the meaning given therein unless otherwise defined herein. Without limiting the foregoing, the terms "accounts", "chattel paper" (and "electronic chattel paper" and "tangible chattel paper"), "commercial tort claims", "deposit accounts", "documents", "equipment", "financial asset", "fixtures", "general intangibles", "goods", "instruments", "inventory", "investment property", "letter-of-credit rights", "payment intangibles", "proceeds", "promissory note" "securities", "software" and "supporting obligations" as and when used in the description of Collateral shall have the meanings given to such terms in Articles 8 or 9 of the Uniform Commercial Code. To the extent the definition of any category or type of collateral is expanded by any amendment, modification or revision to the Uniform Commercial Code, such expanded definition will apply automatically as of the date of such amendment, modification or revision.</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116" w:name="page117"/>
    <w:bookmarkEnd w:id="116"/>
    <w:p>
      <w:pPr>
        <w:jc w:val="both"/>
        <w:ind w:firstLine="1497"/>
        <w:spacing w:after="0" w:line="242" w:lineRule="auto"/>
        <w:rPr>
          <w:sz w:val="20"/>
          <w:szCs w:val="20"/>
          <w:color w:val="auto"/>
        </w:rPr>
      </w:pPr>
      <w:r>
        <w:rPr>
          <w:rFonts w:ascii="Times New Roman" w:cs="Times New Roman" w:eastAsia="Times New Roman" w:hAnsi="Times New Roman"/>
          <w:sz w:val="21"/>
          <w:szCs w:val="21"/>
          <w:b w:val="1"/>
          <w:bCs w:val="1"/>
          <w:u w:val="single" w:color="auto"/>
          <w:color w:val="auto"/>
        </w:rPr>
        <w:t>Certain Matters of Construction</w:t>
      </w:r>
      <w:r>
        <w:rPr>
          <w:rFonts w:ascii="Times New Roman" w:cs="Times New Roman" w:eastAsia="Times New Roman" w:hAnsi="Times New Roman"/>
          <w:sz w:val="21"/>
          <w:szCs w:val="21"/>
          <w:b w:val="1"/>
          <w:bCs w:val="1"/>
          <w:color w:val="auto"/>
        </w:rPr>
        <w:t>. The terms "herein", "hereof" and "hereunder" and other words of similar import refer to this Agreement as a whole and not to any particular section, paragraph or subdivision. All references herein to Articles, Sections, Exhibits and Schedules shall be construed to refer to Articles and Sections of, and Exhibits and Schedules to, this Agreement. Any pronoun used shall be deemed to cover all genders. Wherever appropriate in the context, terms used herein in the singular also include the plural and vice versa. All references to statutes and related regulations shall include any amendments of same and any successor statutes and regulations. Unless otherwise provided, all references to any instruments or agreements to which Agent is a party, including references to any of the Other Documents, shall include any and all modifications, supplements or amendments thereto, any and all restatements or replacements thereof and any and all extensions or renewals thereof. All references herein to the time of day shall mean the time in New York, New York. Unless otherwise provided, all financial calculations shall be performed with Inventory valued on a first-in, first-out basis. Whenever the words "including" or "include" shall be used, such words shall be understood to mean "including, without limitation" or "include, without limitation". A Default or an Event of Default shall be deemed to exist at all times during the period commencing on the date that such Default or Event of Default occurs to the date on which such Default or Event of Default is waived in writing pursuant to this Agreement or, in the case of a Default, is cured within any period of cure expressly provided for in this Agreement; and an Event of Default shall "continue" or be "continuing" until such Event of Default has been waived in writing by Required Lenders. Any Lien referred to in this Agreement or any of the Other Documents as having been created in favor of Agent, any agreement entered into by Agent pursuant to this Agreement or any of the Other Documents, any payment made by or to or funds received by Agent pursuant to or as contemplated by this Agreement or any of the Other Documents, or any act taken or omitted to be taken by Agent, shall, unless otherwise expressly provided, be created, entered into, made or received, or taken or omitted, for the benefit or account of Agent and Lenders. Wherever the phrase "to the best of Borrowers' knowledge" or words of similar import relating to the knowledge or the awareness of any Borrower are used in this Agreement or Other Documents, such phrase shall mean and refer to (i) the actual knowledge of a Responsible Officer of any Borrower or (ii) the knowledge that a Responsible Officer would have obtained if he/she had engaged in a good faith and diligent performance of his/her duties, including the making of such reasonably specific inquiries as may be necessary of the employees or agents of such Borrower and a good faith attempt to ascertain the existence or accuracy of the matter to which such phrase relates. All covenants hereunder shall be given independent effect so that if a particular action or condition is not permitted by any of such covenants, the fact that it would be permitted by an exception to, or otherwise within the limitations of, another covenant shall not avoid the occurrence of a default if such action is taken or condition exists. In addition, all representations and warranties hereunder shall be given independent effect so that if a particular representation or warranty proves to be incorrect or is breached, the fact that another representation or warranty concerning the same or similar subject matter is correct or is not breached will not affect the incorrectness of a breach of a representation or warranty hereunder. Any reference herein or in any Other Document to the satisfaction, repayment, or payment in full of the Obligations shall mean (a) the payment or repayment in full in immediately available funds of (i) the principal amount of, and interest accrued and unpaid with respect to, all outstanding Advances, together with the payment of any premium applicable to the repayment of the Advances, (ii) all expenses to which Agent, any Lender or Issuer is entitled to reimbursement hereunder or under any Other Document that have accrued and are unpaid regardless of whether demand has been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17" w:name="page118"/>
    <w:bookmarkEnd w:id="117"/>
    <w:p>
      <w:pPr>
        <w:jc w:val="both"/>
        <w:spacing w:after="0" w:line="244" w:lineRule="auto"/>
        <w:rPr>
          <w:sz w:val="20"/>
          <w:szCs w:val="20"/>
          <w:color w:val="auto"/>
        </w:rPr>
      </w:pPr>
      <w:r>
        <w:rPr>
          <w:rFonts w:ascii="Times New Roman" w:cs="Times New Roman" w:eastAsia="Times New Roman" w:hAnsi="Times New Roman"/>
          <w:sz w:val="21"/>
          <w:szCs w:val="21"/>
          <w:b w:val="1"/>
          <w:bCs w:val="1"/>
          <w:color w:val="auto"/>
        </w:rPr>
        <w:t>made therefor, (iii) all fees or charges that have accrued hereunder or under any Other Document (including the Letter of Credit fees) and are unpaid, (b) in the case of contingent reimbursement obligations with respect to Letters of Credit, providing Cash Collateralization of the Letters of Credit in accordance herewith, (c) in the case of Cash Management Liabilities, providing cash collateralization in an amount equal to the credit exposure (as reasonably determined by Agent) with respect thereto, (d) the receipt by Agent of cash collateral in order to secure any other contingent Obligations for which a claim or demand for payment has been made on or prior to such time or in respect of matters or circumstances known to Agent or a Lender at such time that are reasonably expected to result in any loss, cost, damage, or expense (including attorneys' fees and legal expenses), such cash collateral to be in such amount as Agent reasonably determines is appropriate to secure such contingent Obligations, (e) the payment or repayment in full in immediately available funds of all other outstanding Obligations (including the payment of any termination amount then applicable (or which would or could become applicable as a result of the repayment of the other Obligations) with respect to Hedge Liabilities) other than (i) unasserted contingent indemnification Obligations for which there is no reasonable basis to assume a claim will be asserted, (ii) any Cash Management Liabilities that, at such time, are allowed by the applicable Lender (or Affiliate) to remain outstanding without being required to be repaid or cash collateralized, and (iii) any Hedge Liabilities that, at such time, are allowed by the applicable Lender (or Affiliate) to remain outstanding without being required to be repaid, and (f) the termination of all of the Revolving Commitments of the Lenders.</w:t>
      </w:r>
    </w:p>
    <w:p>
      <w:pPr>
        <w:spacing w:after="0" w:line="176"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b w:val="1"/>
          <w:bCs w:val="1"/>
          <w:u w:val="single" w:color="auto"/>
          <w:color w:val="auto"/>
        </w:rPr>
        <w:t>Term SOFR Notification</w:t>
      </w:r>
      <w:r>
        <w:rPr>
          <w:rFonts w:ascii="Times New Roman" w:cs="Times New Roman" w:eastAsia="Times New Roman" w:hAnsi="Times New Roman"/>
          <w:sz w:val="22"/>
          <w:szCs w:val="22"/>
          <w:b w:val="1"/>
          <w:bCs w:val="1"/>
          <w:color w:val="auto"/>
        </w:rPr>
        <w:t>. Section 3.8.2 of this Agreement provides a mechanism for determining an alternate rate of interest in the event that the Term SOFR Rate is no longer available or in certain other circumstances. The Agent does not warrant or accept any responsibility for and shall not have any liability with respect to, the administration, submission or any other matter related to the Term SOFR Rate or other rates in the definition of "Term SOFR Rate" or with respect to any alternative or successor rate thereto, or replacement rate therefor.</w:t>
      </w:r>
    </w:p>
    <w:p>
      <w:pPr>
        <w:spacing w:after="0" w:line="177" w:lineRule="exact"/>
        <w:rPr>
          <w:sz w:val="20"/>
          <w:szCs w:val="20"/>
          <w:color w:val="auto"/>
        </w:rPr>
      </w:pPr>
    </w:p>
    <w:p>
      <w:pPr>
        <w:jc w:val="both"/>
        <w:ind w:firstLine="1497"/>
        <w:spacing w:after="0" w:line="250" w:lineRule="auto"/>
        <w:rPr>
          <w:sz w:val="20"/>
          <w:szCs w:val="20"/>
          <w:color w:val="auto"/>
        </w:rPr>
      </w:pPr>
      <w:r>
        <w:rPr>
          <w:rFonts w:ascii="Times New Roman" w:cs="Times New Roman" w:eastAsia="Times New Roman" w:hAnsi="Times New Roman"/>
          <w:sz w:val="21"/>
          <w:szCs w:val="21"/>
          <w:b w:val="1"/>
          <w:bCs w:val="1"/>
          <w:u w:val="single" w:color="auto"/>
          <w:color w:val="auto"/>
        </w:rPr>
        <w:t>Conforming Changes Relating to Term SOFR Rate</w:t>
      </w:r>
      <w:r>
        <w:rPr>
          <w:rFonts w:ascii="Times New Roman" w:cs="Times New Roman" w:eastAsia="Times New Roman" w:hAnsi="Times New Roman"/>
          <w:sz w:val="21"/>
          <w:szCs w:val="21"/>
          <w:b w:val="1"/>
          <w:bCs w:val="1"/>
          <w:color w:val="auto"/>
        </w:rPr>
        <w:t>. With respect to the Term SOFR Rate, the Agent will have the right to make Conforming Changes from time to time and, notwithstanding anything to the contrary herein or in any Other Document, any amendments implementing such Conforming Changes will become effective without any further action or consent of any other party to this Agreement or any Other Document; provided that, with respect to any such amendment effected, the Agent shall provide notice to the Borrowers and the Lenders of each such amendment implementing such Conforming Changes no later than five (5) Business Days before such amendment becomes effective.</w:t>
      </w:r>
    </w:p>
    <w:p>
      <w:pPr>
        <w:spacing w:after="0" w:line="16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b w:val="1"/>
          <w:bCs w:val="1"/>
          <w:u w:val="single" w:color="auto"/>
          <w:color w:val="auto"/>
        </w:rPr>
        <w:t>Effect of Amendment and Restatement; No Novation; Release</w:t>
      </w:r>
      <w:r>
        <w:rPr>
          <w:rFonts w:ascii="Times New Roman" w:cs="Times New Roman" w:eastAsia="Times New Roman" w:hAnsi="Times New Roman"/>
          <w:sz w:val="22"/>
          <w:szCs w:val="22"/>
          <w:b w:val="1"/>
          <w:bCs w:val="1"/>
          <w:color w:val="auto"/>
        </w:rPr>
        <w:t>.</w:t>
      </w:r>
    </w:p>
    <w:p>
      <w:pPr>
        <w:spacing w:after="0" w:line="210" w:lineRule="exact"/>
        <w:rPr>
          <w:sz w:val="20"/>
          <w:szCs w:val="20"/>
          <w:color w:val="auto"/>
        </w:rPr>
      </w:pPr>
    </w:p>
    <w:p>
      <w:pPr>
        <w:jc w:val="both"/>
        <w:ind w:firstLine="1497"/>
        <w:spacing w:after="0" w:line="235" w:lineRule="auto"/>
        <w:rPr>
          <w:sz w:val="20"/>
          <w:szCs w:val="20"/>
          <w:color w:val="auto"/>
        </w:rPr>
      </w:pPr>
      <w:r>
        <w:rPr>
          <w:rFonts w:ascii="Times New Roman" w:cs="Times New Roman" w:eastAsia="Times New Roman" w:hAnsi="Times New Roman"/>
          <w:sz w:val="22"/>
          <w:szCs w:val="22"/>
          <w:color w:val="auto"/>
        </w:rPr>
        <w:t>Upon the effectiveness of this Agreement, the First Restatement Credit Agreement (which, for the sake of clarity, amended and restated the Original Credit Agreement in its entirety) shall be amended and restated in its entirety by this Agreement. The First Restatement Obligations outstanding on the Closing Date shall continue in full force and effect and constitute Obligations, and the effectiveness of this Agreement shall not constitute a novation or repayment of the First Restatement Obligations. Such First Restatement Obligations, together with any and all additional Obligations incurred by any Credit Party under this Agreement or under any of the Other Documents, shall continue to be secured by, among other things, the Collateral, whether now</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18" w:name="page119"/>
    <w:bookmarkEnd w:id="118"/>
    <w:p>
      <w:pPr>
        <w:jc w:val="both"/>
        <w:spacing w:after="0" w:line="236" w:lineRule="auto"/>
        <w:rPr>
          <w:sz w:val="20"/>
          <w:szCs w:val="20"/>
          <w:color w:val="auto"/>
        </w:rPr>
      </w:pPr>
      <w:r>
        <w:rPr>
          <w:rFonts w:ascii="Times New Roman" w:cs="Times New Roman" w:eastAsia="Times New Roman" w:hAnsi="Times New Roman"/>
          <w:sz w:val="22"/>
          <w:szCs w:val="22"/>
          <w:color w:val="auto"/>
        </w:rPr>
        <w:t>existing or hereafter acquired and wheresoever located, all as more specifically set forth in this Agreement and the Other Documents. Each Credit Party hereby reaffirms its obligations, liabilities, grants of security interests, pledges and the validity of all covenants by it contained in the First Restatement Credit Agreement and in any and all Other Documents, as amended, supplemented or otherwise modified by this Agreement and by the Other Documents delivered on the Closing Date. Any and all references in any Other Documents to the First Restatement Credit Agreement shall be deemed to be amended to refer to this Agreement.</w:t>
      </w:r>
    </w:p>
    <w:p>
      <w:pPr>
        <w:spacing w:after="0" w:line="181" w:lineRule="exact"/>
        <w:rPr>
          <w:sz w:val="20"/>
          <w:szCs w:val="20"/>
          <w:color w:val="auto"/>
        </w:rPr>
      </w:pPr>
    </w:p>
    <w:p>
      <w:pPr>
        <w:jc w:val="both"/>
        <w:ind w:firstLine="1497"/>
        <w:spacing w:after="0" w:line="233" w:lineRule="auto"/>
        <w:rPr>
          <w:sz w:val="20"/>
          <w:szCs w:val="20"/>
          <w:color w:val="auto"/>
        </w:rPr>
      </w:pPr>
      <w:r>
        <w:rPr>
          <w:rFonts w:ascii="Times New Roman" w:cs="Times New Roman" w:eastAsia="Times New Roman" w:hAnsi="Times New Roman"/>
          <w:sz w:val="22"/>
          <w:szCs w:val="22"/>
          <w:color w:val="auto"/>
        </w:rPr>
        <w:t>In consideration of Agent and Lenders entering into this Agreement and for other good and valuable consideration, the receipt and sufficiency of which is hereby acknowledged, as of the date hereof, each Credit Party, on behalf of itself and its successors, assigns, and its present and former members, managers, shareholders, affiliates, subsidiaries, divisions, predecessors, directors, officers, attorneys, employees, agents, legal representatives and other representatives, hereby absolutely, unconditionally and irrevocably releases, remises and forever discharges Agent, Issuer and Lenders, and their successors and assigns, and their respective present and former shareholders, members, managers, affiliates, subsidiaries, divisions, predecessors, directors, officers, attorneys, employees, agents, legal representatives and other representatives (Agent, Issuer, each Lender and all such other Persons being hereinafter referred to collectively as the "</w:t>
      </w:r>
      <w:r>
        <w:rPr>
          <w:rFonts w:ascii="Times New Roman" w:cs="Times New Roman" w:eastAsia="Times New Roman" w:hAnsi="Times New Roman"/>
          <w:sz w:val="22"/>
          <w:szCs w:val="22"/>
          <w:u w:val="single" w:color="auto"/>
          <w:color w:val="auto"/>
        </w:rPr>
        <w:t>Releasees</w:t>
      </w:r>
      <w:r>
        <w:rPr>
          <w:rFonts w:ascii="Times New Roman" w:cs="Times New Roman" w:eastAsia="Times New Roman" w:hAnsi="Times New Roman"/>
          <w:sz w:val="22"/>
          <w:szCs w:val="22"/>
          <w:color w:val="auto"/>
        </w:rPr>
        <w:t>" and individually as a "</w:t>
      </w:r>
      <w:r>
        <w:rPr>
          <w:rFonts w:ascii="Times New Roman" w:cs="Times New Roman" w:eastAsia="Times New Roman" w:hAnsi="Times New Roman"/>
          <w:sz w:val="22"/>
          <w:szCs w:val="22"/>
          <w:u w:val="single" w:color="auto"/>
          <w:color w:val="auto"/>
        </w:rPr>
        <w:t>Releasee</w:t>
      </w:r>
      <w:r>
        <w:rPr>
          <w:rFonts w:ascii="Times New Roman" w:cs="Times New Roman" w:eastAsia="Times New Roman" w:hAnsi="Times New Roman"/>
          <w:sz w:val="22"/>
          <w:szCs w:val="22"/>
          <w:color w:val="auto"/>
        </w:rPr>
        <w:t>"), of and from all demands, actions, causes of action, suits, covenants, contracts, controversies and any and all other claims, counterclaims, defenses, rights of set off, demands and liabilities whatsoever of every name and nature, known or unknown, suspected or unsuspected, both at law and in equity, which any Credit Party or any of its successors, assigns, or other legal representatives may now or hereafter own, hold, have or claim to have against the Releasees by reason of any circumstance, action, cause or thing whatsoever which occurred on or prior to the date of this Agreement, including, without limitation, for or on account of, or in relation to, or in any way in connection with the First Restatement Credit Agreement, the Other Documents or transactions directly related thereto between any Credit Party and the Releasees.</w:t>
      </w:r>
    </w:p>
    <w:p>
      <w:pPr>
        <w:spacing w:after="0" w:line="17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b w:val="1"/>
          <w:bCs w:val="1"/>
          <w:color w:val="auto"/>
        </w:rPr>
        <w:t>ADVANCES, PAYMENTS.</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b w:val="1"/>
          <w:bCs w:val="1"/>
          <w:u w:val="single" w:color="auto"/>
          <w:color w:val="auto"/>
        </w:rPr>
        <w:t>Revolving Advances</w:t>
      </w:r>
      <w:r>
        <w:rPr>
          <w:rFonts w:ascii="Times New Roman" w:cs="Times New Roman" w:eastAsia="Times New Roman" w:hAnsi="Times New Roman"/>
          <w:sz w:val="22"/>
          <w:szCs w:val="22"/>
          <w:b w:val="1"/>
          <w:bCs w:val="1"/>
          <w:color w:val="auto"/>
        </w:rPr>
        <w:t>.</w:t>
      </w:r>
    </w:p>
    <w:p>
      <w:pPr>
        <w:spacing w:after="0" w:line="210" w:lineRule="exact"/>
        <w:rPr>
          <w:sz w:val="20"/>
          <w:szCs w:val="20"/>
          <w:color w:val="auto"/>
        </w:rPr>
      </w:pPr>
    </w:p>
    <w:p>
      <w:pPr>
        <w:jc w:val="both"/>
        <w:ind w:firstLine="1497"/>
        <w:spacing w:after="0" w:line="235" w:lineRule="auto"/>
        <w:rPr>
          <w:sz w:val="20"/>
          <w:szCs w:val="20"/>
          <w:color w:val="auto"/>
        </w:rPr>
      </w:pPr>
      <w:r>
        <w:rPr>
          <w:rFonts w:ascii="Times New Roman" w:cs="Times New Roman" w:eastAsia="Times New Roman" w:hAnsi="Times New Roman"/>
          <w:sz w:val="22"/>
          <w:szCs w:val="22"/>
          <w:u w:val="single" w:color="auto"/>
          <w:color w:val="auto"/>
        </w:rPr>
        <w:t>Amount of Revolving Advances</w:t>
      </w:r>
      <w:r>
        <w:rPr>
          <w:rFonts w:ascii="Times New Roman" w:cs="Times New Roman" w:eastAsia="Times New Roman" w:hAnsi="Times New Roman"/>
          <w:sz w:val="22"/>
          <w:szCs w:val="22"/>
          <w:color w:val="auto"/>
        </w:rPr>
        <w:t xml:space="preserve">. Subject to the terms and conditions set forth in this Agreement specifically including Section 2.1(b), each Lender with a Revolving Commitment, severally and not jointly, will make Revolving Advances (including Green Loan Advances) to Borrowers in aggregate amounts outstanding at any time equal to such Lender's Revolving Commitment Percentage of the amount by which Availability exceeds the sum of the aggregate Dollar Equivalent of the Maximum Undrawn Amount of all outstanding Letters of Credit and the outstanding amount of Swing Loans;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with respect to Green Loan Advances, (1) the aggregate amount of Green Loan Advances from such Lender shall not exceed such Lender's Revolving Commitment Percentage of the Green Loan Sublimit, and (2) the aggregate amount of Green Loan Advances from all Lenders shall not exceed the Green Loan Sublimit.</w:t>
      </w:r>
    </w:p>
    <w:p>
      <w:pPr>
        <w:spacing w:after="0" w:line="17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 xml:space="preserve">For purposes hereof, the " </w:t>
      </w:r>
      <w:r>
        <w:rPr>
          <w:rFonts w:ascii="Times New Roman" w:cs="Times New Roman" w:eastAsia="Times New Roman" w:hAnsi="Times New Roman"/>
          <w:sz w:val="22"/>
          <w:szCs w:val="22"/>
          <w:u w:val="single" w:color="auto"/>
          <w:color w:val="auto"/>
        </w:rPr>
        <w:t>Gross Amount</w:t>
      </w:r>
      <w:r>
        <w:rPr>
          <w:rFonts w:ascii="Times New Roman" w:cs="Times New Roman" w:eastAsia="Times New Roman" w:hAnsi="Times New Roman"/>
          <w:sz w:val="22"/>
          <w:szCs w:val="22"/>
          <w:color w:val="auto"/>
        </w:rPr>
        <w:t>" shall mean as of any date of determination the lesser of (y) the Maximum Revolving Advance Amount, and (z) an amount equal to the sum of:</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19" w:name="page120"/>
    <w:bookmarkEnd w:id="119"/>
    <w:p>
      <w:pPr>
        <w:ind w:left="1500"/>
        <w:spacing w:after="0"/>
        <w:rPr>
          <w:sz w:val="20"/>
          <w:szCs w:val="20"/>
          <w:color w:val="auto"/>
        </w:rPr>
      </w:pPr>
      <w:r>
        <w:rPr>
          <w:rFonts w:ascii="Times New Roman" w:cs="Times New Roman" w:eastAsia="Times New Roman" w:hAnsi="Times New Roman"/>
          <w:sz w:val="22"/>
          <w:szCs w:val="22"/>
          <w:color w:val="auto"/>
        </w:rPr>
        <w:t>the sum of up to eighty-five percent (85%) (the "</w:t>
      </w:r>
      <w:r>
        <w:rPr>
          <w:rFonts w:ascii="Times New Roman" w:cs="Times New Roman" w:eastAsia="Times New Roman" w:hAnsi="Times New Roman"/>
          <w:sz w:val="22"/>
          <w:szCs w:val="22"/>
          <w:u w:val="single" w:color="auto"/>
          <w:color w:val="auto"/>
        </w:rPr>
        <w:t>Receivables Advance Rate</w:t>
      </w:r>
      <w:r>
        <w:rPr>
          <w:rFonts w:ascii="Times New Roman" w:cs="Times New Roman" w:eastAsia="Times New Roman" w:hAnsi="Times New Roman"/>
          <w:sz w:val="22"/>
          <w:szCs w:val="22"/>
          <w:color w:val="auto"/>
        </w:rPr>
        <w:t xml:space="preserve">") of Eligible Receivables, </w:t>
      </w:r>
      <w:r>
        <w:rPr>
          <w:rFonts w:ascii="Times New Roman" w:cs="Times New Roman" w:eastAsia="Times New Roman" w:hAnsi="Times New Roman"/>
          <w:sz w:val="22"/>
          <w:szCs w:val="22"/>
          <w:u w:val="single" w:color="auto"/>
          <w:color w:val="auto"/>
        </w:rPr>
        <w:t>plus</w:t>
      </w:r>
    </w:p>
    <w:p>
      <w:pPr>
        <w:spacing w:after="0" w:line="206"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color w:val="auto"/>
        </w:rPr>
        <w:t xml:space="preserve">up to (A) the Fleet Assets Advance Rate (Domestic) in effect as of such date multiplied by the Net Orderly Liquidation Value (as evidenced by the most recent Acceptable Appraisal) of Eligible Fleet Assets flagged and operating in the United States, and (B) the Fleet Assets Advance Rate (Foreign) in effect as of such date multiplied by the Net Orderly Liquidation Value (as evidenced by the most recent Acceptable Appraisal) of Eligible Fleet Assets flagged and/or operating outside of the United States , </w:t>
      </w:r>
      <w:r>
        <w:rPr>
          <w:rFonts w:ascii="Times New Roman" w:cs="Times New Roman" w:eastAsia="Times New Roman" w:hAnsi="Times New Roman"/>
          <w:sz w:val="22"/>
          <w:szCs w:val="22"/>
          <w:u w:val="single" w:color="auto"/>
          <w:color w:val="auto"/>
        </w:rPr>
        <w:t>plus</w:t>
      </w:r>
    </w:p>
    <w:p>
      <w:pPr>
        <w:spacing w:after="0" w:line="177"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color w:val="auto"/>
        </w:rPr>
        <w:t xml:space="preserve">up to eighty-five percent (85%) of the invoice cost (net of freight, taxes, delivery, installation and other "soft costs") of Eligible New Fleet Assets (the " </w:t>
      </w:r>
      <w:r>
        <w:rPr>
          <w:rFonts w:ascii="Times New Roman" w:cs="Times New Roman" w:eastAsia="Times New Roman" w:hAnsi="Times New Roman"/>
          <w:sz w:val="22"/>
          <w:szCs w:val="22"/>
          <w:u w:val="single" w:color="auto"/>
          <w:color w:val="auto"/>
        </w:rPr>
        <w:t>New Fleet Assets Advance Rate</w:t>
      </w:r>
      <w:r>
        <w:rPr>
          <w:rFonts w:ascii="Times New Roman" w:cs="Times New Roman" w:eastAsia="Times New Roman" w:hAnsi="Times New Roman"/>
          <w:sz w:val="22"/>
          <w:szCs w:val="22"/>
          <w:color w:val="auto"/>
        </w:rPr>
        <w:t>"; the New Fleet Assets Advance Rate, together with the Receivables Advance Rate, the Fleet Assets Advance Rate (Domestic), and the Fleet Assets Advance Rate (Foreign), collectively, the "</w:t>
      </w:r>
      <w:r>
        <w:rPr>
          <w:rFonts w:ascii="Times New Roman" w:cs="Times New Roman" w:eastAsia="Times New Roman" w:hAnsi="Times New Roman"/>
          <w:sz w:val="22"/>
          <w:szCs w:val="22"/>
          <w:u w:val="single" w:color="auto"/>
          <w:color w:val="auto"/>
        </w:rPr>
        <w:t>Advance Rates</w:t>
      </w:r>
      <w:r>
        <w:rPr>
          <w:rFonts w:ascii="Times New Roman" w:cs="Times New Roman" w:eastAsia="Times New Roman" w:hAnsi="Times New Roman"/>
          <w:sz w:val="22"/>
          <w:szCs w:val="22"/>
          <w:color w:val="auto"/>
        </w:rPr>
        <w:t>");</w:t>
      </w:r>
    </w:p>
    <w:p>
      <w:pPr>
        <w:spacing w:after="0" w:line="18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(A) availability attributable to Eligible Fleet Assets and Eligible New Fleet Assets flagged under and/or located in foreign jurisdictions shall not at any time exceed the Foreign Fleet Assets Maximum Amount, and (B) Agent may establish reserves (including without limitation reserves related to Cash Management Liabilities and Hedge Liabilities) against the Formula Amount as Agent may reasonably deem proper and necessary in its Permitted Discretion from time to time but such reserves shall not be duplicative of any reserves established against the Gross Amount.</w:t>
      </w:r>
    </w:p>
    <w:p>
      <w:pPr>
        <w:spacing w:after="0" w:line="16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22"/>
          <w:szCs w:val="22"/>
          <w:color w:val="auto"/>
        </w:rPr>
        <w:t>The amount derived in Section 2.1(a)(z) at any time and from time to time shall be referred to as the "</w:t>
      </w:r>
      <w:r>
        <w:rPr>
          <w:rFonts w:ascii="Times New Roman" w:cs="Times New Roman" w:eastAsia="Times New Roman" w:hAnsi="Times New Roman"/>
          <w:sz w:val="22"/>
          <w:szCs w:val="22"/>
          <w:u w:val="single" w:color="auto"/>
          <w:color w:val="auto"/>
        </w:rPr>
        <w:t>Formula Amount</w:t>
      </w:r>
      <w:r>
        <w:rPr>
          <w:rFonts w:ascii="Times New Roman" w:cs="Times New Roman" w:eastAsia="Times New Roman" w:hAnsi="Times New Roman"/>
          <w:sz w:val="22"/>
          <w:szCs w:val="22"/>
          <w:color w:val="auto"/>
        </w:rPr>
        <w:t>". The Revolving Advances shall be evidenced by one or more secured promissory notes (collectively, the "</w:t>
      </w:r>
      <w:r>
        <w:rPr>
          <w:rFonts w:ascii="Times New Roman" w:cs="Times New Roman" w:eastAsia="Times New Roman" w:hAnsi="Times New Roman"/>
          <w:sz w:val="22"/>
          <w:szCs w:val="22"/>
          <w:u w:val="single" w:color="auto"/>
          <w:color w:val="auto"/>
        </w:rPr>
        <w:t>Revolving Credit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Note</w:t>
      </w:r>
      <w:r>
        <w:rPr>
          <w:rFonts w:ascii="Times New Roman" w:cs="Times New Roman" w:eastAsia="Times New Roman" w:hAnsi="Times New Roman"/>
          <w:sz w:val="22"/>
          <w:szCs w:val="22"/>
          <w:color w:val="auto"/>
        </w:rPr>
        <w:t>") substantially in the form attached hereto as Exhibit 2.1(a). Notwithstanding anything to the contrary contained in the foregoing or otherwise in this Agreement, the sum of the aggregate Dollar Equivalent of the Maximum Undrawn Amount of all outstanding Letters of Credit, the outstanding aggregate principal amount of Swing Loans and the Revolving Advances at any one time outstanding shall not exceed an amount equal to the Availability at such time.</w:t>
      </w:r>
    </w:p>
    <w:p>
      <w:pPr>
        <w:spacing w:after="0" w:line="163"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u w:val="single" w:color="auto"/>
          <w:color w:val="auto"/>
        </w:rPr>
        <w:t>Discretionary Rights</w:t>
      </w:r>
      <w:r>
        <w:rPr>
          <w:rFonts w:ascii="Times New Roman" w:cs="Times New Roman" w:eastAsia="Times New Roman" w:hAnsi="Times New Roman"/>
          <w:sz w:val="22"/>
          <w:szCs w:val="22"/>
          <w:color w:val="auto"/>
        </w:rPr>
        <w:t>. The Advance Rates may be adjusted by Agent at any time and from time to time in the exercise of its Permitted Discretion; provided, that at no time may any Advance Rate be increased by Agent to an amount in excess of such Advance Rate as of the Closing Date. Each Borrower consents to any such adjustments and acknowledges that adjusting the Advance Rates or increasing or imposing reserves may limit or restrict Advances requested by Borrowing Agent.</w:t>
      </w:r>
    </w:p>
    <w:p>
      <w:pPr>
        <w:spacing w:after="0" w:line="17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b w:val="1"/>
          <w:bCs w:val="1"/>
          <w:u w:val="single" w:color="auto"/>
          <w:color w:val="auto"/>
        </w:rPr>
        <w:t>Procedures for Requesting Revolving Advances</w:t>
      </w:r>
      <w:r>
        <w:rPr>
          <w:rFonts w:ascii="Times New Roman" w:cs="Times New Roman" w:eastAsia="Times New Roman" w:hAnsi="Times New Roman"/>
          <w:sz w:val="22"/>
          <w:szCs w:val="22"/>
          <w:b w:val="1"/>
          <w:bCs w:val="1"/>
          <w:color w:val="auto"/>
        </w:rPr>
        <w:t>.</w:t>
      </w:r>
    </w:p>
    <w:p>
      <w:pPr>
        <w:spacing w:after="0" w:line="210"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color w:val="auto"/>
        </w:rPr>
        <w:t>Borrowing Agent on behalf of any Borrower may notify Agent prior to 1:00 p.m. on a Business Day of a Borrower's request to incur, on that day, a Revolving Advance hereunder. Each such borrowing request shall specify if such Revolving Advance constitutes a Green Loan Advance. Should any amount required to be paid as interest hereunder, or as fees or other charges under this Agreement or any other agreement with Agent or Lenders, or with respect to any other</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20" w:name="page121"/>
    <w:bookmarkEnd w:id="120"/>
    <w:p>
      <w:pPr>
        <w:jc w:val="both"/>
        <w:spacing w:after="0" w:line="244" w:lineRule="auto"/>
        <w:rPr>
          <w:sz w:val="20"/>
          <w:szCs w:val="20"/>
          <w:color w:val="auto"/>
        </w:rPr>
      </w:pPr>
      <w:r>
        <w:rPr>
          <w:rFonts w:ascii="Times New Roman" w:cs="Times New Roman" w:eastAsia="Times New Roman" w:hAnsi="Times New Roman"/>
          <w:sz w:val="22"/>
          <w:szCs w:val="22"/>
          <w:color w:val="auto"/>
        </w:rPr>
        <w:t>Obligation under this Agreement, become due, same shall be deemed a request for a Revolving Advance maintained as a Domestic Rate Loan as of the date such payment is due, in the amount required to pay in full such interest, fee, charge or Obligation, and such request shall be irrevocable.</w:t>
      </w:r>
    </w:p>
    <w:p>
      <w:pPr>
        <w:spacing w:after="0" w:line="173" w:lineRule="exact"/>
        <w:rPr>
          <w:sz w:val="20"/>
          <w:szCs w:val="20"/>
          <w:color w:val="auto"/>
        </w:rPr>
      </w:pPr>
    </w:p>
    <w:p>
      <w:pPr>
        <w:jc w:val="both"/>
        <w:ind w:firstLine="1497"/>
        <w:spacing w:after="0" w:line="249" w:lineRule="auto"/>
        <w:rPr>
          <w:sz w:val="20"/>
          <w:szCs w:val="20"/>
          <w:color w:val="auto"/>
        </w:rPr>
      </w:pPr>
      <w:r>
        <w:rPr>
          <w:rFonts w:ascii="Times New Roman" w:cs="Times New Roman" w:eastAsia="Times New Roman" w:hAnsi="Times New Roman"/>
          <w:sz w:val="21"/>
          <w:szCs w:val="21"/>
          <w:color w:val="auto"/>
        </w:rPr>
        <w:t>Notwithstanding the provisions of subsection (a) above, in the event any Borrower desires to obtain a Term SOFR Rate Loan for any Advance (other than a Swing Loan), Borrowing Agent shall give Agent written notice by no later than 1:00 p.m. on the day which is three (3) Business Days prior to the date such Term SOFR Rate Loan is to be borrowed, specifying</w:t>
      </w:r>
    </w:p>
    <w:p>
      <w:pPr>
        <w:spacing w:after="0" w:line="1" w:lineRule="exact"/>
        <w:rPr>
          <w:sz w:val="20"/>
          <w:szCs w:val="20"/>
          <w:color w:val="auto"/>
        </w:rPr>
      </w:pPr>
    </w:p>
    <w:p>
      <w:pPr>
        <w:jc w:val="both"/>
        <w:ind w:firstLine="8"/>
        <w:spacing w:after="0" w:line="232" w:lineRule="auto"/>
        <w:tabs>
          <w:tab w:leader="none" w:pos="291"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date of the proposed borrowing (which shall be a Business Day), (ii) the type of borrowing and the amount of such Advance to be borrowed, which amount shall be in a minimum amount of $1,000,000 and in integral multiples of $500,000 thereafter, (iii) the duration of the first Interest Period therefor, and (iv) whether such Advance shall constitute a Green Loan Advance. Interest Periods for Term SOFR Rate Loans shall be for one, three or six months;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an Interest Period would end on a day that is not a Business Day, it shall end on the next succeeding Business Day unless such day falls in the next succeeding calendar month in which case the Interest Period shall end on the next preceding Business Day. At the election of Required Lenders, no Term SOFR Rate Loan shall be made available to any Borrower during the continuance of a Default or an Event of Default. After giving effect to each requested Term SOFR Rate Loan, including those which are converted from a Domestic Rate Loan under Section 2.2(e), there shall not be outstanding more than ten (10) Term SOFR Rate Loans, in the aggregate.</w:t>
      </w:r>
    </w:p>
    <w:p>
      <w:pPr>
        <w:spacing w:after="0" w:line="177"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Each Interest Period of a Term SOFR Rate Loan shall commence on the date such Term SOFR Rate Loan is made and shall end on such date as Borrowing Agent may elect as set forth in subsection (b)(iii) above, provided that no Interest Period shall end after the last day of the Term.</w:t>
      </w:r>
    </w:p>
    <w:p>
      <w:pPr>
        <w:spacing w:after="0" w:line="173" w:lineRule="exact"/>
        <w:rPr>
          <w:sz w:val="20"/>
          <w:szCs w:val="20"/>
          <w:color w:val="auto"/>
        </w:rPr>
      </w:pPr>
    </w:p>
    <w:p>
      <w:pPr>
        <w:jc w:val="both"/>
        <w:ind w:firstLine="1497"/>
        <w:spacing w:after="0" w:line="235" w:lineRule="auto"/>
        <w:rPr>
          <w:sz w:val="20"/>
          <w:szCs w:val="20"/>
          <w:color w:val="auto"/>
        </w:rPr>
      </w:pPr>
      <w:r>
        <w:rPr>
          <w:rFonts w:ascii="Times New Roman" w:cs="Times New Roman" w:eastAsia="Times New Roman" w:hAnsi="Times New Roman"/>
          <w:sz w:val="22"/>
          <w:szCs w:val="22"/>
          <w:color w:val="auto"/>
        </w:rPr>
        <w:t>Borrowing Agent shall elect the initial Interest Period applicable to a Term SOFR Rate Loan by its notice of borrowing given to Agent pursuant to Section 2.2(b) or by its notice of conversion given to Agent pursuant to Section 2.2(e), as the case may be. Borrowing Agent shall elect the duration of each succeeding Interest Period by giving irrevocable written notice to Agent of such duration not later than 1:00 p.m. on the day which is three (3) Business Days prior to the last day of the then current Interest Period applicable to such Term SOFR Rate Loan. If Agent does not receive timely notice of the Interest Period elected by Borrowing Agent, Borrowing Agent shall be deemed to have elected to convert such Term SOFR Rate Loan to a Domestic Rate Loan subject to Section 2.2(e) below.</w:t>
      </w:r>
    </w:p>
    <w:p>
      <w:pPr>
        <w:spacing w:after="0" w:line="183" w:lineRule="exact"/>
        <w:rPr>
          <w:sz w:val="20"/>
          <w:szCs w:val="20"/>
          <w:color w:val="auto"/>
        </w:rPr>
      </w:pPr>
    </w:p>
    <w:p>
      <w:pPr>
        <w:jc w:val="both"/>
        <w:ind w:firstLine="1497"/>
        <w:spacing w:after="0" w:line="234" w:lineRule="auto"/>
        <w:rPr>
          <w:sz w:val="20"/>
          <w:szCs w:val="20"/>
          <w:color w:val="auto"/>
        </w:rPr>
      </w:pPr>
      <w:r>
        <w:rPr>
          <w:rFonts w:ascii="Times New Roman" w:cs="Times New Roman" w:eastAsia="Times New Roman" w:hAnsi="Times New Roman"/>
          <w:sz w:val="22"/>
          <w:szCs w:val="22"/>
          <w:color w:val="auto"/>
        </w:rPr>
        <w:t>Subject to Section 2.2(b) and the other provisions hereof, Borrowing Agent may, on the last Business Day of the then current Interest Period applicable to any outstanding Term SOFR Rate Loan, or on any Business Day with respect to Domestic Rate Loans, convert any such loan into a loan of another type in the same aggregate principal amount provided that any conversion of a Term SOFR Rate Loan shall be made only on the last Business Day of the then current Interest Period applicable to such Term SOFR Rate Loan. If Borrowing Agent desires to convert a loan, Borrowing Agent shall give Agent written notice by no later than 1:00 p.m. (i) on the day which is three (3) Business Days prior to the date on which such conversion is to occur with respect to a conversion from a Domestic Rate Loan to a Term SOFR Rate Loan, or (ii) on the day which is one (1) Business Day prior to the date on which such conversion is to occur (which date shall be the last Business Day of the Interest Period for the applicable Term SOFR Rate Loan)</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21" w:name="page122"/>
    <w:bookmarkEnd w:id="121"/>
    <w:p>
      <w:pPr>
        <w:jc w:val="both"/>
        <w:spacing w:after="0" w:line="244" w:lineRule="auto"/>
        <w:rPr>
          <w:sz w:val="20"/>
          <w:szCs w:val="20"/>
          <w:color w:val="auto"/>
        </w:rPr>
      </w:pPr>
      <w:r>
        <w:rPr>
          <w:rFonts w:ascii="Times New Roman" w:cs="Times New Roman" w:eastAsia="Times New Roman" w:hAnsi="Times New Roman"/>
          <w:sz w:val="22"/>
          <w:szCs w:val="22"/>
          <w:color w:val="auto"/>
        </w:rPr>
        <w:t>with respect to a conversion from a Term SOFR Rate Loan to a Domestic Rate Loan, specifying, in each case, the date of such conversion, the loans to be converted and if the conversion is to a Term SOFR Rate Loan, the duration of the first Interest Period therefor.</w:t>
      </w:r>
    </w:p>
    <w:p>
      <w:pPr>
        <w:spacing w:after="0" w:line="173" w:lineRule="exact"/>
        <w:rPr>
          <w:sz w:val="20"/>
          <w:szCs w:val="20"/>
          <w:color w:val="auto"/>
        </w:rPr>
      </w:pPr>
    </w:p>
    <w:p>
      <w:pPr>
        <w:jc w:val="both"/>
        <w:ind w:firstLine="1497"/>
        <w:spacing w:after="0" w:line="235" w:lineRule="auto"/>
        <w:rPr>
          <w:sz w:val="20"/>
          <w:szCs w:val="20"/>
          <w:color w:val="auto"/>
        </w:rPr>
      </w:pPr>
      <w:r>
        <w:rPr>
          <w:rFonts w:ascii="Times New Roman" w:cs="Times New Roman" w:eastAsia="Times New Roman" w:hAnsi="Times New Roman"/>
          <w:sz w:val="22"/>
          <w:szCs w:val="22"/>
          <w:color w:val="auto"/>
        </w:rPr>
        <w:t>At its option and upon written notice given prior to 1:00 p.m. at least three (3) Business Days prior to the date of such prepayment, any Borrower may, subject to Section 2.2(g) hereof, prepay the Term SOFR Rate Loans in whole at any time or in part from time to time with accrued interest on the principal being prepaid to the date of such repayment. Such Borrower shall specify the date of prepayment of Advances which are Term SOFR Rate Loans and the amount of such prepayment. In the event that any prepayment of a Term SOFR Rate Loan is required or permitted on a date other than the last Business Day of the then current Interest Period with respect thereto, such Borrower shall indemnify Agent and Lenders therefor in accordance with Section 2.2(g) hereof.</w:t>
      </w:r>
    </w:p>
    <w:p>
      <w:pPr>
        <w:spacing w:after="0" w:line="183" w:lineRule="exact"/>
        <w:rPr>
          <w:sz w:val="20"/>
          <w:szCs w:val="20"/>
          <w:color w:val="auto"/>
        </w:rPr>
      </w:pPr>
    </w:p>
    <w:p>
      <w:pPr>
        <w:jc w:val="both"/>
        <w:ind w:firstLine="1497"/>
        <w:spacing w:after="0" w:line="235" w:lineRule="auto"/>
        <w:rPr>
          <w:sz w:val="20"/>
          <w:szCs w:val="20"/>
          <w:color w:val="auto"/>
        </w:rPr>
      </w:pPr>
      <w:r>
        <w:rPr>
          <w:rFonts w:ascii="Times New Roman" w:cs="Times New Roman" w:eastAsia="Times New Roman" w:hAnsi="Times New Roman"/>
          <w:sz w:val="22"/>
          <w:szCs w:val="22"/>
          <w:color w:val="auto"/>
        </w:rPr>
        <w:t>Each Borrower shall indemnify Agent and Lenders and hold Agent and Lenders harmless from and against any and all losses or expenses that Agent and Lenders may sustain or incur as a consequence of any prepayment, conversion of or any default by any Borrower in the payment of the principal of or interest on any Term SOFR Rate Loan or failure by any Borrower to complete a borrowing of, a prepayment of or conversion of or to a Term SOFR Rate Loan after notice thereof has been given, including, but not limited to, any interest payable by Agent or Lenders to lenders of funds obtained by it in order to make or maintain its Term SOFR Rate Loans hereunder. A certificate as to any additional amounts payable pursuant to the foregoing sentence submitted by Agent or any Lender to Borrowing Agent shall be conclusive absent manifest error.</w:t>
      </w:r>
    </w:p>
    <w:p>
      <w:pPr>
        <w:spacing w:after="0" w:line="183" w:lineRule="exact"/>
        <w:rPr>
          <w:sz w:val="20"/>
          <w:szCs w:val="20"/>
          <w:color w:val="auto"/>
        </w:rPr>
      </w:pPr>
    </w:p>
    <w:p>
      <w:pPr>
        <w:jc w:val="both"/>
        <w:ind w:firstLine="1497"/>
        <w:spacing w:after="0" w:line="233" w:lineRule="auto"/>
        <w:rPr>
          <w:sz w:val="20"/>
          <w:szCs w:val="20"/>
          <w:color w:val="auto"/>
        </w:rPr>
      </w:pPr>
      <w:r>
        <w:rPr>
          <w:rFonts w:ascii="Times New Roman" w:cs="Times New Roman" w:eastAsia="Times New Roman" w:hAnsi="Times New Roman"/>
          <w:sz w:val="22"/>
          <w:szCs w:val="22"/>
          <w:color w:val="auto"/>
        </w:rPr>
        <w:t>Notwithstanding any other provision hereof, if any Applicable Law, treaty, regulation or directive, or any change therein or in the interpretation or application thereof, including without limitation any Change in Law, shall make it unlawful for Lenders or any Lender (for purposes of this subsection (h), the term "Lender" shall include any Lender and the office or branch where any Lender or any Person controlling such Lender makes or maintains any Term SOFR Rate Loans) to make or maintain its Term SOFR Rate Loans, the obligation of Lenders (or such affected Lender) to make Term SOFR Rate Loans hereunder shall forthwith be cancelled and Borrowers shall, if any affected Term SOFR Rate Loans are then outstanding, promptly upon request from Agent, either pay all such affected Term SOFR Rate Loans or convert such affected Term SOFR Rate Loans into loans of another type. If any such payment or conversion of any Term SOFR Rate Loan is made on a day that is not the last day of the Interest Period applicable to such Term SOFR Rate Loan, Borrowers shall pay Agent, upon Agent's request, such amount or amounts set forth in clause (g) above. A certificate as to any additional amounts payable pursuant to the foregoing sentence submitted by Lenders to Borrowing Agent shall be conclusive absent manifest error.</w:t>
      </w:r>
    </w:p>
    <w:p>
      <w:pPr>
        <w:spacing w:after="0" w:line="187" w:lineRule="exact"/>
        <w:rPr>
          <w:sz w:val="20"/>
          <w:szCs w:val="20"/>
          <w:color w:val="auto"/>
        </w:rPr>
      </w:pPr>
    </w:p>
    <w:p>
      <w:pPr>
        <w:jc w:val="both"/>
        <w:ind w:firstLine="1497"/>
        <w:spacing w:after="0" w:line="261" w:lineRule="auto"/>
        <w:rPr>
          <w:sz w:val="20"/>
          <w:szCs w:val="20"/>
          <w:color w:val="auto"/>
        </w:rPr>
      </w:pPr>
      <w:r>
        <w:rPr>
          <w:rFonts w:ascii="Times New Roman" w:cs="Times New Roman" w:eastAsia="Times New Roman" w:hAnsi="Times New Roman"/>
          <w:sz w:val="21"/>
          <w:szCs w:val="21"/>
          <w:color w:val="auto"/>
        </w:rPr>
        <w:t>In addition, with respect to any borrowing request for a Green Loan Advance, such borrowing request shall include a certification by Borrowing Agent certifying as to the use of proceeds of such Green Loan Advance (including a description of the use thereof by type of Specified Green Investment Project) and certifying such use is consistent with the GLP.</w:t>
      </w:r>
    </w:p>
    <w:p>
      <w:pPr>
        <w:spacing w:after="0" w:line="15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i w:val="1"/>
          <w:iCs w:val="1"/>
          <w:color w:val="auto"/>
        </w:rPr>
        <w:t>Intentionally Omitted</w:t>
      </w:r>
      <w:r>
        <w:rPr>
          <w:rFonts w:ascii="Times New Roman" w:cs="Times New Roman" w:eastAsia="Times New Roman" w:hAnsi="Times New Roman"/>
          <w:sz w:val="22"/>
          <w:szCs w:val="22"/>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22" w:name="page123"/>
    <w:bookmarkEnd w:id="122"/>
    <w:p>
      <w:pPr>
        <w:ind w:left="1500"/>
        <w:spacing w:after="0"/>
        <w:rPr>
          <w:sz w:val="20"/>
          <w:szCs w:val="20"/>
          <w:color w:val="auto"/>
        </w:rPr>
      </w:pPr>
      <w:r>
        <w:rPr>
          <w:rFonts w:ascii="Times New Roman" w:cs="Times New Roman" w:eastAsia="Times New Roman" w:hAnsi="Times New Roman"/>
          <w:sz w:val="22"/>
          <w:szCs w:val="22"/>
          <w:b w:val="1"/>
          <w:bCs w:val="1"/>
          <w:u w:val="single" w:color="auto"/>
          <w:color w:val="auto"/>
        </w:rPr>
        <w:t>Swing Loans</w:t>
      </w:r>
      <w:r>
        <w:rPr>
          <w:rFonts w:ascii="Times New Roman" w:cs="Times New Roman" w:eastAsia="Times New Roman" w:hAnsi="Times New Roman"/>
          <w:sz w:val="22"/>
          <w:szCs w:val="22"/>
          <w:b w:val="1"/>
          <w:bCs w:val="1"/>
          <w:color w:val="auto"/>
        </w:rPr>
        <w:t>.</w:t>
      </w:r>
    </w:p>
    <w:p>
      <w:pPr>
        <w:spacing w:after="0" w:line="210" w:lineRule="exact"/>
        <w:rPr>
          <w:sz w:val="20"/>
          <w:szCs w:val="20"/>
          <w:color w:val="auto"/>
        </w:rPr>
      </w:pPr>
    </w:p>
    <w:p>
      <w:pPr>
        <w:jc w:val="both"/>
        <w:ind w:firstLine="1497"/>
        <w:spacing w:after="0" w:line="232" w:lineRule="auto"/>
        <w:rPr>
          <w:sz w:val="20"/>
          <w:szCs w:val="20"/>
          <w:color w:val="auto"/>
        </w:rPr>
      </w:pPr>
      <w:r>
        <w:rPr>
          <w:rFonts w:ascii="Times New Roman" w:cs="Times New Roman" w:eastAsia="Times New Roman" w:hAnsi="Times New Roman"/>
          <w:sz w:val="22"/>
          <w:szCs w:val="22"/>
          <w:color w:val="auto"/>
        </w:rPr>
        <w:t>Subject to the terms and conditions set forth in this Agreement, and in order to minimize the transfer of funds between Lenders and Agent for administrative convenience, Agent, Lenders holding Revolving Commitments and Swing Loan Lender agree that in order to facilitate the administration of this Agreement, Swing Loan Lender may, at its election and option made in its sole discretion cancelable at any time for any reason whatsoever, make swing loan advances ("</w:t>
      </w:r>
      <w:r>
        <w:rPr>
          <w:rFonts w:ascii="Times New Roman" w:cs="Times New Roman" w:eastAsia="Times New Roman" w:hAnsi="Times New Roman"/>
          <w:sz w:val="22"/>
          <w:szCs w:val="22"/>
          <w:u w:val="single" w:color="auto"/>
          <w:color w:val="auto"/>
        </w:rPr>
        <w:t>Swing Loans</w:t>
      </w:r>
      <w:r>
        <w:rPr>
          <w:rFonts w:ascii="Times New Roman" w:cs="Times New Roman" w:eastAsia="Times New Roman" w:hAnsi="Times New Roman"/>
          <w:sz w:val="22"/>
          <w:szCs w:val="22"/>
          <w:color w:val="auto"/>
        </w:rPr>
        <w:t>") available to Borrowers as provided for in this Section 2.4 at any time or from time to time after the date hereof to, but not including, the expiration of the Term, in an aggregate principal amount up to but not in excess of the Maximum Swing Loan Advance Amount, provided that the sum of the aggregate Dollar Equivalent of the Maximum Undrawn Amount of all outstanding Letters of Credit, the outstanding aggregate principal amount of Swing Loans and the Revolving Advances at any one time outstanding shall not exceed an amount equal to the Availability at such time. All Swing Loans shall be Domestic Rate Loans only. Borrowers may borrow (at the option and election of Swing Loan Lender), repay and reborrow (at the option and election of Swing Loan Lender) Swing Loans and Swing Loan Lender may make Swing Loans as provided in this Section 2.4 during the period between Settlement Dates. All Swing Loans shall be evidenced by a secured promissory note (the "</w:t>
      </w:r>
      <w:r>
        <w:rPr>
          <w:rFonts w:ascii="Times New Roman" w:cs="Times New Roman" w:eastAsia="Times New Roman" w:hAnsi="Times New Roman"/>
          <w:sz w:val="22"/>
          <w:szCs w:val="22"/>
          <w:u w:val="single" w:color="auto"/>
          <w:color w:val="auto"/>
        </w:rPr>
        <w:t>Swing Loan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Note</w:t>
      </w:r>
      <w:r>
        <w:rPr>
          <w:rFonts w:ascii="Times New Roman" w:cs="Times New Roman" w:eastAsia="Times New Roman" w:hAnsi="Times New Roman"/>
          <w:sz w:val="22"/>
          <w:szCs w:val="22"/>
          <w:color w:val="auto"/>
        </w:rPr>
        <w:t>") substantially in the form attached hereto as Exhibit 2.4(a). Swing Loan Lender's agreement to make Swing Loans under this Agreement is cancelable at any time for any reason whatsoever and the making of Swing Loans by Swing Loan Lender from time to time shall not create any duty or obligation, or establish any course of conduct, pursuant to which Swing Loan Lender shall thereafter be obligated to make Swing Loans in the future.</w:t>
      </w:r>
    </w:p>
    <w:p>
      <w:pPr>
        <w:spacing w:after="0" w:line="191" w:lineRule="exact"/>
        <w:rPr>
          <w:sz w:val="20"/>
          <w:szCs w:val="20"/>
          <w:color w:val="auto"/>
        </w:rPr>
      </w:pPr>
    </w:p>
    <w:p>
      <w:pPr>
        <w:jc w:val="both"/>
        <w:ind w:firstLine="1497"/>
        <w:spacing w:after="0" w:line="235" w:lineRule="auto"/>
        <w:rPr>
          <w:sz w:val="20"/>
          <w:szCs w:val="20"/>
          <w:color w:val="auto"/>
        </w:rPr>
      </w:pPr>
      <w:r>
        <w:rPr>
          <w:rFonts w:ascii="Times New Roman" w:cs="Times New Roman" w:eastAsia="Times New Roman" w:hAnsi="Times New Roman"/>
          <w:sz w:val="22"/>
          <w:szCs w:val="22"/>
          <w:color w:val="auto"/>
        </w:rPr>
        <w:t xml:space="preserve">Upon either (i) any request by Borrowing Agent for a Revolving Advance made pursuant to Section 2.2(a) hereof or (ii) the occurrence of any deemed request by Borrowers for a Revolving Advance pursuant to the provisions of the last sentence of Section 2.2(a) hereof, Swing Loan Lender may elect, in its sole discretion, to have such request or deemed request treated as a request for a Swing Loan, and may advance same day funds to Borrowers as a Swing Loan;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notwithstanding anything to the contrary provided for herein, Swing Loan Lender may not make Swing Loan Advances if (x) Borrowing Agent has requested a Term SOFR Rate Loan or (y) Swing Loan Lender has been notified by Agent or by Required Lenders that one or more of the applicable conditions set forth in Section 8.2 of this Agreement have not been satisfied or the Revolving Commitments have been terminated for any reason.</w:t>
      </w:r>
    </w:p>
    <w:p>
      <w:pPr>
        <w:spacing w:after="0" w:line="178" w:lineRule="exact"/>
        <w:rPr>
          <w:sz w:val="20"/>
          <w:szCs w:val="20"/>
          <w:color w:val="auto"/>
        </w:rPr>
      </w:pPr>
    </w:p>
    <w:p>
      <w:pPr>
        <w:jc w:val="both"/>
        <w:ind w:firstLine="1497"/>
        <w:spacing w:after="0" w:line="234" w:lineRule="auto"/>
        <w:rPr>
          <w:sz w:val="20"/>
          <w:szCs w:val="20"/>
          <w:color w:val="auto"/>
        </w:rPr>
      </w:pPr>
      <w:r>
        <w:rPr>
          <w:rFonts w:ascii="Times New Roman" w:cs="Times New Roman" w:eastAsia="Times New Roman" w:hAnsi="Times New Roman"/>
          <w:sz w:val="22"/>
          <w:szCs w:val="22"/>
          <w:color w:val="auto"/>
        </w:rPr>
        <w:t xml:space="preserve">Upon the making of a Swing Loan (whether before or after the occurrence of a Default or an Event of Default and regardless of whether a Settlement has been requested with respect to such Swing Loan), each Lender holding a Revolving Commitment shall be deemed, without further action by any party hereto, to have unconditionally and irrevocably purchased from Swing Loan Lender, without recourse or warranty, an undivided interest and participation in such Swing Loan in proportion to its Revolving Commitment Percentage. Swing Loan Lender or Agent may, at any time, require the Lenders holding Revolving Commitments to fund such participations by means of a Settlement as provided for in Section 2.6(d) below. From and after the date, if any, on which any Lender holding a Revolving Commitment is required to fund, and funds, its participation in any Swing Loans purchased hereunder, Agent shall promptly distribute to such Lender its Revolving Commitment Percentage of all payments of principal and interest and all proceeds of Collateral received by Agent in respect of such Swing Loan;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 Lender</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23" w:name="page124"/>
    <w:bookmarkEnd w:id="123"/>
    <w:p>
      <w:pPr>
        <w:jc w:val="both"/>
        <w:spacing w:after="0" w:line="244" w:lineRule="auto"/>
        <w:rPr>
          <w:sz w:val="20"/>
          <w:szCs w:val="20"/>
          <w:color w:val="auto"/>
        </w:rPr>
      </w:pPr>
      <w:r>
        <w:rPr>
          <w:rFonts w:ascii="Times New Roman" w:cs="Times New Roman" w:eastAsia="Times New Roman" w:hAnsi="Times New Roman"/>
          <w:sz w:val="22"/>
          <w:szCs w:val="22"/>
          <w:color w:val="auto"/>
        </w:rPr>
        <w:t>holding a Revolving Commitment shall be obligated in any event to make Revolving Advances in an amount in excess of its Revolving Commitment Amount minus its Participation Commitment (taking into account any reallocations under Section 2.22) of the Dollar Equivalent of the Maximum Undrawn Amount of all outstanding Letters of Credit.</w:t>
      </w:r>
    </w:p>
    <w:p>
      <w:pPr>
        <w:spacing w:after="0" w:line="169" w:lineRule="exact"/>
        <w:rPr>
          <w:sz w:val="20"/>
          <w:szCs w:val="20"/>
          <w:color w:val="auto"/>
        </w:rPr>
      </w:pPr>
    </w:p>
    <w:p>
      <w:pPr>
        <w:jc w:val="both"/>
        <w:ind w:firstLine="1497"/>
        <w:spacing w:after="0" w:line="233" w:lineRule="auto"/>
        <w:rPr>
          <w:sz w:val="20"/>
          <w:szCs w:val="20"/>
          <w:color w:val="auto"/>
        </w:rPr>
      </w:pPr>
      <w:r>
        <w:rPr>
          <w:rFonts w:ascii="Times New Roman" w:cs="Times New Roman" w:eastAsia="Times New Roman" w:hAnsi="Times New Roman"/>
          <w:sz w:val="22"/>
          <w:szCs w:val="22"/>
          <w:b w:val="1"/>
          <w:bCs w:val="1"/>
          <w:u w:val="single" w:color="auto"/>
          <w:color w:val="auto"/>
        </w:rPr>
        <w:t>Disbursement of Advance Proceeds</w:t>
      </w:r>
      <w:r>
        <w:rPr>
          <w:rFonts w:ascii="Times New Roman" w:cs="Times New Roman" w:eastAsia="Times New Roman" w:hAnsi="Times New Roman"/>
          <w:sz w:val="22"/>
          <w:szCs w:val="22"/>
          <w:b w:val="1"/>
          <w:bCs w:val="1"/>
          <w:color w:val="auto"/>
        </w:rPr>
        <w:t>. All Advances shall be disbursed from whichever office or other place Agent may designate from time to time and, together with any and all other Obligations of Borrowers to Agent or Lenders, shall be charged to Borrowers' Account on Agent's books. The proceeds of each Revolving Advance or Swing Loan requested by Borrowing Agent on behalf of any Borrower or deemed to have been requested by any Borrower under Sections 2.2(a), 2.6(b) or 2.14 hereof shall, (i) with respect to requested Revolving Advances, to the extent Lenders make such Revolving Advances in accordance with Section 2.2(a), 2.6(b) or 2.14 hereof, and with respect to Swing Loans made upon any request by Borrowing Agent for a Revolving Advance to the extent Swing Loan Lender makes such Swing Loan in accordance with Section 2.4(b) hereof, be made available to the applicable Borrower on the day so requested by way of credit to such Borrower's operating account at PNC, or such other bank as Borrowing Agent may designate following notification to Agent so long as Agent has agreed to such other account, in immediately available federal funds or other immediately available funds or, (ii) with respect to Revolving Advances deemed to have been requested by any Borrower or Swing Loans made upon any deemed request for a Revolving Advance by any Borrower, be disbursed to Agent to be applied to the outstanding Obligations giving rise to such deemed request. During the Term, Borrowers may use the Revolving Advances and Swing Loans by borrowing, prepaying and reborrowing, all in accordance with the terms and conditions hereof.</w:t>
      </w:r>
    </w:p>
    <w:p>
      <w:pPr>
        <w:spacing w:after="0" w:line="17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b w:val="1"/>
          <w:bCs w:val="1"/>
          <w:u w:val="single" w:color="auto"/>
          <w:color w:val="auto"/>
        </w:rPr>
        <w:t>Making and Settlement of Advances</w:t>
      </w:r>
      <w:r>
        <w:rPr>
          <w:rFonts w:ascii="Times New Roman" w:cs="Times New Roman" w:eastAsia="Times New Roman" w:hAnsi="Times New Roman"/>
          <w:sz w:val="22"/>
          <w:szCs w:val="22"/>
          <w:b w:val="1"/>
          <w:bCs w:val="1"/>
          <w:color w:val="auto"/>
        </w:rPr>
        <w:t>.</w:t>
      </w:r>
    </w:p>
    <w:p>
      <w:pPr>
        <w:spacing w:after="0" w:line="210"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Each borrowing of Revolving Advances shall be in Dollars and advanced according to the applicable Revolving Commitment Percentages of Lenders holding the Revolving Commitments (subject to any contrary terms of Section 2.22). Each borrowing of Swing Loans shall be in Dollars and advanced by Swing Loan Lender alone.</w:t>
      </w:r>
    </w:p>
    <w:p>
      <w:pPr>
        <w:spacing w:after="0" w:line="173" w:lineRule="exact"/>
        <w:rPr>
          <w:sz w:val="20"/>
          <w:szCs w:val="20"/>
          <w:color w:val="auto"/>
        </w:rPr>
      </w:pPr>
    </w:p>
    <w:p>
      <w:pPr>
        <w:jc w:val="both"/>
        <w:ind w:firstLine="1497"/>
        <w:spacing w:after="0" w:line="233" w:lineRule="auto"/>
        <w:rPr>
          <w:sz w:val="20"/>
          <w:szCs w:val="20"/>
          <w:color w:val="auto"/>
        </w:rPr>
      </w:pPr>
      <w:r>
        <w:rPr>
          <w:rFonts w:ascii="Times New Roman" w:cs="Times New Roman" w:eastAsia="Times New Roman" w:hAnsi="Times New Roman"/>
          <w:sz w:val="22"/>
          <w:szCs w:val="22"/>
          <w:color w:val="auto"/>
        </w:rPr>
        <w:t xml:space="preserve">Promptly after receipt by Agent of a request or a deemed request for a Revolving Advance pursuant to Section 2.2(a) and, with respect to Revolving Advances, to the extent Agent elects not to provide a Swing Loan or the making of a Swing Loan would result in the aggregate amount of all outstanding Swing Loans exceeding the maximum amount permitted in Section 2.4(a), Agent shall notify Lenders holding the Revolving Commitments of its receipt of such request specifying the information provided by Borrowing Agent and the apportionment among Lenders of the requested Revolving Advance as determined by Agent in accordance with the terms hereof. Each Lender shall remit the principal amount of each Revolving Advance to Agent (such that Agent is able to, and Agent shall, to the extent the applicable Lenders have made funds available to it for such purpose and subject to Section 8.2, fund such Revolving Advance to Borrowers in Dollars and immediately available funds) at the Payment Office prior to the close of business, on the applicable borrowing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any applicable Lender fails to remit such funds to Agent in a timely manner, Agent may elect in its sole discretion to fund with its own funds the Revolving Advance of such Lender on such borrowing date, and such Lender shall be subject to the repayment obligation in Section 2.6(c) hereof.</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24" w:name="page125"/>
    <w:bookmarkEnd w:id="124"/>
    <w:p>
      <w:pPr>
        <w:jc w:val="both"/>
        <w:ind w:firstLine="1497"/>
        <w:spacing w:after="0" w:line="244" w:lineRule="auto"/>
        <w:rPr>
          <w:sz w:val="20"/>
          <w:szCs w:val="20"/>
          <w:color w:val="auto"/>
        </w:rPr>
      </w:pPr>
      <w:r>
        <w:rPr>
          <w:rFonts w:ascii="Times New Roman" w:cs="Times New Roman" w:eastAsia="Times New Roman" w:hAnsi="Times New Roman"/>
          <w:sz w:val="21"/>
          <w:szCs w:val="21"/>
          <w:color w:val="auto"/>
        </w:rPr>
        <w:t>Unless Agent shall have been notified by telephone, confirmed in writing, by any Lender holding a Revolving Commitment that such Lender will not make the amount which would constitute its applicable Revolving Commitment Percentage of the requested Revolving Advance available to Agent, Agent may (but shall not be obligated to) assume that such Lender has made such amount available to Agent on such date in accordance with Section 2.6(b) and may, in reliance upon such assumption, make available to Borrowers a corresponding amount. In such event, if a Lender has not in fact made its applicable Revolving Commitment Percentage of the requested Revolving Advance available to Agent, then the applicable Lender and Borrowers severally agree to pay to Agent on demand such corresponding amount with interest thereon, for each day from and including the date such amount is made available to Borrowers through but excluding the date of payment to Agent, at (i) in the case of a payment to be made by such Lender, the greater of (A) (x) the daily average Federal Funds Effective Rate (computed on the basis of a year of three hundred sixty (360) days) during such period as quoted by Agent, times (y) such amount or (B) a rate determined by Agent in accordance with banking industry rules on interbank compensation, and (ii) in the case of a payment to be made by Borrower, the Revolving Interest Rate for Revolving Advances that are Domestic Rate Loans. If such Lender pays its share of the applicable Revolving Advance to Agent, then the amount so paid shall constitute such Lender's Revolving Advance. Any payment by Borrowers shall be without prejudice to any claim Borrowers may have against a Lender holding a Revolving Commitment that shall have failed to make such payment to Agent. A certificate of Agent submitted to any Lender or Borrower with respect to any amounts owing under this paragraph (c) shall be conclusive, in the absence of manifest error.</w:t>
      </w:r>
    </w:p>
    <w:p>
      <w:pPr>
        <w:spacing w:after="0" w:line="176" w:lineRule="exact"/>
        <w:rPr>
          <w:sz w:val="20"/>
          <w:szCs w:val="20"/>
          <w:color w:val="auto"/>
        </w:rPr>
      </w:pPr>
    </w:p>
    <w:p>
      <w:pPr>
        <w:jc w:val="both"/>
        <w:ind w:firstLine="1497"/>
        <w:spacing w:after="0" w:line="233" w:lineRule="auto"/>
        <w:rPr>
          <w:sz w:val="20"/>
          <w:szCs w:val="20"/>
          <w:color w:val="auto"/>
        </w:rPr>
      </w:pPr>
      <w:r>
        <w:rPr>
          <w:rFonts w:ascii="Times New Roman" w:cs="Times New Roman" w:eastAsia="Times New Roman" w:hAnsi="Times New Roman"/>
          <w:sz w:val="22"/>
          <w:szCs w:val="22"/>
          <w:color w:val="auto"/>
        </w:rPr>
        <w:t>Agent, on behalf of Swing Loan Lender, shall demand settlement (a "</w:t>
      </w:r>
      <w:r>
        <w:rPr>
          <w:rFonts w:ascii="Times New Roman" w:cs="Times New Roman" w:eastAsia="Times New Roman" w:hAnsi="Times New Roman"/>
          <w:sz w:val="22"/>
          <w:szCs w:val="22"/>
          <w:u w:val="single" w:color="auto"/>
          <w:color w:val="auto"/>
        </w:rPr>
        <w:t>Settlement</w:t>
      </w:r>
      <w:r>
        <w:rPr>
          <w:rFonts w:ascii="Times New Roman" w:cs="Times New Roman" w:eastAsia="Times New Roman" w:hAnsi="Times New Roman"/>
          <w:sz w:val="22"/>
          <w:szCs w:val="22"/>
          <w:color w:val="auto"/>
        </w:rPr>
        <w:t>") of all or any Swing Loans with Lenders holding the Revolving Commitments on at least a weekly basis, or on any more frequent date that Agent elects or that Swing Loan Lender at its option exercisable for any reason whatsoever may request, by notifying Lenders holding the Revolving Commitments of such requested Settlement by facsimile, telephonic or electronic transmission no later than 3:00 p.m. on the date of such requested Settlement (the "</w:t>
      </w:r>
      <w:r>
        <w:rPr>
          <w:rFonts w:ascii="Times New Roman" w:cs="Times New Roman" w:eastAsia="Times New Roman" w:hAnsi="Times New Roman"/>
          <w:sz w:val="22"/>
          <w:szCs w:val="22"/>
          <w:u w:val="single" w:color="auto"/>
          <w:color w:val="auto"/>
        </w:rPr>
        <w:t>Settlement Date</w:t>
      </w:r>
      <w:r>
        <w:rPr>
          <w:rFonts w:ascii="Times New Roman" w:cs="Times New Roman" w:eastAsia="Times New Roman" w:hAnsi="Times New Roman"/>
          <w:sz w:val="22"/>
          <w:szCs w:val="22"/>
          <w:color w:val="auto"/>
        </w:rPr>
        <w:t>"). Subject to any contrary provisions of Section 2.22, each Lender holding a Revolving Commitment shall transfer the amount of such Lender's Revolving Commitment Percentage of the outstanding principal amount (plus interest accrued thereon to the extent requested by Agent) of the applicable Swing Loan with respect to which Settlement is requested by Agent, to such account of Agent as Agent may designate not later than 5:00 p.m. on such Settlement Date if requested by Agent by 3:00 p.m., otherwise not later than 5:00 p.m. on the next Business Day. Settlements may occur at any time notwithstanding that the conditions precedent to making Revolving Advances set forth in Section 8.2 have not been satisfied or the Revolving Commitments shall have otherwise been terminated at such time. All amounts so transferred to Agent shall be applied against the amount of outstanding Swing Loans and, when so applied shall constitute Revolving Advances of such Lenders accruing interest as Domestic Rate Loans. If any such amount is not transferred to Agent by any Lender holding a Revolving Commitment on such Settlement Date, Agent shall be entitled to recover such amount on demand from such Lender together with interest thereon as specified in Section 2.6(c).</w:t>
      </w:r>
    </w:p>
    <w:p>
      <w:pPr>
        <w:spacing w:after="0" w:line="177" w:lineRule="exact"/>
        <w:rPr>
          <w:sz w:val="20"/>
          <w:szCs w:val="20"/>
          <w:color w:val="auto"/>
        </w:rPr>
      </w:pPr>
    </w:p>
    <w:p>
      <w:pPr>
        <w:jc w:val="both"/>
        <w:ind w:firstLine="1497"/>
        <w:spacing w:after="0" w:line="261" w:lineRule="auto"/>
        <w:rPr>
          <w:sz w:val="20"/>
          <w:szCs w:val="20"/>
          <w:color w:val="auto"/>
        </w:rPr>
      </w:pPr>
      <w:r>
        <w:rPr>
          <w:rFonts w:ascii="Times New Roman" w:cs="Times New Roman" w:eastAsia="Times New Roman" w:hAnsi="Times New Roman"/>
          <w:sz w:val="21"/>
          <w:szCs w:val="21"/>
          <w:color w:val="auto"/>
        </w:rPr>
        <w:t>If any Lender or Participant (a "</w:t>
      </w:r>
      <w:r>
        <w:rPr>
          <w:rFonts w:ascii="Times New Roman" w:cs="Times New Roman" w:eastAsia="Times New Roman" w:hAnsi="Times New Roman"/>
          <w:sz w:val="21"/>
          <w:szCs w:val="21"/>
          <w:u w:val="single" w:color="auto"/>
          <w:color w:val="auto"/>
        </w:rPr>
        <w:t>Benefited Lender</w:t>
      </w:r>
      <w:r>
        <w:rPr>
          <w:rFonts w:ascii="Times New Roman" w:cs="Times New Roman" w:eastAsia="Times New Roman" w:hAnsi="Times New Roman"/>
          <w:sz w:val="21"/>
          <w:szCs w:val="21"/>
          <w:color w:val="auto"/>
        </w:rPr>
        <w:t>") shall at any time receive any payment of all or part of its Advances, or interest thereon, or receive any Collateral in respect thereof (whether voluntarily or involuntarily or by set-off) in a greater proportion than any such payment to and Collateral received by any other Lender, if any, in respect of such other Lender's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25" w:name="page126"/>
    <w:bookmarkEnd w:id="125"/>
    <w:p>
      <w:pPr>
        <w:jc w:val="both"/>
        <w:spacing w:after="0" w:line="233" w:lineRule="auto"/>
        <w:rPr>
          <w:sz w:val="20"/>
          <w:szCs w:val="20"/>
          <w:color w:val="auto"/>
        </w:rPr>
      </w:pPr>
      <w:r>
        <w:rPr>
          <w:rFonts w:ascii="Times New Roman" w:cs="Times New Roman" w:eastAsia="Times New Roman" w:hAnsi="Times New Roman"/>
          <w:sz w:val="22"/>
          <w:szCs w:val="22"/>
          <w:color w:val="auto"/>
        </w:rPr>
        <w:t xml:space="preserve">Advances, or interest thereon, and such greater proportionate payment or receipt of Collateral is not expressly permitted hereunder, such Benefited Lender shall purchase for cash from the other Lenders a participation in such portion of each such other Lender's Advances, or shall provide such other Lender with the benefits of any such Collateral, or the proceeds thereof, as shall be necessary to cause such Benefited Lender to share the excess payment or benefits of such Collateral or proceeds ratably with each of the other Lenders;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if all or any portion of such excess payment or benefits is thereafter recovered from such Benefited Lender, such purchase shall be rescinded, and the purchase price and benefits returned, to the extent of such recovery, but without interest. Each Borrower consents to the foregoing and agrees, to the extent it may effectively do so under Applicable Law, that each Lender so purchasing a portion of another Lender's Advances may exercise all rights of payment (including rights of set-off) with respect to such portion as fully as if such Lender were the direct holder of such portion, and the obligations owing to each such purchasing Lender in respect of such participation and such purchased portion of any other Lender's Advances shall be part of the Obligations secured by the Collateral, and the obligations owing to each such purchasing Lender in respect of such participation and such purchased portion of any other Lender's Advances shall be part of the Obligations secured by the Collateral.</w:t>
      </w:r>
    </w:p>
    <w:p>
      <w:pPr>
        <w:spacing w:after="0" w:line="178" w:lineRule="exact"/>
        <w:rPr>
          <w:sz w:val="20"/>
          <w:szCs w:val="20"/>
          <w:color w:val="auto"/>
        </w:rPr>
      </w:pPr>
    </w:p>
    <w:p>
      <w:pPr>
        <w:jc w:val="both"/>
        <w:ind w:firstLine="1497"/>
        <w:spacing w:after="0" w:line="246" w:lineRule="auto"/>
        <w:rPr>
          <w:sz w:val="20"/>
          <w:szCs w:val="20"/>
          <w:color w:val="auto"/>
        </w:rPr>
      </w:pPr>
      <w:r>
        <w:rPr>
          <w:rFonts w:ascii="Times New Roman" w:cs="Times New Roman" w:eastAsia="Times New Roman" w:hAnsi="Times New Roman"/>
          <w:sz w:val="22"/>
          <w:szCs w:val="22"/>
          <w:b w:val="1"/>
          <w:bCs w:val="1"/>
          <w:u w:val="single" w:color="auto"/>
          <w:color w:val="auto"/>
        </w:rPr>
        <w:t>Maximum Advances</w:t>
      </w:r>
      <w:r>
        <w:rPr>
          <w:rFonts w:ascii="Times New Roman" w:cs="Times New Roman" w:eastAsia="Times New Roman" w:hAnsi="Times New Roman"/>
          <w:sz w:val="22"/>
          <w:szCs w:val="22"/>
          <w:b w:val="1"/>
          <w:bCs w:val="1"/>
          <w:color w:val="auto"/>
        </w:rPr>
        <w:t>. The aggregate balance of the sum of the aggregate Dollar Equivalent of the Maximum Undrawn Amount of all outstanding Letters of Credit, the Revolving Advances, and the Swing Loans outstanding at any time shall not exceed the Availability at such time.</w:t>
      </w:r>
    </w:p>
    <w:p>
      <w:pPr>
        <w:spacing w:after="0" w:line="16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b w:val="1"/>
          <w:bCs w:val="1"/>
          <w:u w:val="single" w:color="auto"/>
          <w:color w:val="auto"/>
        </w:rPr>
        <w:t>Manner and Repayment of Advances</w:t>
      </w:r>
      <w:r>
        <w:rPr>
          <w:rFonts w:ascii="Times New Roman" w:cs="Times New Roman" w:eastAsia="Times New Roman" w:hAnsi="Times New Roman"/>
          <w:sz w:val="22"/>
          <w:szCs w:val="22"/>
          <w:b w:val="1"/>
          <w:bCs w:val="1"/>
          <w:color w:val="auto"/>
        </w:rPr>
        <w:t>.</w:t>
      </w:r>
    </w:p>
    <w:p>
      <w:pPr>
        <w:spacing w:after="0" w:line="210" w:lineRule="exact"/>
        <w:rPr>
          <w:sz w:val="20"/>
          <w:szCs w:val="20"/>
          <w:color w:val="auto"/>
        </w:rPr>
      </w:pPr>
    </w:p>
    <w:p>
      <w:pPr>
        <w:jc w:val="both"/>
        <w:ind w:firstLine="1497"/>
        <w:spacing w:after="0" w:line="253" w:lineRule="auto"/>
        <w:rPr>
          <w:sz w:val="20"/>
          <w:szCs w:val="20"/>
          <w:color w:val="auto"/>
        </w:rPr>
      </w:pPr>
      <w:r>
        <w:rPr>
          <w:rFonts w:ascii="Times New Roman" w:cs="Times New Roman" w:eastAsia="Times New Roman" w:hAnsi="Times New Roman"/>
          <w:sz w:val="21"/>
          <w:szCs w:val="21"/>
          <w:color w:val="auto"/>
        </w:rPr>
        <w:t>The Revolving Advances and Swing Loans shall be due and payable in full on the last day of the Term subject to earlier prepayment as herein provided. Notwithstanding the foregoing, all Advances shall be subject to earlier repayment upon</w:t>
      </w:r>
    </w:p>
    <w:p>
      <w:pPr>
        <w:spacing w:after="0" w:line="1" w:lineRule="exact"/>
        <w:rPr>
          <w:sz w:val="20"/>
          <w:szCs w:val="20"/>
          <w:color w:val="auto"/>
        </w:rPr>
      </w:pPr>
    </w:p>
    <w:p>
      <w:pPr>
        <w:jc w:val="both"/>
        <w:ind w:firstLine="8"/>
        <w:spacing w:after="0" w:line="234" w:lineRule="auto"/>
        <w:tabs>
          <w:tab w:leader="none" w:pos="324"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acceleration upon the occurrence of an Event of Default under this Agreement or (y) termination of this Agreement. Each payment (including each prepayment) by any Borrower on account of the principal of and interest on the Advances shall be applied, first to the outstanding Swing Loans and next, pro rata according to the applicable Revolving Commitment Percentages of Lenders, to the outstanding Revolving Advances (subject to any contrary provisions of Section 2.22).</w:t>
      </w:r>
    </w:p>
    <w:p>
      <w:pPr>
        <w:spacing w:after="0" w:line="177" w:lineRule="exact"/>
        <w:rPr>
          <w:sz w:val="20"/>
          <w:szCs w:val="20"/>
          <w:color w:val="auto"/>
        </w:rPr>
      </w:pPr>
    </w:p>
    <w:p>
      <w:pPr>
        <w:jc w:val="both"/>
        <w:ind w:firstLine="1497"/>
        <w:spacing w:after="0" w:line="234" w:lineRule="auto"/>
        <w:rPr>
          <w:sz w:val="20"/>
          <w:szCs w:val="20"/>
          <w:color w:val="auto"/>
        </w:rPr>
      </w:pPr>
      <w:r>
        <w:rPr>
          <w:rFonts w:ascii="Times New Roman" w:cs="Times New Roman" w:eastAsia="Times New Roman" w:hAnsi="Times New Roman"/>
          <w:sz w:val="22"/>
          <w:szCs w:val="22"/>
          <w:color w:val="auto"/>
        </w:rPr>
        <w:t>Each Borrower recognizes that the amounts evidenced by checks, notes, drafts or any other items of payment relating to and/or proceeds of Collateral may not be collectible by Agent on the date received by Agent. Agent shall conditionally credit Borrowers' Account for each item of payment on the next Business Day after the Business Day on which such item of payment is received by Agent (and the Business Day on which each such item of payment is so credited shall be referred to, with respect to such item, as the "</w:t>
      </w:r>
      <w:r>
        <w:rPr>
          <w:rFonts w:ascii="Times New Roman" w:cs="Times New Roman" w:eastAsia="Times New Roman" w:hAnsi="Times New Roman"/>
          <w:sz w:val="22"/>
          <w:szCs w:val="22"/>
          <w:u w:val="single" w:color="auto"/>
          <w:color w:val="auto"/>
        </w:rPr>
        <w:t>Application Date</w:t>
      </w:r>
      <w:r>
        <w:rPr>
          <w:rFonts w:ascii="Times New Roman" w:cs="Times New Roman" w:eastAsia="Times New Roman" w:hAnsi="Times New Roman"/>
          <w:sz w:val="22"/>
          <w:szCs w:val="22"/>
          <w:color w:val="auto"/>
        </w:rPr>
        <w:t>") Agent is not, however, required to credit Borrowers' Account for the amount of any item of payment which is unsatisfactory to Agent and Agent may charge Borrowers' Account for the amount of any item of payment which is returned, for any reason whatsoever, to Agent unpaid. Subject to the foregoing, Borrowers agree that for purposes of computing the interest charges under this Agreement, each item of payment received by Agent shall be deemed applied by Agent on account of the Obligations on its respective Application Date. Borrowers further agree that there is a monthly float charge payable to Agent for Agent's sole benefit, in an amount equal to (y) the face amount</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26" w:name="page127"/>
    <w:bookmarkEnd w:id="126"/>
    <w:p>
      <w:pPr>
        <w:jc w:val="both"/>
        <w:spacing w:after="0" w:line="244" w:lineRule="auto"/>
        <w:rPr>
          <w:sz w:val="20"/>
          <w:szCs w:val="20"/>
          <w:color w:val="auto"/>
        </w:rPr>
      </w:pPr>
      <w:r>
        <w:rPr>
          <w:rFonts w:ascii="Times New Roman" w:cs="Times New Roman" w:eastAsia="Times New Roman" w:hAnsi="Times New Roman"/>
          <w:sz w:val="22"/>
          <w:szCs w:val="22"/>
          <w:color w:val="auto"/>
        </w:rPr>
        <w:t>of all items of payment received during the prior month (including items of payment received by Agent as a wire transfer or electronic depository check) multiplied by (z) the Revolving Interest Rate with respect to Domestic Rate Loans for one (1) Business Day. All proceeds received by Agent shall be applied to the Obligations in accordance with Section 4.8(h).</w:t>
      </w:r>
    </w:p>
    <w:p>
      <w:pPr>
        <w:spacing w:after="0" w:line="173" w:lineRule="exact"/>
        <w:rPr>
          <w:sz w:val="20"/>
          <w:szCs w:val="20"/>
          <w:color w:val="auto"/>
        </w:rPr>
      </w:pPr>
    </w:p>
    <w:p>
      <w:pPr>
        <w:jc w:val="both"/>
        <w:ind w:firstLine="1497"/>
        <w:spacing w:after="0" w:line="255" w:lineRule="auto"/>
        <w:rPr>
          <w:sz w:val="20"/>
          <w:szCs w:val="20"/>
          <w:color w:val="auto"/>
        </w:rPr>
      </w:pPr>
      <w:r>
        <w:rPr>
          <w:rFonts w:ascii="Times New Roman" w:cs="Times New Roman" w:eastAsia="Times New Roman" w:hAnsi="Times New Roman"/>
          <w:sz w:val="21"/>
          <w:szCs w:val="21"/>
          <w:color w:val="auto"/>
        </w:rPr>
        <w:t>All payments of principal, interest and other amounts payable hereunder, or under any of the Other Documents shall be made to Agent at the Payment Office not later than 1:00 p.m. on the due date therefor in Dollars in federal funds or other funds immediately available to Agent. Agent shall have the right to effectuate payment of any and all Obligations due and owing hereunder by charging Borrowers' Account or by making Advances as provided in Section 2.2 hereof.</w:t>
      </w:r>
    </w:p>
    <w:p>
      <w:pPr>
        <w:spacing w:after="0" w:line="162"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color w:val="auto"/>
        </w:rPr>
        <w:t>Except as expressly provided herein, all payments (including prepayments) to be made by any Borrower on account of principal, interest, fees and other amounts payable hereunder shall be made without deduction, setoff or counterclaim and shall be made to Agent on behalf of Lenders to the Payment Office, in each case on or prior to 1:00 p.m., in Dollars and in immediately available funds.</w:t>
      </w:r>
    </w:p>
    <w:p>
      <w:pPr>
        <w:spacing w:after="0" w:line="176"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b w:val="1"/>
          <w:bCs w:val="1"/>
          <w:u w:val="single" w:color="auto"/>
          <w:color w:val="auto"/>
        </w:rPr>
        <w:t>Repayment of Excess Advances</w:t>
      </w:r>
      <w:r>
        <w:rPr>
          <w:rFonts w:ascii="Times New Roman" w:cs="Times New Roman" w:eastAsia="Times New Roman" w:hAnsi="Times New Roman"/>
          <w:sz w:val="22"/>
          <w:szCs w:val="22"/>
          <w:b w:val="1"/>
          <w:bCs w:val="1"/>
          <w:color w:val="auto"/>
        </w:rPr>
        <w:t>. If at any time the aggregate balance of outstanding Revolving Advances, Swing Loans and/or Advances taken as a whole exceeds the maximum amount of such type of Advances and/or Advances taken as a whole (as applicable) permitted hereunder, such excess Advances shall be immediately due and payable without the necessity of any demand, at the Payment Office, whether or not a Default or an Event of Default has occurred.</w:t>
      </w:r>
    </w:p>
    <w:p>
      <w:pPr>
        <w:spacing w:after="0" w:line="177" w:lineRule="exact"/>
        <w:rPr>
          <w:sz w:val="20"/>
          <w:szCs w:val="20"/>
          <w:color w:val="auto"/>
        </w:rPr>
      </w:pPr>
    </w:p>
    <w:p>
      <w:pPr>
        <w:jc w:val="both"/>
        <w:ind w:firstLine="1497"/>
        <w:spacing w:after="0" w:line="234" w:lineRule="auto"/>
        <w:rPr>
          <w:sz w:val="20"/>
          <w:szCs w:val="20"/>
          <w:color w:val="auto"/>
        </w:rPr>
      </w:pPr>
      <w:r>
        <w:rPr>
          <w:rFonts w:ascii="Times New Roman" w:cs="Times New Roman" w:eastAsia="Times New Roman" w:hAnsi="Times New Roman"/>
          <w:sz w:val="22"/>
          <w:szCs w:val="22"/>
          <w:b w:val="1"/>
          <w:bCs w:val="1"/>
          <w:u w:val="single" w:color="auto"/>
          <w:color w:val="auto"/>
        </w:rPr>
        <w:t>Statement of Account</w:t>
      </w:r>
      <w:r>
        <w:rPr>
          <w:rFonts w:ascii="Times New Roman" w:cs="Times New Roman" w:eastAsia="Times New Roman" w:hAnsi="Times New Roman"/>
          <w:sz w:val="22"/>
          <w:szCs w:val="22"/>
          <w:b w:val="1"/>
          <w:bCs w:val="1"/>
          <w:color w:val="auto"/>
        </w:rPr>
        <w:t>. Agent shall maintain, in accordance with its customary procedures, a loan account ("</w:t>
      </w:r>
      <w:r>
        <w:rPr>
          <w:rFonts w:ascii="Times New Roman" w:cs="Times New Roman" w:eastAsia="Times New Roman" w:hAnsi="Times New Roman"/>
          <w:sz w:val="22"/>
          <w:szCs w:val="22"/>
          <w:b w:val="1"/>
          <w:bCs w:val="1"/>
          <w:u w:val="single" w:color="auto"/>
          <w:color w:val="auto"/>
        </w:rPr>
        <w:t>Borrowers' Account</w:t>
      </w:r>
      <w:r>
        <w:rPr>
          <w:rFonts w:ascii="Times New Roman" w:cs="Times New Roman" w:eastAsia="Times New Roman" w:hAnsi="Times New Roman"/>
          <w:sz w:val="22"/>
          <w:szCs w:val="22"/>
          <w:b w:val="1"/>
          <w:bCs w:val="1"/>
          <w:color w:val="auto"/>
        </w:rPr>
        <w:t xml:space="preserve">") in the name of Borrowers in which shall be recorded the date and amount of each Advance made by Agent or Lenders and the date and amount of each payment in respect thereof; </w:t>
      </w:r>
      <w:r>
        <w:rPr>
          <w:rFonts w:ascii="Times New Roman" w:cs="Times New Roman" w:eastAsia="Times New Roman" w:hAnsi="Times New Roman"/>
          <w:sz w:val="22"/>
          <w:szCs w:val="22"/>
          <w:b w:val="1"/>
          <w:bCs w:val="1"/>
          <w:u w:val="single" w:color="auto"/>
          <w:color w:val="auto"/>
        </w:rPr>
        <w:t>provided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however</w:t>
      </w:r>
      <w:r>
        <w:rPr>
          <w:rFonts w:ascii="Times New Roman" w:cs="Times New Roman" w:eastAsia="Times New Roman" w:hAnsi="Times New Roman"/>
          <w:sz w:val="22"/>
          <w:szCs w:val="22"/>
          <w:b w:val="1"/>
          <w:bCs w:val="1"/>
          <w:color w:val="auto"/>
        </w:rPr>
        <w:t>, the failure by Agent to record the date and amount of any Advance shall not adversely affect Agent or any Lender. Each month, Agent shall send to Borrowing Agent a statement showing the accounting for the Advances made, payments made or credited in respect thereof, and other transactions between Agent, Lenders and Borrowers during such month. The monthly statements shall be deemed correct and binding upon Borrowers in the absence of manifest error and shall constitute an account stated between Lenders and Borrowers unless Agent receives a written statement of Borrowers' specific exceptions thereto within thirty (30) days after such statement is received by Borrowing Agent. The records of Agent with respect to Borrowers' Account shall be conclusive evidence absent manifest error of the amounts of Advances and other charges thereto and of payments applicable thereto.</w:t>
      </w:r>
    </w:p>
    <w:p>
      <w:pPr>
        <w:spacing w:after="0" w:line="17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b w:val="1"/>
          <w:bCs w:val="1"/>
          <w:u w:val="single" w:color="auto"/>
          <w:color w:val="auto"/>
        </w:rPr>
        <w:t>Letters of Credit</w:t>
      </w:r>
      <w:r>
        <w:rPr>
          <w:rFonts w:ascii="Times New Roman" w:cs="Times New Roman" w:eastAsia="Times New Roman" w:hAnsi="Times New Roman"/>
          <w:sz w:val="22"/>
          <w:szCs w:val="22"/>
          <w:b w:val="1"/>
          <w:bCs w:val="1"/>
          <w:color w:val="auto"/>
        </w:rPr>
        <w:t>.</w:t>
      </w:r>
    </w:p>
    <w:p>
      <w:pPr>
        <w:spacing w:after="0" w:line="210"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color w:val="auto"/>
        </w:rPr>
        <w:t>Subject to the terms and conditions hereof, Issuer shall issue or cause the issuance of standby letters of credit denominated in either Dollars or an Optional Currency ("</w:t>
      </w:r>
      <w:r>
        <w:rPr>
          <w:rFonts w:ascii="Times New Roman" w:cs="Times New Roman" w:eastAsia="Times New Roman" w:hAnsi="Times New Roman"/>
          <w:sz w:val="22"/>
          <w:szCs w:val="22"/>
          <w:u w:val="single" w:color="auto"/>
          <w:color w:val="auto"/>
        </w:rPr>
        <w:t>Letters of Credit</w:t>
      </w:r>
      <w:r>
        <w:rPr>
          <w:rFonts w:ascii="Times New Roman" w:cs="Times New Roman" w:eastAsia="Times New Roman" w:hAnsi="Times New Roman"/>
          <w:sz w:val="22"/>
          <w:szCs w:val="22"/>
          <w:color w:val="auto"/>
        </w:rPr>
        <w:t>") for the account of any Borrower except to the extent that the issuance thereof would then cause the sum of (i) the outstanding Revolving Advances plus (ii) the outstanding Swing Loans, plus (iii) the Dollar Equivalent of the Maximum Undrawn Amount of all outstanding Letters of Credit, plus (iv) the Dollar Equivalent of the Maximum Undrawn Amount of the Letter of Credit</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27" w:name="page128"/>
    <w:bookmarkEnd w:id="127"/>
    <w:p>
      <w:pPr>
        <w:jc w:val="both"/>
        <w:spacing w:after="0" w:line="235" w:lineRule="auto"/>
        <w:rPr>
          <w:sz w:val="20"/>
          <w:szCs w:val="20"/>
          <w:color w:val="auto"/>
        </w:rPr>
      </w:pPr>
      <w:r>
        <w:rPr>
          <w:rFonts w:ascii="Times New Roman" w:cs="Times New Roman" w:eastAsia="Times New Roman" w:hAnsi="Times New Roman"/>
          <w:sz w:val="22"/>
          <w:szCs w:val="22"/>
          <w:color w:val="auto"/>
        </w:rPr>
        <w:t>to be issued to exceed the Availability at such time. The Dollar Equivalent of the Maximum Undrawn Amount of all outstanding Letters of Credit shall not exceed in the aggregate at any time the Letter of Credit Sublimit. All disbursements or payments related to Letters of Credit shall be deemed to be Domestic Rate Loans consisting of Revolving Advances and shall bear interest at the Revolving Interest Rate for Domestic Rate Loans (and if such disbursement or payment was made in an Optional Currency, the amount of such Revolving Advance shall be the Dollar Equivalent of such disbursement or payment). Letters of Credit that have not been drawn upon shall not bear interest (but fees shall accrue in respect of outstanding Letters of Credit as provided in Section 3.2 hereof).</w:t>
      </w:r>
    </w:p>
    <w:p>
      <w:pPr>
        <w:spacing w:after="0" w:line="183" w:lineRule="exact"/>
        <w:rPr>
          <w:sz w:val="20"/>
          <w:szCs w:val="20"/>
          <w:color w:val="auto"/>
        </w:rPr>
      </w:pPr>
    </w:p>
    <w:p>
      <w:pPr>
        <w:jc w:val="both"/>
        <w:ind w:firstLine="1497"/>
        <w:spacing w:after="0" w:line="245" w:lineRule="auto"/>
        <w:rPr>
          <w:sz w:val="20"/>
          <w:szCs w:val="20"/>
          <w:color w:val="auto"/>
        </w:rPr>
      </w:pPr>
      <w:r>
        <w:rPr>
          <w:rFonts w:ascii="Times New Roman" w:cs="Times New Roman" w:eastAsia="Times New Roman" w:hAnsi="Times New Roman"/>
          <w:sz w:val="21"/>
          <w:szCs w:val="21"/>
          <w:color w:val="auto"/>
        </w:rPr>
        <w:t>Notwithstanding any provision of this Agreement, Issuer shall not be under any obligation to issue any Letter of Credit if (i) any order, judgment or decree of any Governmental Body or arbitrator shall by its terms purport to enjoin or restrain Issuer from issuing any Letter of Credit, or any Law applicable to Issuer or any request or directive (whether or not having the force of law) from any Governmental Body with jurisdiction over Issuer shall prohibit, or request that Issuer refrain from, the issuance of letters of credit generally or the Letter of Credit in particular or shall impose upon Issuer with respect to the Letter of Credit any restriction, reserve or capital requirement (for which Issuer is not otherwise compensated hereunder) not in effect on the date of this Agreement, or shall impose upon Issuer any unreimbursed loss, cost or expense which was not applicable on the date of this Agreement, and which Issuer in good faith deems material to it, or (ii) the issuance of the Letter of Credit would violate one or more policies of Issuer applicable to letters of credit generally. Borrowers and the Lenders hereby acknowledge and agree that all Existing Letters of Credit shall constitute Letters of Credit under this Agreement on and after the Closing Date with the same effect as if such Existing Letters of Credit were issued by Issuer at the request of Borrowers on the Closing Date.</w:t>
      </w:r>
    </w:p>
    <w:p>
      <w:pPr>
        <w:spacing w:after="0" w:line="17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b w:val="1"/>
          <w:bCs w:val="1"/>
          <w:u w:val="single" w:color="auto"/>
          <w:color w:val="auto"/>
        </w:rPr>
        <w:t>Issuance of Letters of Credit</w:t>
      </w:r>
      <w:r>
        <w:rPr>
          <w:rFonts w:ascii="Times New Roman" w:cs="Times New Roman" w:eastAsia="Times New Roman" w:hAnsi="Times New Roman"/>
          <w:sz w:val="22"/>
          <w:szCs w:val="22"/>
          <w:b w:val="1"/>
          <w:bCs w:val="1"/>
          <w:color w:val="auto"/>
        </w:rPr>
        <w:t>.</w:t>
      </w:r>
    </w:p>
    <w:p>
      <w:pPr>
        <w:spacing w:after="0" w:line="210" w:lineRule="exact"/>
        <w:rPr>
          <w:sz w:val="20"/>
          <w:szCs w:val="20"/>
          <w:color w:val="auto"/>
        </w:rPr>
      </w:pPr>
    </w:p>
    <w:p>
      <w:pPr>
        <w:jc w:val="both"/>
        <w:ind w:firstLine="1497"/>
        <w:spacing w:after="0" w:line="235" w:lineRule="auto"/>
        <w:rPr>
          <w:sz w:val="20"/>
          <w:szCs w:val="20"/>
          <w:color w:val="auto"/>
        </w:rPr>
      </w:pPr>
      <w:r>
        <w:rPr>
          <w:rFonts w:ascii="Times New Roman" w:cs="Times New Roman" w:eastAsia="Times New Roman" w:hAnsi="Times New Roman"/>
          <w:sz w:val="22"/>
          <w:szCs w:val="22"/>
          <w:color w:val="auto"/>
        </w:rPr>
        <w:t>Borrowing Agent, on behalf of any Borrower, may request Issuer to issue or cause the issuance of a Letter of Credit by delivering to Issuer, with a copy to Agent at the Payment Office, prior to 1:00 p.m., at least five (5) Business Days prior to the proposed date of issuance, such Issuer's form of Letter of Credit Application (the "</w:t>
      </w:r>
      <w:r>
        <w:rPr>
          <w:rFonts w:ascii="Times New Roman" w:cs="Times New Roman" w:eastAsia="Times New Roman" w:hAnsi="Times New Roman"/>
          <w:sz w:val="22"/>
          <w:szCs w:val="22"/>
          <w:u w:val="single" w:color="auto"/>
          <w:color w:val="auto"/>
        </w:rPr>
        <w:t>Letter of Credit Application</w:t>
      </w:r>
      <w:r>
        <w:rPr>
          <w:rFonts w:ascii="Times New Roman" w:cs="Times New Roman" w:eastAsia="Times New Roman" w:hAnsi="Times New Roman"/>
          <w:sz w:val="22"/>
          <w:szCs w:val="22"/>
          <w:color w:val="auto"/>
        </w:rPr>
        <w:t>") completed to the satisfaction of Agent and Issuer; and, such other certificates, documents and other papers and information as Agent or Issuer may reasonably request. Issuer shall not issue any requested Letter of Credit if such Issuer has received notice from Agent that one or more of the applicable conditions set forth in Section 8.2 of this Agreement have not been satisfied or the commitments of Lenders to make Revolving Advances hereunder have been terminated for any reason.</w:t>
      </w:r>
    </w:p>
    <w:p>
      <w:pPr>
        <w:spacing w:after="0" w:line="183" w:lineRule="exact"/>
        <w:rPr>
          <w:sz w:val="20"/>
          <w:szCs w:val="20"/>
          <w:color w:val="auto"/>
        </w:rPr>
      </w:pPr>
    </w:p>
    <w:p>
      <w:pPr>
        <w:jc w:val="both"/>
        <w:ind w:firstLine="1497"/>
        <w:spacing w:after="0" w:line="236" w:lineRule="auto"/>
        <w:rPr>
          <w:sz w:val="20"/>
          <w:szCs w:val="20"/>
          <w:color w:val="auto"/>
        </w:rPr>
      </w:pPr>
      <w:r>
        <w:rPr>
          <w:rFonts w:ascii="Times New Roman" w:cs="Times New Roman" w:eastAsia="Times New Roman" w:hAnsi="Times New Roman"/>
          <w:sz w:val="22"/>
          <w:szCs w:val="22"/>
          <w:color w:val="auto"/>
        </w:rPr>
        <w:t>Each Letter of Credit shall, among other things, (i) provide for the payment of sight drafts or other written demands for payment, and (ii) have an expiry date not later than the last day of the Term unless prior to the last day of such Term, Borrowers provide Cash Collateralization for such Letter of Credit. Any Letter of Credit may provide for renewal thereof for additional one-year periods. Each standby Letter of Credit shall be subject to the International Standby Practices (International Chamber of Commerce Publication Number 590) (the "</w:t>
      </w:r>
      <w:r>
        <w:rPr>
          <w:rFonts w:ascii="Times New Roman" w:cs="Times New Roman" w:eastAsia="Times New Roman" w:hAnsi="Times New Roman"/>
          <w:sz w:val="22"/>
          <w:szCs w:val="22"/>
          <w:u w:val="single" w:color="auto"/>
          <w:color w:val="auto"/>
        </w:rPr>
        <w:t>ISP98 Rules</w:t>
      </w:r>
      <w:r>
        <w:rPr>
          <w:rFonts w:ascii="Times New Roman" w:cs="Times New Roman" w:eastAsia="Times New Roman" w:hAnsi="Times New Roman"/>
          <w:sz w:val="22"/>
          <w:szCs w:val="22"/>
          <w:color w:val="auto"/>
        </w:rPr>
        <w:t>"), or any subsequent revision thereof at the time a standby Letter of Credit is issued, as determined by Issuer.</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28" w:name="page129"/>
    <w:bookmarkEnd w:id="128"/>
    <w:p>
      <w:pPr>
        <w:ind w:left="1500"/>
        <w:spacing w:after="0"/>
        <w:rPr>
          <w:sz w:val="20"/>
          <w:szCs w:val="20"/>
          <w:color w:val="auto"/>
        </w:rPr>
      </w:pPr>
      <w:r>
        <w:rPr>
          <w:rFonts w:ascii="Times New Roman" w:cs="Times New Roman" w:eastAsia="Times New Roman" w:hAnsi="Times New Roman"/>
          <w:sz w:val="21"/>
          <w:szCs w:val="21"/>
          <w:color w:val="auto"/>
        </w:rPr>
        <w:t>Agent shall use its reasonable efforts to notify Lenders of the request by Borrowing Agent for a Letter of Credit</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hereunder.</w:t>
      </w:r>
    </w:p>
    <w:p>
      <w:pPr>
        <w:spacing w:after="0" w:line="178" w:lineRule="exact"/>
        <w:rPr>
          <w:sz w:val="20"/>
          <w:szCs w:val="20"/>
          <w:color w:val="auto"/>
        </w:rPr>
      </w:pPr>
    </w:p>
    <w:p>
      <w:pPr>
        <w:jc w:val="both"/>
        <w:ind w:firstLine="1497"/>
        <w:spacing w:after="0" w:line="237" w:lineRule="auto"/>
        <w:rPr>
          <w:sz w:val="20"/>
          <w:szCs w:val="20"/>
          <w:color w:val="auto"/>
        </w:rPr>
      </w:pPr>
      <w:r>
        <w:rPr>
          <w:rFonts w:ascii="Times New Roman" w:cs="Times New Roman" w:eastAsia="Times New Roman" w:hAnsi="Times New Roman"/>
          <w:sz w:val="22"/>
          <w:szCs w:val="22"/>
          <w:b w:val="1"/>
          <w:bCs w:val="1"/>
          <w:u w:val="single" w:color="auto"/>
          <w:color w:val="auto"/>
        </w:rPr>
        <w:t>Requirements For Issuance of Letters of Credit</w:t>
      </w:r>
      <w:r>
        <w:rPr>
          <w:rFonts w:ascii="Times New Roman" w:cs="Times New Roman" w:eastAsia="Times New Roman" w:hAnsi="Times New Roman"/>
          <w:sz w:val="22"/>
          <w:szCs w:val="22"/>
          <w:b w:val="1"/>
          <w:bCs w:val="1"/>
          <w:color w:val="auto"/>
        </w:rPr>
        <w:t>. Borrowing Agent shall authorize and direct any Issuer to name the applicable Borrower as the "Applicant" or "Account Party" of each Letter of Credit. If PNC is not the Issuer of any Letter of Credit, Borrowing Agent shall authorize and direct Issuer to deliver to Agent all instruments, documents, and other writings and property received by Issuer pursuant to the Letter of Credit and to accept and rely upon Agent's instructions and agreements with respect to all matters arising in connection with the Letter of Credit, the application therefor.</w:t>
      </w:r>
    </w:p>
    <w:p>
      <w:pPr>
        <w:spacing w:after="0" w:line="17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b w:val="1"/>
          <w:bCs w:val="1"/>
          <w:u w:val="single" w:color="auto"/>
          <w:color w:val="auto"/>
        </w:rPr>
        <w:t>Disbursements, Reimbursement</w:t>
      </w:r>
      <w:r>
        <w:rPr>
          <w:rFonts w:ascii="Times New Roman" w:cs="Times New Roman" w:eastAsia="Times New Roman" w:hAnsi="Times New Roman"/>
          <w:sz w:val="22"/>
          <w:szCs w:val="22"/>
          <w:b w:val="1"/>
          <w:bCs w:val="1"/>
          <w:color w:val="auto"/>
        </w:rPr>
        <w:t>.</w:t>
      </w:r>
    </w:p>
    <w:p>
      <w:pPr>
        <w:spacing w:after="0" w:line="210"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color w:val="auto"/>
        </w:rPr>
        <w:t>Immediately upon the issuance of each Letter of Credit, each Lender holding a Revolving Commitment shall be deemed to, and hereby irrevocably and unconditionally agrees to, purchase from Issuer a participation in each Letter of Credit and each drawing thereunder in an amount equal to such Lender's Revolving Commitment Percentage of the Maximum Undrawn Amount of such Letter of Credit (as in effect from time to time) and the amount of such drawing, respectively.</w:t>
      </w:r>
    </w:p>
    <w:p>
      <w:pPr>
        <w:spacing w:after="0" w:line="180"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1"/>
          <w:szCs w:val="21"/>
          <w:color w:val="auto"/>
        </w:rPr>
        <w:t>In the event of any request for a drawing under a Letter of Credit by the beneficiary or transferee thereof, Issuer will promptly notify Agent and Borrowing Agent. Borrowers shall reimburse (such obligation to reimburse Issuer shall sometimes be referred to as a "</w:t>
      </w:r>
      <w:r>
        <w:rPr>
          <w:rFonts w:ascii="Times New Roman" w:cs="Times New Roman" w:eastAsia="Times New Roman" w:hAnsi="Times New Roman"/>
          <w:sz w:val="21"/>
          <w:szCs w:val="21"/>
          <w:u w:val="single" w:color="auto"/>
          <w:color w:val="auto"/>
        </w:rPr>
        <w:t>Reimbursement Obligation</w:t>
      </w:r>
      <w:r>
        <w:rPr>
          <w:rFonts w:ascii="Times New Roman" w:cs="Times New Roman" w:eastAsia="Times New Roman" w:hAnsi="Times New Roman"/>
          <w:sz w:val="21"/>
          <w:szCs w:val="21"/>
          <w:color w:val="auto"/>
        </w:rPr>
        <w:t>") Issuer prior to 12:00 Noon, on or before the first Business Day after an amount is paid by Issuer under any Letter of Credit (each such date, a "</w:t>
      </w:r>
      <w:r>
        <w:rPr>
          <w:rFonts w:ascii="Times New Roman" w:cs="Times New Roman" w:eastAsia="Times New Roman" w:hAnsi="Times New Roman"/>
          <w:sz w:val="21"/>
          <w:szCs w:val="21"/>
          <w:u w:val="single" w:color="auto"/>
          <w:color w:val="auto"/>
        </w:rPr>
        <w:t>Drawing Date</w:t>
      </w:r>
      <w:r>
        <w:rPr>
          <w:rFonts w:ascii="Times New Roman" w:cs="Times New Roman" w:eastAsia="Times New Roman" w:hAnsi="Times New Roman"/>
          <w:sz w:val="21"/>
          <w:szCs w:val="21"/>
          <w:color w:val="auto"/>
        </w:rPr>
        <w:t xml:space="preserve">") in an amount equal to the amount so paid by Issuer and in the currency in which such Letter of Credit is denominated (it being understood that any amount not paid by Borrowers prior to 12:00 Noon on the date payment is made by Issuer shall bear interest at the rate applicable to Domestic Rate Loans). In the event Borrowers fail to reimburse Issuer for the full amount of any drawing under any Letter of Credit by 12:00 Noon, on the Drawing Date, Issuer will promptly notify Agent and each Lender holding a Revolving Commitment thereof, and Borrowers shall be automatically deemed to have requested that a Revolving Advance maintained as a Domestic Rate Loan (and, if the Letter of Credit was denominated in an Optional Currency, in the Dollar Equivalent amount paid by the Issuer in such other currency on the Drawing Date thereof) be made by Lenders to be disbursed on the Drawing Date under such Letter of Credit, and Lenders holding the Revolving Commitments shall be unconditionally obligated to fund such Revolving Advance (all whether or not the conditions specified in Section 8.2 are then satisfied or the commitments of Lenders to make Revolving Advances hereunder have been terminated for any reason) as provided for in Section 2.14(c) immediately below. Any notice given by Issuer pursuant to this Section 2.14(b) may be oral if promptly confirmed in writing;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lack of such a confirmation shall not affect the conclusiveness or binding effect of such notice.</w:t>
      </w:r>
    </w:p>
    <w:p>
      <w:pPr>
        <w:spacing w:after="0" w:line="176"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color w:val="auto"/>
        </w:rPr>
        <w:t>Each Lender holding a Revolving Commitment shall upon any notice pursuant to Section 2.14(b) make available to Issuer through Agent at the Payment Office an amount in immediately available funds equal to its Revolving Commitment Percentage (subject to any contrary provisions of Section 2.22) of the amount of the drawing (and, if the Letter of Credit was denominated in an Optional Currency, in the Dollar Equivalent amount paid by the Issuer in such</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29" w:name="page130"/>
    <w:bookmarkEnd w:id="129"/>
    <w:p>
      <w:pPr>
        <w:jc w:val="both"/>
        <w:spacing w:after="0" w:line="235" w:lineRule="auto"/>
        <w:rPr>
          <w:sz w:val="20"/>
          <w:szCs w:val="20"/>
          <w:color w:val="auto"/>
        </w:rPr>
      </w:pPr>
      <w:r>
        <w:rPr>
          <w:rFonts w:ascii="Times New Roman" w:cs="Times New Roman" w:eastAsia="Times New Roman" w:hAnsi="Times New Roman"/>
          <w:sz w:val="22"/>
          <w:szCs w:val="22"/>
          <w:color w:val="auto"/>
        </w:rPr>
        <w:t>other currency on the Drawing Date thereof), whereupon the participating Lenders shall (subject to Section 2.14(d)) each be deemed to have made a Revolving Advance maintained as a Domestic Rate Loan to Borrowers in that amount. If any Lender holding a Revolving Commitment so notified fails to make available to Agent, for the benefit of Issuer, the amount of such Lender's Revolving Commitment Percentage of such amount by 2:00 p.m. on the Drawing Date, then interest shall accrue on such Lender's obligation to make such payment, from the Drawing Date to the date on which such Lender makes such payment</w:t>
      </w:r>
    </w:p>
    <w:p>
      <w:pPr>
        <w:ind w:left="280" w:hanging="272"/>
        <w:spacing w:after="0" w:line="230" w:lineRule="auto"/>
        <w:tabs>
          <w:tab w:leader="none" w:pos="280"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a rate per annum equal to the Federal Funds Effective Rate during the first three (3) days following the Drawing Date and</w:t>
      </w:r>
    </w:p>
    <w:p>
      <w:pPr>
        <w:spacing w:after="0" w:line="1" w:lineRule="exact"/>
        <w:rPr>
          <w:rFonts w:ascii="Times New Roman" w:cs="Times New Roman" w:eastAsia="Times New Roman" w:hAnsi="Times New Roman"/>
          <w:sz w:val="22"/>
          <w:szCs w:val="22"/>
          <w:color w:val="auto"/>
        </w:rPr>
      </w:pPr>
    </w:p>
    <w:p>
      <w:pPr>
        <w:jc w:val="both"/>
        <w:ind w:firstLine="8"/>
        <w:spacing w:after="0" w:line="232" w:lineRule="auto"/>
        <w:tabs>
          <w:tab w:leader="none" w:pos="325"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a rate per annum equal to the rate applicable to Revolving Advances maintained as a Domestic Rate Loan on and after the fourth day following the Drawing Date. Agent and Issuer will promptly give notice of the occurrence of the Drawing Date, but failure of Agent or Issuer to give any such notice on the Drawing Date or in sufficient time to enable any Lender holding a Revolving Commitment to effect such payment on such date shall not relieve such Lender from its obligations under this Section 2.14(c), provided that such Lender shall not be obligated to pay interest as provided in Section 2.14(c)(i) and (ii) until and commencing from the date of receipt of notice from Agent or Issuer of a drawing.</w:t>
      </w:r>
    </w:p>
    <w:p>
      <w:pPr>
        <w:spacing w:after="0" w:line="183" w:lineRule="exact"/>
        <w:rPr>
          <w:sz w:val="20"/>
          <w:szCs w:val="20"/>
          <w:color w:val="auto"/>
        </w:rPr>
      </w:pPr>
    </w:p>
    <w:p>
      <w:pPr>
        <w:jc w:val="both"/>
        <w:ind w:firstLine="1497"/>
        <w:spacing w:after="0" w:line="234" w:lineRule="auto"/>
        <w:rPr>
          <w:sz w:val="20"/>
          <w:szCs w:val="20"/>
          <w:color w:val="auto"/>
        </w:rPr>
      </w:pPr>
      <w:r>
        <w:rPr>
          <w:rFonts w:ascii="Times New Roman" w:cs="Times New Roman" w:eastAsia="Times New Roman" w:hAnsi="Times New Roman"/>
          <w:sz w:val="22"/>
          <w:szCs w:val="22"/>
          <w:color w:val="auto"/>
        </w:rPr>
        <w:t>With respect to any unreimbursed drawing that is not converted into a Revolving Advance maintained as a Domestic Rate Loan to Borrowers in whole or in part as contemplated by Section 2.14(b), because of Borrowers' failure to satisfy the conditions set forth in Section 8.2 hereof (other than any notice requirements) or for any other reason, Borrowers shall be deemed to have incurred from Agent a borrowing (each a "</w:t>
      </w:r>
      <w:r>
        <w:rPr>
          <w:rFonts w:ascii="Times New Roman" w:cs="Times New Roman" w:eastAsia="Times New Roman" w:hAnsi="Times New Roman"/>
          <w:sz w:val="22"/>
          <w:szCs w:val="22"/>
          <w:u w:val="single" w:color="auto"/>
          <w:color w:val="auto"/>
        </w:rPr>
        <w:t>Letter of Credit Borrowing</w:t>
      </w:r>
      <w:r>
        <w:rPr>
          <w:rFonts w:ascii="Times New Roman" w:cs="Times New Roman" w:eastAsia="Times New Roman" w:hAnsi="Times New Roman"/>
          <w:sz w:val="22"/>
          <w:szCs w:val="22"/>
          <w:color w:val="auto"/>
        </w:rPr>
        <w:t>") in the amount of such drawing (and, if the Letter of Credit was denominated in an Optional Currency, in the Dollar Equivalent amount paid by the Issuer in such other currency on the Drawing Date thereof). Such Letter of Credit Borrowing shall be due and payable on demand (together with interest) and shall bear interest at the rate per annum applicable to a Revolving Advance maintained as a Domestic Rate Loan. Each applicable Lender's payment to Agent pursuant to Section 2.14(c) shall be deemed to be a payment in respect of its participation in such Letter of Credit Borrowing and shall constitute a "</w:t>
      </w:r>
      <w:r>
        <w:rPr>
          <w:rFonts w:ascii="Times New Roman" w:cs="Times New Roman" w:eastAsia="Times New Roman" w:hAnsi="Times New Roman"/>
          <w:sz w:val="22"/>
          <w:szCs w:val="22"/>
          <w:u w:val="single" w:color="auto"/>
          <w:color w:val="auto"/>
        </w:rPr>
        <w:t>Participation Advance</w:t>
      </w:r>
      <w:r>
        <w:rPr>
          <w:rFonts w:ascii="Times New Roman" w:cs="Times New Roman" w:eastAsia="Times New Roman" w:hAnsi="Times New Roman"/>
          <w:sz w:val="22"/>
          <w:szCs w:val="22"/>
          <w:color w:val="auto"/>
        </w:rPr>
        <w:t>" from such Lender in satisfaction of its Participation Commitment in respect of the applicable Letter of Credit under this Section 2.14.</w:t>
      </w:r>
    </w:p>
    <w:p>
      <w:pPr>
        <w:spacing w:after="0" w:line="179"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color w:val="auto"/>
        </w:rPr>
        <w:t>Each applicable Lender's Participation Commitment in respect of the Letters of Credit shall continue until the last to occur of any of the following events: (x) Issuer ceases to be obligated to issue or cause to be issued Letters of Credit hereunder; (y) no Letter of Credit issued or created hereunder remains outstanding and uncancelled; and (z) all Persons (other than Borrowers) have been fully reimbursed for all payments made under or relating to Letters of Credit.</w:t>
      </w:r>
    </w:p>
    <w:p>
      <w:pPr>
        <w:spacing w:after="0" w:line="180" w:lineRule="exact"/>
        <w:rPr>
          <w:sz w:val="20"/>
          <w:szCs w:val="20"/>
          <w:color w:val="auto"/>
        </w:rPr>
      </w:pPr>
    </w:p>
    <w:p>
      <w:pPr>
        <w:jc w:val="both"/>
        <w:ind w:firstLine="1497"/>
        <w:spacing w:after="0" w:line="235" w:lineRule="auto"/>
        <w:rPr>
          <w:sz w:val="20"/>
          <w:szCs w:val="20"/>
          <w:color w:val="auto"/>
        </w:rPr>
      </w:pPr>
      <w:r>
        <w:rPr>
          <w:rFonts w:ascii="Times New Roman" w:cs="Times New Roman" w:eastAsia="Times New Roman" w:hAnsi="Times New Roman"/>
          <w:sz w:val="22"/>
          <w:szCs w:val="22"/>
          <w:color w:val="auto"/>
        </w:rPr>
        <w:t>Notwithstanding anything contained herein to the contrary, any Revolving Advance made to fund a payment or disbursement with respect to any Letter of Credit denominated in an Optional Currency will be in Dollars. Borrowers hereby indemnify Issuer for any losses, costs, expenses and damages (the "</w:t>
      </w:r>
      <w:r>
        <w:rPr>
          <w:rFonts w:ascii="Times New Roman" w:cs="Times New Roman" w:eastAsia="Times New Roman" w:hAnsi="Times New Roman"/>
          <w:sz w:val="22"/>
          <w:szCs w:val="22"/>
          <w:u w:val="single" w:color="auto"/>
          <w:color w:val="auto"/>
        </w:rPr>
        <w:t>Currency Losses</w:t>
      </w:r>
      <w:r>
        <w:rPr>
          <w:rFonts w:ascii="Times New Roman" w:cs="Times New Roman" w:eastAsia="Times New Roman" w:hAnsi="Times New Roman"/>
          <w:sz w:val="22"/>
          <w:szCs w:val="22"/>
          <w:color w:val="auto"/>
        </w:rPr>
        <w:t>") that Issuer suffers as a result of the failure of Borrowers to reimburse Issuer in the applicable Optional Currency as required pursuant to Section 2.14(b) for any payment or disbursement made by Issuer in such Optional Currency. Without limiting the foregoing, all Currency Losses shall include interest on any unreimbursed payment or distribution by Issuer in an Optional Currency at a rate reasonably determined by Issuer as a rate comparable to the current rate on Domestic Rate Loans.</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30" w:name="page131"/>
    <w:bookmarkEnd w:id="130"/>
    <w:p>
      <w:pPr>
        <w:ind w:left="1500"/>
        <w:spacing w:after="0"/>
        <w:rPr>
          <w:sz w:val="20"/>
          <w:szCs w:val="20"/>
          <w:color w:val="auto"/>
        </w:rPr>
      </w:pPr>
      <w:r>
        <w:rPr>
          <w:rFonts w:ascii="Times New Roman" w:cs="Times New Roman" w:eastAsia="Times New Roman" w:hAnsi="Times New Roman"/>
          <w:sz w:val="22"/>
          <w:szCs w:val="22"/>
          <w:b w:val="1"/>
          <w:bCs w:val="1"/>
          <w:u w:val="single" w:color="auto"/>
          <w:color w:val="auto"/>
        </w:rPr>
        <w:t>Repayment of Participation Advances</w:t>
      </w:r>
      <w:r>
        <w:rPr>
          <w:rFonts w:ascii="Times New Roman" w:cs="Times New Roman" w:eastAsia="Times New Roman" w:hAnsi="Times New Roman"/>
          <w:sz w:val="22"/>
          <w:szCs w:val="22"/>
          <w:b w:val="1"/>
          <w:bCs w:val="1"/>
          <w:color w:val="auto"/>
        </w:rPr>
        <w:t>.</w:t>
      </w:r>
    </w:p>
    <w:p>
      <w:pPr>
        <w:spacing w:after="0" w:line="210" w:lineRule="exact"/>
        <w:rPr>
          <w:sz w:val="20"/>
          <w:szCs w:val="20"/>
          <w:color w:val="auto"/>
        </w:rPr>
      </w:pPr>
    </w:p>
    <w:p>
      <w:pPr>
        <w:jc w:val="both"/>
        <w:ind w:firstLine="1497"/>
        <w:spacing w:after="0" w:line="234" w:lineRule="auto"/>
        <w:rPr>
          <w:sz w:val="20"/>
          <w:szCs w:val="20"/>
          <w:color w:val="auto"/>
        </w:rPr>
      </w:pPr>
      <w:r>
        <w:rPr>
          <w:rFonts w:ascii="Times New Roman" w:cs="Times New Roman" w:eastAsia="Times New Roman" w:hAnsi="Times New Roman"/>
          <w:sz w:val="22"/>
          <w:szCs w:val="22"/>
          <w:color w:val="auto"/>
        </w:rPr>
        <w:t>Upon (and only upon) receipt by Agent for the account of Issuer of immediately available funds in Dollars from Borrowers (i) in reimbursement of any payment made by Issuer or Agent under the Letter of Credit with respect to which any Lender has made a Participation Advance to Agent, or (ii) in payment of interest on such a payment made by Issuer or Agent under such a Letter of Credit, Agent will pay to each Lender holding a Revolving Commitment, in the same funds as those received by Agent, the amount of such Lender's Revolving Commitment Percentage of such funds, except Agent shall retain the amount of the Revolving Commitment Percentage of such funds of any Lender holding a Revolving Commitment that did not make a Participation Advance in respect of such payment by Agent (and, to the extent that any of the other Lender(s) holding the Revolving Commitment have funded any portion such Defaulting Lender's Participation Advance in accordance with the provisions of Section 2.22, Agent will pay over to such Non-Defaulting Lenders a pro rata portion of the funds so withheld from such Defaulting Lender).</w:t>
      </w:r>
    </w:p>
    <w:p>
      <w:pPr>
        <w:spacing w:after="0" w:line="179" w:lineRule="exact"/>
        <w:rPr>
          <w:sz w:val="20"/>
          <w:szCs w:val="20"/>
          <w:color w:val="auto"/>
        </w:rPr>
      </w:pPr>
    </w:p>
    <w:p>
      <w:pPr>
        <w:jc w:val="both"/>
        <w:ind w:firstLine="1497"/>
        <w:spacing w:after="0" w:line="236" w:lineRule="auto"/>
        <w:rPr>
          <w:sz w:val="20"/>
          <w:szCs w:val="20"/>
          <w:color w:val="auto"/>
        </w:rPr>
      </w:pPr>
      <w:r>
        <w:rPr>
          <w:rFonts w:ascii="Times New Roman" w:cs="Times New Roman" w:eastAsia="Times New Roman" w:hAnsi="Times New Roman"/>
          <w:sz w:val="22"/>
          <w:szCs w:val="22"/>
          <w:color w:val="auto"/>
        </w:rPr>
        <w:t>If Issuer or Agent is required at any time to return to any Borrower, or to a trustee, receiver, liquidator, custodian, or any official in any insolvency proceeding, any portion of the payments made by Borrowers to Issuer or Agent pursuant to Section 2.15(a) in reimbursement of a payment made under the Letter of Credit or interest or fee thereon, each applicable Lender shall, on demand of Agent, forthwith return to Issuer or Agent the amount of its Revolving Commitment Percentage of the Dollar Equivalent of any amounts so returned by Issuer or Agent plus interest at the Federal Funds Effective Rate.</w:t>
      </w:r>
    </w:p>
    <w:p>
      <w:pPr>
        <w:spacing w:after="0" w:line="177" w:lineRule="exact"/>
        <w:rPr>
          <w:sz w:val="20"/>
          <w:szCs w:val="20"/>
          <w:color w:val="auto"/>
        </w:rPr>
      </w:pPr>
    </w:p>
    <w:p>
      <w:pPr>
        <w:jc w:val="both"/>
        <w:ind w:firstLine="1497"/>
        <w:spacing w:after="0" w:line="247" w:lineRule="auto"/>
        <w:rPr>
          <w:sz w:val="20"/>
          <w:szCs w:val="20"/>
          <w:color w:val="auto"/>
        </w:rPr>
      </w:pPr>
      <w:r>
        <w:rPr>
          <w:rFonts w:ascii="Times New Roman" w:cs="Times New Roman" w:eastAsia="Times New Roman" w:hAnsi="Times New Roman"/>
          <w:sz w:val="21"/>
          <w:szCs w:val="21"/>
          <w:b w:val="1"/>
          <w:bCs w:val="1"/>
          <w:u w:val="single" w:color="auto"/>
          <w:color w:val="auto"/>
        </w:rPr>
        <w:t>Documentation</w:t>
      </w:r>
      <w:r>
        <w:rPr>
          <w:rFonts w:ascii="Times New Roman" w:cs="Times New Roman" w:eastAsia="Times New Roman" w:hAnsi="Times New Roman"/>
          <w:sz w:val="21"/>
          <w:szCs w:val="21"/>
          <w:b w:val="1"/>
          <w:bCs w:val="1"/>
          <w:color w:val="auto"/>
        </w:rPr>
        <w:t>. Each Borrower agrees to be bound by the terms of the Letter of Credit Application and by Issuer's interpretations of any Letter of Credit issued on behalf of such Borrower and by Issuer's written regulations and customary practices relating to letters of credit, though Issuer's interpretations may be different from such Borrower's own. In the event of a conflict between the Letter of Credit Application and this Agreement, this Agreement shall govern. It is understood and agreed that, except in the case of gross negligence, bad faith or willful misconduct (as determined by a court of competent jurisdiction in a final non-appealable judgment), Issuer shall not be liable for any error, negligence and/or mistakes, whether of omission or commission, in following Borrowing Agent's or any Borrower's instructions or those contained in the Letters of Credit or any modifications, amendments or supplements thereto.</w:t>
      </w:r>
    </w:p>
    <w:p>
      <w:pPr>
        <w:spacing w:after="0" w:line="172"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b w:val="1"/>
          <w:bCs w:val="1"/>
          <w:u w:val="single" w:color="auto"/>
          <w:color w:val="auto"/>
        </w:rPr>
        <w:t>Determination to Honor Drawing Request</w:t>
      </w:r>
      <w:r>
        <w:rPr>
          <w:rFonts w:ascii="Times New Roman" w:cs="Times New Roman" w:eastAsia="Times New Roman" w:hAnsi="Times New Roman"/>
          <w:sz w:val="22"/>
          <w:szCs w:val="22"/>
          <w:b w:val="1"/>
          <w:bCs w:val="1"/>
          <w:color w:val="auto"/>
        </w:rPr>
        <w:t>. In determining whether to honor any request for drawing under any Letter of Credit by the beneficiary thereof, Issuer shall be responsible only to determine that the documents and certificates required to be delivered under such Letter of Credit have been delivered and that they comply on their face with the requirements of such Letter of Credit and that any other drawing condition appearing on the face of such Letter of Credit has been satisfied in the manner so set forth.</w:t>
      </w:r>
    </w:p>
    <w:p>
      <w:pPr>
        <w:spacing w:after="0" w:line="177" w:lineRule="exact"/>
        <w:rPr>
          <w:sz w:val="20"/>
          <w:szCs w:val="20"/>
          <w:color w:val="auto"/>
        </w:rPr>
      </w:pPr>
    </w:p>
    <w:p>
      <w:pPr>
        <w:jc w:val="both"/>
        <w:ind w:firstLine="1497"/>
        <w:spacing w:after="0" w:line="241" w:lineRule="auto"/>
        <w:rPr>
          <w:sz w:val="20"/>
          <w:szCs w:val="20"/>
          <w:color w:val="auto"/>
        </w:rPr>
      </w:pPr>
      <w:r>
        <w:rPr>
          <w:rFonts w:ascii="Times New Roman" w:cs="Times New Roman" w:eastAsia="Times New Roman" w:hAnsi="Times New Roman"/>
          <w:sz w:val="22"/>
          <w:szCs w:val="22"/>
          <w:b w:val="1"/>
          <w:bCs w:val="1"/>
          <w:u w:val="single" w:color="auto"/>
          <w:color w:val="auto"/>
        </w:rPr>
        <w:t>Nature of Participation and Reimbursement Obligations</w:t>
      </w:r>
      <w:r>
        <w:rPr>
          <w:rFonts w:ascii="Times New Roman" w:cs="Times New Roman" w:eastAsia="Times New Roman" w:hAnsi="Times New Roman"/>
          <w:sz w:val="22"/>
          <w:szCs w:val="22"/>
          <w:b w:val="1"/>
          <w:bCs w:val="1"/>
          <w:color w:val="auto"/>
        </w:rPr>
        <w:t>. The obligation of each Lender holding a Revolving Commitment in accordance with this Agreement to make the Revolving Advances or Participation Advances as a result of a drawing under a Letter of Credit, and the obligations of Borrowers to reimburse Issuer upon a draw under a Letter of Credit, shall</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31" w:name="page132"/>
    <w:bookmarkEnd w:id="131"/>
    <w:p>
      <w:pPr>
        <w:ind w:right="20"/>
        <w:spacing w:after="0" w:line="262" w:lineRule="auto"/>
        <w:rPr>
          <w:sz w:val="20"/>
          <w:szCs w:val="20"/>
          <w:color w:val="auto"/>
        </w:rPr>
      </w:pPr>
      <w:r>
        <w:rPr>
          <w:rFonts w:ascii="Times New Roman" w:cs="Times New Roman" w:eastAsia="Times New Roman" w:hAnsi="Times New Roman"/>
          <w:sz w:val="22"/>
          <w:szCs w:val="22"/>
          <w:b w:val="1"/>
          <w:bCs w:val="1"/>
          <w:color w:val="auto"/>
        </w:rPr>
        <w:t>be absolute, unconditional and irrevocable, and shall be performed strictly in accordance with the terms of this Section 2.18 under all circumstances, including the following circumstances:</w:t>
      </w:r>
    </w:p>
    <w:p>
      <w:pPr>
        <w:spacing w:after="0" w:line="154"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any set-off, counterclaim, recoupment, defense or other right which such Lender or any Borrower, as the case may be, may have against Issuer, Agent, any Borrower or Lender, as the case may be, or any other Person for any reason whatsoever;</w:t>
      </w:r>
    </w:p>
    <w:p>
      <w:pPr>
        <w:spacing w:after="0" w:line="173"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color w:val="auto"/>
        </w:rPr>
        <w:t>the failure of any Borrower or any other Person to comply, in connection with a Letter of Credit Borrowing, with the conditions set forth in this Agreement for the making of a Revolving Advance, it being acknowledged that such conditions are not required for the making of a Letter of Credit Borrowing and the obligation of Lenders to make Participation Advances under Section 2.14;</w:t>
      </w:r>
    </w:p>
    <w:p>
      <w:pPr>
        <w:spacing w:after="0" w:line="18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any lack of validity or enforceability of any Letter of Credit;</w:t>
      </w:r>
    </w:p>
    <w:p>
      <w:pPr>
        <w:spacing w:after="0" w:line="206" w:lineRule="exact"/>
        <w:rPr>
          <w:sz w:val="20"/>
          <w:szCs w:val="20"/>
          <w:color w:val="auto"/>
        </w:rPr>
      </w:pPr>
    </w:p>
    <w:p>
      <w:pPr>
        <w:jc w:val="both"/>
        <w:ind w:firstLine="1497"/>
        <w:spacing w:after="0" w:line="235" w:lineRule="auto"/>
        <w:rPr>
          <w:sz w:val="20"/>
          <w:szCs w:val="20"/>
          <w:color w:val="auto"/>
        </w:rPr>
      </w:pPr>
      <w:r>
        <w:rPr>
          <w:rFonts w:ascii="Times New Roman" w:cs="Times New Roman" w:eastAsia="Times New Roman" w:hAnsi="Times New Roman"/>
          <w:sz w:val="22"/>
          <w:szCs w:val="22"/>
          <w:color w:val="auto"/>
        </w:rPr>
        <w:t>any claim of breach of warranty that might be made by any Borrower, Agent, Issuer or any Lender against the beneficiary of a Letter of Credit, or the existence of any claim, set-off, recoupment, counterclaim, cross-claim, defense or other right which any Borrower, Agent, Issuer or any Lender may have at any time against a beneficiary, any successor beneficiary or any transferee of any Letter of Credit or assignee of the proceeds thereof (or any Persons for whom any such transferee or assignee may be acting), Issuer, Agent or any Lender or any other Person, whether in connection with this Agreement, the transactions contemplated herein or any unrelated transaction (including any underlying transaction between any Borrower or any Subsidiaries of such Borrower and the beneficiary for which any Letter of Credit was procured);</w:t>
      </w:r>
    </w:p>
    <w:p>
      <w:pPr>
        <w:spacing w:after="0" w:line="183"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color w:val="auto"/>
        </w:rPr>
        <w:t>the lack of power or authority of any signer of (or any defect in or forgery of any signature or endorsement on) or the form of or lack of validity, sufficiency, accuracy, enforceability or genuineness of any draft, demand, instrument, certificate or other document presented under or in connection with any Letter of Credit, or any fraud or alleged fraud in connection with any Letter of Credit, or the transport of any property or provision of services relating to a Letter of Credit, in each case even if Issuer or any of Issuer's Affiliates has been notified thereof;</w:t>
      </w:r>
    </w:p>
    <w:p>
      <w:pPr>
        <w:spacing w:after="0" w:line="177"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color w:val="auto"/>
        </w:rPr>
        <w:t>payment by Issuer under any Letter of Credit against presentation of a demand, draft or certificate or other document which is forged or does not fully comply with the terms of such Letter of Credit (provided that the foregoing shall not excuse Issuer from any obligation under the terms of any applicable Letter of Credit to require the presentation of documents that on their face appear to satisfy any applicable requirements for drawing under such Letter of Credit prior to honoring or paying any such draw);</w:t>
      </w:r>
    </w:p>
    <w:p>
      <w:pPr>
        <w:spacing w:after="0" w:line="177"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the solvency of, or any acts or omissions by, any beneficiary of any Letter of Credit, or any other Person having a role in any transaction or obligation relating to a Letter of Credit, or the existence, nature, quality, quantity, condition, value or other characteristic of any property or services relating to a Letter of Credit;</w:t>
      </w:r>
    </w:p>
    <w:p>
      <w:pPr>
        <w:spacing w:after="0" w:line="173"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any failure by Issuer or any of Issuer's Affiliates to issue any Letter of Credit in the form requested by Borrowing Agent, unless Agent and Issuer have each received written notice from Borrowing Agent of such failure within three (3) Business Days after Issuer shall have</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32" w:name="page133"/>
    <w:bookmarkEnd w:id="132"/>
    <w:p>
      <w:pPr>
        <w:jc w:val="both"/>
        <w:spacing w:after="0" w:line="258" w:lineRule="auto"/>
        <w:rPr>
          <w:sz w:val="20"/>
          <w:szCs w:val="20"/>
          <w:color w:val="auto"/>
        </w:rPr>
      </w:pPr>
      <w:r>
        <w:rPr>
          <w:rFonts w:ascii="Times New Roman" w:cs="Times New Roman" w:eastAsia="Times New Roman" w:hAnsi="Times New Roman"/>
          <w:sz w:val="22"/>
          <w:szCs w:val="22"/>
          <w:color w:val="auto"/>
        </w:rPr>
        <w:t>furnished Agent and Borrowing Agent a copy of such Letter of Credit and such error is material and no drawing has been made thereon prior to receipt of such notice;</w:t>
      </w:r>
    </w:p>
    <w:p>
      <w:pPr>
        <w:spacing w:after="0" w:line="15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the occurrence of any Material Adverse Effect;</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any breach of this Agreement or any Other Document by any party thereto;</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the occurrence or continuance of an insolvency proceeding with respect to any Borrower or any Guarantor;</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the fact that a Default or an Event of Default shall have occurred and be continuing;</w:t>
      </w:r>
    </w:p>
    <w:p>
      <w:pPr>
        <w:spacing w:after="0" w:line="206"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the fact that the Term shall have expired or this Agreement or the obligations of Lenders to make Advances have been terminated; and</w:t>
      </w:r>
    </w:p>
    <w:p>
      <w:pPr>
        <w:spacing w:after="0" w:line="15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any other circumstance or happening whatsoever, whether or not similar to any of the foregoing.</w:t>
      </w:r>
    </w:p>
    <w:p>
      <w:pPr>
        <w:spacing w:after="0" w:line="20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b w:val="1"/>
          <w:bCs w:val="1"/>
          <w:u w:val="single" w:color="auto"/>
          <w:color w:val="auto"/>
        </w:rPr>
        <w:t>Liability for Acts and Omissions</w:t>
      </w:r>
      <w:r>
        <w:rPr>
          <w:rFonts w:ascii="Times New Roman" w:cs="Times New Roman" w:eastAsia="Times New Roman" w:hAnsi="Times New Roman"/>
          <w:sz w:val="22"/>
          <w:szCs w:val="22"/>
          <w:b w:val="1"/>
          <w:bCs w:val="1"/>
          <w:color w:val="auto"/>
        </w:rPr>
        <w:t>.</w:t>
      </w:r>
    </w:p>
    <w:p>
      <w:pPr>
        <w:spacing w:after="0" w:line="210" w:lineRule="exact"/>
        <w:rPr>
          <w:sz w:val="20"/>
          <w:szCs w:val="20"/>
          <w:color w:val="auto"/>
        </w:rPr>
      </w:pPr>
    </w:p>
    <w:p>
      <w:pPr>
        <w:jc w:val="both"/>
        <w:ind w:firstLine="1497"/>
        <w:spacing w:after="0" w:line="232" w:lineRule="auto"/>
        <w:rPr>
          <w:sz w:val="20"/>
          <w:szCs w:val="20"/>
          <w:color w:val="auto"/>
        </w:rPr>
      </w:pPr>
      <w:r>
        <w:rPr>
          <w:rFonts w:ascii="Times New Roman" w:cs="Times New Roman" w:eastAsia="Times New Roman" w:hAnsi="Times New Roman"/>
          <w:sz w:val="22"/>
          <w:szCs w:val="22"/>
          <w:color w:val="auto"/>
        </w:rPr>
        <w:t>As between Borrowers and Issuer, Swing Loan Lender, Agent and Lenders, each Borrower assumes all risks of the acts and omissions of, or misuse of the Letters of Credit by, the respective beneficiaries of such Letters of Credit. In furtherance and not in limitation of the foregoing, Issuer shall not be responsible for: (i) the form, validity, sufficiency, accuracy, genuineness or legal effect of any document submitted by any party in connection with the application for an issuance of any such Letter of Credit, even if it should in fact prove to be in any or all respects invalid, insufficient, inaccurate, fraudulent or forged (even if Issuer or any of its Affiliates shall have been notified thereof); (ii) the validity or sufficiency of any instrument transferring or assigning or purporting to transfer or assign any such Letter of Credit or the rights or benefits thereunder or proceeds thereof, in whole or in part, which may prove to be invalid or ineffective for any reason; (iii) the failure of the beneficiary of any such Letter of Credit, or any other party to which such Letter of Credit may be transferred, to comply fully with any conditions required in order to draw upon such Letter of Credit or any other claim of any Borrower against any beneficiary of such Letter of Credit, or any such transferee, or any dispute between or among any Borrower and any beneficiary of any Letter of Credit or any such transferee; (iv) errors, omissions, interruptions or delays in transmission or delivery of any messages, by mail, cable, facsimile, telex or otherwise, whether or not they be in cipher; (v) errors in interpretation of technical terms; (vi) any loss or delay in the transmission or otherwise of any document required in order to make a drawing under any such Letter of Credit or of the proceeds thereof; (vii) the misapplication by the beneficiary of any such Letter of Credit of the proceeds of any drawing under such Letter of Credit; or (viii) any consequences arising from causes beyond the control of Issuer, including any Governmental Acts, and none of the above shall affect or impair, or prevent the vesting of, any of Issuer's rights or powers hereunder. Nothing in the preceding sentence shall relieve Issuer from liability for Issuer's gross negligence, bad faith or willful misconduct (as determined by a court of competent jurisdiction in a final non-appealable judgment) in connection with actions or omissions described in such clauses (i) through (viii) of such sentence. In no event shall Issuer or Issuer's Affiliates be liable to any Borrower for any indirect, consequential, incidental, punitive, exemplary or special damages or expenses (including without limitation</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22"/>
          <w:szCs w:val="22"/>
          <w:color w:val="auto"/>
        </w:rPr>
        <w:t>attorneys' fees), or for any damages resulting from any change in the value of any property relating to a Letter of Credit.</w:t>
      </w:r>
    </w:p>
    <w:p>
      <w:pPr>
        <w:spacing w:after="0" w:line="206"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1"/>
          <w:szCs w:val="21"/>
          <w:color w:val="auto"/>
        </w:rPr>
        <w:t>Without limiting the generality of the foregoing, Issuer and each of its Affiliates: (i) may rely on any oral or other communication believed in good faith by Issuer or such Affiliate to have been authorized or given by or on behalf of the applicant for a Letter of Credit; (ii) may honor any presentation if the documents presented appear on their face substantially to comply with the terms and conditions of the relevant Letter of Credit; (iii) may honor a previously dishonored presentation under a Letter of Credit, whether such dishonor was pursuant to a court order, to settle or compromise any claim of wrongful dishonor, or otherwise, and shall be entitled to reimbursement to the same extent as if such presentation had initially been honored, together with any interest paid by Issuer or its Affiliates; (iv) may honor any drawing that is payable upon presentation of a statement advising negotiation or payment, upon receipt of such statement (even if such statement indicates that a draft or other document is being delivered separately), and shall not be liable for any failure of any such draft or other document to arrive, or to conform in any way with the relevant Letter of Credit; (v) may pay any paying or negotiating bank claiming that it rightfully honored under the laws or practices of the place where such bank is located; and (vi) may settle or adjust any claim or demand made on Issuer or its Affiliate in any way related to any order issued at the applicant's request to an air carrier, a letter of guarantee or of indemnity issued to a steamship agent or carrier or any document or instrument of like import (each an "</w:t>
      </w:r>
      <w:r>
        <w:rPr>
          <w:rFonts w:ascii="Times New Roman" w:cs="Times New Roman" w:eastAsia="Times New Roman" w:hAnsi="Times New Roman"/>
          <w:sz w:val="21"/>
          <w:szCs w:val="21"/>
          <w:u w:val="single" w:color="auto"/>
          <w:color w:val="auto"/>
        </w:rPr>
        <w:t>Order</w:t>
      </w:r>
      <w:r>
        <w:rPr>
          <w:rFonts w:ascii="Times New Roman" w:cs="Times New Roman" w:eastAsia="Times New Roman" w:hAnsi="Times New Roman"/>
          <w:sz w:val="21"/>
          <w:szCs w:val="21"/>
          <w:color w:val="auto"/>
        </w:rPr>
        <w:t>") and honor any drawing in connection with any Letter of Credit that is the subject of such Order, notwithstanding that any drafts or other documents presented in connection with such Letter of Credit fail to conform in any way with such Letter of Credit.</w:t>
      </w:r>
    </w:p>
    <w:p>
      <w:pPr>
        <w:spacing w:after="0" w:line="178"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color w:val="auto"/>
        </w:rPr>
        <w:t>In furtherance and extension and not in limitation of the specific provisions set forth above, any action taken or omitted by Issuer under or in connection with the Letters of Credit issued by it or any documents and certificates delivered thereunder, if taken or omitted in good faith and without gross negligence (as determined by a court of competent jurisdiction in a final non-appealable judgment), shall not put Issuer under any resulting liability to any Borrower, Agent or any Lender.</w:t>
      </w:r>
    </w:p>
    <w:p>
      <w:pPr>
        <w:spacing w:after="0" w:line="17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b w:val="1"/>
          <w:bCs w:val="1"/>
          <w:u w:val="single" w:color="auto"/>
          <w:color w:val="auto"/>
        </w:rPr>
        <w:t>Voluntary and Mandatory Prepayments</w:t>
      </w:r>
      <w:r>
        <w:rPr>
          <w:rFonts w:ascii="Times New Roman" w:cs="Times New Roman" w:eastAsia="Times New Roman" w:hAnsi="Times New Roman"/>
          <w:sz w:val="22"/>
          <w:szCs w:val="22"/>
          <w:b w:val="1"/>
          <w:bCs w:val="1"/>
          <w:color w:val="auto"/>
        </w:rPr>
        <w:t>.</w:t>
      </w:r>
    </w:p>
    <w:p>
      <w:pPr>
        <w:spacing w:after="0" w:line="210"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color w:val="auto"/>
        </w:rPr>
        <w:t xml:space="preserve">Borrowers may prepay the Revolving Loans at any time in whole or in part. Borrowers may permanently reduce the Revolving Commitments (with a corresponding reduction in the Maximum Revolving Advance Amount) at any time;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(i) Borrowing Agent shall provide at least three (3) Business Days prior written notice of such reduction, (ii) such reduction shall be in increments of $10,000,000, (iii) such reduction shall be permanent and pro rata among the Lenders, and (iv) in no event shall the Revolving Commitments be reduced below $150,000,000.</w:t>
      </w:r>
    </w:p>
    <w:p>
      <w:pPr>
        <w:spacing w:after="0" w:line="17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u w:val="single" w:color="auto"/>
          <w:color w:val="auto"/>
        </w:rPr>
        <w:t>Mandatory Prepayment</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If on any Computation Date, the aggregate balance of Revolving Advances plus Swing Loans plus the Dollar Equivalent of the Maximum Undrawn Amount of all outstanding Letters of Credit exceeds Availability, then Agent shall notify Borrower of the same. The Borrowers shall pay or prepay one (1) Business Day after receiving such notice such that the</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34" w:name="page135"/>
    <w:bookmarkEnd w:id="134"/>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aggregate balance of Revolving Advances plus Swing Loans plus the Dollar Equivalent of the Maximum Undrawn Amount of all outstanding Letters of Credit does not exceed Availability after giving effect to such payments or prepayments.</w:t>
      </w:r>
    </w:p>
    <w:p>
      <w:pPr>
        <w:spacing w:after="0" w:line="158" w:lineRule="exact"/>
        <w:rPr>
          <w:sz w:val="20"/>
          <w:szCs w:val="20"/>
          <w:color w:val="auto"/>
        </w:rPr>
      </w:pPr>
    </w:p>
    <w:p>
      <w:pPr>
        <w:jc w:val="both"/>
        <w:ind w:firstLine="1497"/>
        <w:spacing w:after="0" w:line="236" w:lineRule="auto"/>
        <w:rPr>
          <w:sz w:val="20"/>
          <w:szCs w:val="20"/>
          <w:color w:val="auto"/>
        </w:rPr>
      </w:pPr>
      <w:r>
        <w:rPr>
          <w:rFonts w:ascii="Times New Roman" w:cs="Times New Roman" w:eastAsia="Times New Roman" w:hAnsi="Times New Roman"/>
          <w:sz w:val="22"/>
          <w:szCs w:val="22"/>
          <w:color w:val="auto"/>
        </w:rPr>
        <w:t>Promptly upon any voluntary or involuntary disposition (including as a result of a casualty or condemnation but excluding dispositions under clauses (a) through (g), (i), (l) and (n) of the definition of Permitted Dispositions) by GLDD or any other Credit Party, Borrowers shall prepay the outstanding principal amount of the Obligations in accordance with clause (c) below in an amount equal to one hundred percent (100%) of the Net Cash Proceeds received by such Person in connection with such disposition. Nothing contained in this Section 2.20(b) shall permit GLDD or any of its Subsidiaries to make a disposition of any property other than in accordance with Section 7.1.</w:t>
      </w:r>
    </w:p>
    <w:p>
      <w:pPr>
        <w:spacing w:after="0" w:line="181" w:lineRule="exact"/>
        <w:rPr>
          <w:sz w:val="20"/>
          <w:szCs w:val="20"/>
          <w:color w:val="auto"/>
        </w:rPr>
      </w:pPr>
    </w:p>
    <w:p>
      <w:pPr>
        <w:jc w:val="both"/>
        <w:ind w:firstLine="1497"/>
        <w:spacing w:after="0" w:line="236" w:lineRule="auto"/>
        <w:rPr>
          <w:sz w:val="20"/>
          <w:szCs w:val="20"/>
          <w:color w:val="auto"/>
        </w:rPr>
      </w:pPr>
      <w:r>
        <w:rPr>
          <w:rFonts w:ascii="Times New Roman" w:cs="Times New Roman" w:eastAsia="Times New Roman" w:hAnsi="Times New Roman"/>
          <w:sz w:val="22"/>
          <w:szCs w:val="22"/>
          <w:color w:val="auto"/>
        </w:rPr>
        <w:t>Promptly upon the issuance or incurrence by GLDD or any other Credit Party of any Indebtedness (other than Permitted Indebtedness), or upon an issuance of Equity Interests by GLDD or any other Credit Party (other than any Excluded Equity Issuance), Borrowers shall prepay the outstanding principal amount of the Obligations in accordance with clause (c) below in an amount equal to one hundred percent (100%) of the Net Cash Proceeds received by such Person in connection therewith. The provisions of this Section 2.20(b) shall not be deemed to be implied consent to any such issuance, incurrence or sale otherwise prohibited by the terms and conditions of this Agreement.</w:t>
      </w:r>
    </w:p>
    <w:p>
      <w:pPr>
        <w:spacing w:after="0" w:line="181"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Promptly upon the receipt by GLDD or any other Credit Party of any Extraordinary Receipts, Borrowers shall prepay the outstanding principal of the Obligations in accordance with clause (c) below in an amount equal to one hundred percent (100%) of the Net Cash Proceeds received by such Person in connection therewith.</w:t>
      </w:r>
    </w:p>
    <w:p>
      <w:pPr>
        <w:spacing w:after="0" w:line="173"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1"/>
          <w:szCs w:val="21"/>
          <w:color w:val="auto"/>
        </w:rPr>
        <w:t>Notwithstanding the foregoing, with respect to Net Cash Proceeds received by GLDD or any other Credit Party in connection with a disposition (including as a result of a casualty or condemnation) that are otherwise required to be used to prepay the Obligations pursuant to Section 2.20(b)(ii), up to $30,000,000 in the aggregate in any fiscal year of the Net Cash Proceeds from all such dispositions shall not be required to be so used to prepay the Obligations to the extent that such Net Cash Proceeds are used to replace, repair or restore properties or assets that were the subject of such disposition with like assets, provided that, (A) no Default or Event of Default has occurred and is continuing on the date such Person receives such Net Cash Proceeds, (B) Borrowing Agent delivers a certificate to Agent within ten (10) days after such disposition stating that such Net Cash Proceeds shall be used to so replace, repair or restore properties or assets as provided above within a period not to exceed three hundred sixty five (365) days after the date of receipt of such Net Cash Proceeds (which certificate shall set forth estimates of the Net Cash Proceeds to be so expended), (C) if a Cash Dominion Period is in effect, such Net Cash Proceeds are deposited and maintained in a Controlled Account and (D) upon the earlier of (1) the expiration of the three hundred sixty five (365) day period pursuant to clause (B) above or (2) the occurrence and during the continuance of a Default or an Event of Default, such Net Cash Proceeds, if not theretofore so used, shall be used to prepay the Obligations in accordance with Section 2.20(b)(ii).</w:t>
      </w:r>
    </w:p>
    <w:p>
      <w:pPr>
        <w:spacing w:after="0" w:line="183"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Each prepayment pursuant to Section 2.20(b)(ii), (iii) and (iv) shall be applied, first, to the Swing Loans and Revolving Advances, until paid in full (with, if an Event of Default exists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35" w:name="page136"/>
    <w:bookmarkEnd w:id="135"/>
    <w:p>
      <w:pPr>
        <w:jc w:val="both"/>
        <w:spacing w:after="0" w:line="234" w:lineRule="auto"/>
        <w:rPr>
          <w:sz w:val="20"/>
          <w:szCs w:val="20"/>
          <w:color w:val="auto"/>
        </w:rPr>
      </w:pPr>
      <w:r>
        <w:rPr>
          <w:rFonts w:ascii="Times New Roman" w:cs="Times New Roman" w:eastAsia="Times New Roman" w:hAnsi="Times New Roman"/>
          <w:sz w:val="22"/>
          <w:szCs w:val="22"/>
          <w:color w:val="auto"/>
        </w:rPr>
        <w:t xml:space="preserve">and the Required Lenders so elect, a corresponding permanent reduction in the Revolving Commitments (and corresponding reduction in the Maximum Revolving Advance Amount)), until paid in full, and second, to Cash Collateralize the Letters of Credit (with, if an Event of Default exists and the Required Lenders so elect, a corresponding permanent reduction in the Revolving Commitments (and corresponding reduction in the Maximum Revolving Advance Amount));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if an Application Event has occurred and is continuing and funds are to be applied pursuant to Section 11.5, such payments shall be applied in respect of the Obligations in accordance with Section 11.5. Notwithstanding the foregoing, Net Cash Proceeds of events described in Sections 2.20(b)(ii), (iii) and (iv) may be applied to the Second Lien Loan to the extent that such Net Cash Proceeds are applied, first, to the Obligations under this Section 2.20 in accordance with Section 2.13(j) of the Second Lien Credit Agreement (as in effect on the Amendment No. 1 Closing Date).</w:t>
      </w:r>
    </w:p>
    <w:p>
      <w:pPr>
        <w:spacing w:after="0" w:line="17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b w:val="1"/>
          <w:bCs w:val="1"/>
          <w:u w:val="single" w:color="auto"/>
          <w:color w:val="auto"/>
        </w:rPr>
        <w:t>Use of Proceeds</w:t>
      </w:r>
      <w:r>
        <w:rPr>
          <w:rFonts w:ascii="Times New Roman" w:cs="Times New Roman" w:eastAsia="Times New Roman" w:hAnsi="Times New Roman"/>
          <w:sz w:val="22"/>
          <w:szCs w:val="22"/>
          <w:b w:val="1"/>
          <w:bCs w:val="1"/>
          <w:color w:val="auto"/>
        </w:rPr>
        <w:t>.</w:t>
      </w:r>
    </w:p>
    <w:p>
      <w:pPr>
        <w:spacing w:after="0" w:line="210" w:lineRule="exact"/>
        <w:rPr>
          <w:sz w:val="20"/>
          <w:szCs w:val="20"/>
          <w:color w:val="auto"/>
        </w:rPr>
      </w:pPr>
    </w:p>
    <w:p>
      <w:pPr>
        <w:ind w:left="1940" w:hanging="435"/>
        <w:spacing w:after="0"/>
        <w:tabs>
          <w:tab w:leader="none" w:pos="1940" w:val="left"/>
        </w:tabs>
        <w:numPr>
          <w:ilvl w:val="1"/>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Borrowers shall apply the proceeds of Advances to (i) pay fees and expenses relating to this transaction,</w:t>
      </w:r>
    </w:p>
    <w:p>
      <w:pPr>
        <w:spacing w:after="0" w:line="14" w:lineRule="exact"/>
        <w:rPr>
          <w:rFonts w:ascii="Times New Roman" w:cs="Times New Roman" w:eastAsia="Times New Roman" w:hAnsi="Times New Roman"/>
          <w:sz w:val="22"/>
          <w:szCs w:val="22"/>
          <w:color w:val="auto"/>
        </w:rPr>
      </w:pPr>
    </w:p>
    <w:p>
      <w:pPr>
        <w:jc w:val="both"/>
        <w:ind w:firstLine="8"/>
        <w:spacing w:after="0" w:line="232" w:lineRule="auto"/>
        <w:tabs>
          <w:tab w:leader="none" w:pos="319"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finance Permitted Acquisitions, (iii) provide for its working capital needs, general corporate purposes and reimburse drawings under Letters of Credit, and (iv) with respect to Green Loan Advances, only to fund capital investments related to present and future capital investments related to renewable energy and clean transportation projects, for example SRI vessels to support the installation of offshore wind and Environmentally Sustainable Management of Living Natural Resources and Land Use (the "</w:t>
      </w:r>
      <w:r>
        <w:rPr>
          <w:rFonts w:ascii="Times New Roman" w:cs="Times New Roman" w:eastAsia="Times New Roman" w:hAnsi="Times New Roman"/>
          <w:sz w:val="22"/>
          <w:szCs w:val="22"/>
          <w:u w:val="single" w:color="auto"/>
          <w:color w:val="auto"/>
        </w:rPr>
        <w:t>Specified Green Investment Projects</w:t>
      </w:r>
      <w:r>
        <w:rPr>
          <w:rFonts w:ascii="Times New Roman" w:cs="Times New Roman" w:eastAsia="Times New Roman" w:hAnsi="Times New Roman"/>
          <w:sz w:val="22"/>
          <w:szCs w:val="22"/>
          <w:color w:val="auto"/>
        </w:rPr>
        <w:t>"), in each case, that are consistent with the "Green Loan Principles" set forth by the Loan Syndications and Trading Association (the "</w:t>
      </w:r>
      <w:r>
        <w:rPr>
          <w:rFonts w:ascii="Times New Roman" w:cs="Times New Roman" w:eastAsia="Times New Roman" w:hAnsi="Times New Roman"/>
          <w:sz w:val="22"/>
          <w:szCs w:val="22"/>
          <w:u w:val="single" w:color="auto"/>
          <w:color w:val="auto"/>
        </w:rPr>
        <w:t>GLP</w:t>
      </w:r>
      <w:r>
        <w:rPr>
          <w:rFonts w:ascii="Times New Roman" w:cs="Times New Roman" w:eastAsia="Times New Roman" w:hAnsi="Times New Roman"/>
          <w:sz w:val="22"/>
          <w:szCs w:val="22"/>
          <w:color w:val="auto"/>
        </w:rPr>
        <w:t>").</w:t>
      </w:r>
    </w:p>
    <w:p>
      <w:pPr>
        <w:spacing w:after="0" w:line="183" w:lineRule="exact"/>
        <w:rPr>
          <w:sz w:val="20"/>
          <w:szCs w:val="20"/>
          <w:color w:val="auto"/>
        </w:rPr>
      </w:pPr>
    </w:p>
    <w:p>
      <w:pPr>
        <w:jc w:val="both"/>
        <w:ind w:firstLine="1497"/>
        <w:spacing w:after="0" w:line="261" w:lineRule="auto"/>
        <w:rPr>
          <w:sz w:val="20"/>
          <w:szCs w:val="20"/>
          <w:color w:val="auto"/>
        </w:rPr>
      </w:pPr>
      <w:r>
        <w:rPr>
          <w:rFonts w:ascii="Times New Roman" w:cs="Times New Roman" w:eastAsia="Times New Roman" w:hAnsi="Times New Roman"/>
          <w:sz w:val="21"/>
          <w:szCs w:val="21"/>
          <w:color w:val="auto"/>
        </w:rPr>
        <w:t>Without limiting the generality of Section 2.21(a) above, neither Borrowers, Guarantors nor any other Person which may in the future become party to this Agreement or the Other Documents as a Borrower or Guarantor, intends to use nor shall they use any portion of the proceeds of the Advances, directly or indirectly, for any purpose in violation of Applicable Law.</w:t>
      </w:r>
    </w:p>
    <w:p>
      <w:pPr>
        <w:spacing w:after="0" w:line="15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b w:val="1"/>
          <w:bCs w:val="1"/>
          <w:u w:val="single" w:color="auto"/>
          <w:color w:val="auto"/>
        </w:rPr>
        <w:t>Defaulting Lender</w:t>
      </w:r>
      <w:r>
        <w:rPr>
          <w:rFonts w:ascii="Times New Roman" w:cs="Times New Roman" w:eastAsia="Times New Roman" w:hAnsi="Times New Roman"/>
          <w:sz w:val="22"/>
          <w:szCs w:val="22"/>
          <w:b w:val="1"/>
          <w:bCs w:val="1"/>
          <w:color w:val="auto"/>
        </w:rPr>
        <w:t>.</w:t>
      </w:r>
    </w:p>
    <w:p>
      <w:pPr>
        <w:spacing w:after="0" w:line="210"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Notwithstanding anything to the contrary contained herein, in the event any Lender is a Defaulting Lender, all rights and obligations hereunder of such Defaulting Lender and of the other parties hereto shall be modified to the extent of the express provisions of this Section 2.22 so long as such Lender is a Defaulting Lender.</w:t>
      </w:r>
    </w:p>
    <w:p>
      <w:pPr>
        <w:spacing w:after="0" w:line="173" w:lineRule="exact"/>
        <w:rPr>
          <w:sz w:val="20"/>
          <w:szCs w:val="20"/>
          <w:color w:val="auto"/>
        </w:rPr>
      </w:pPr>
    </w:p>
    <w:p>
      <w:pPr>
        <w:jc w:val="both"/>
        <w:ind w:firstLine="1505"/>
        <w:spacing w:after="0" w:line="235" w:lineRule="auto"/>
        <w:tabs>
          <w:tab w:leader="none" w:pos="1821"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otherwise expressly provided for in this Section 2.22, Revolving Advances shall be made pro rata from Lenders holding Revolving Commitments which are not Defaulting Lenders based on their respective Revolving Commitment Percentages, and no Revolving Commitment Percentage of any Lender or any pro rata share of any Revolving Advances required to be advanced by any Lender shall be increased as a result of any Lender being a Defaulting Lender. Amounts received in respect of principal of any type of Revolving Advances shall be applied to reduce such type of Revolving Advances of each Lender (other than any Defaulting Lender) holding a Revolving Commitment in accordance with their Revolving Commitment Percentages;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Agent shall not be obligated to transfer to a Defaulting Lender any payments received by Agent for Defaulting Lender's benefit, nor shall a Defaulting</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36" w:name="page137"/>
    <w:bookmarkEnd w:id="136"/>
    <w:p>
      <w:pPr>
        <w:jc w:val="both"/>
        <w:spacing w:after="0" w:line="244" w:lineRule="auto"/>
        <w:rPr>
          <w:sz w:val="20"/>
          <w:szCs w:val="20"/>
          <w:color w:val="auto"/>
        </w:rPr>
      </w:pPr>
      <w:r>
        <w:rPr>
          <w:rFonts w:ascii="Times New Roman" w:cs="Times New Roman" w:eastAsia="Times New Roman" w:hAnsi="Times New Roman"/>
          <w:sz w:val="22"/>
          <w:szCs w:val="22"/>
          <w:color w:val="auto"/>
        </w:rPr>
        <w:t>Lender be entitled to the sharing of any payments hereunder (including any principal, interest or fees). Amounts payable to a Defaulting Lender shall instead be paid to or retained by Agent. Agent may hold and, in its discretion, re-lend to a Borrower the amount of such payments received or retained by it for the account of such Defaulting Lender.</w:t>
      </w:r>
    </w:p>
    <w:p>
      <w:pPr>
        <w:spacing w:after="0" w:line="17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Fees pursuant to Section 3.3 hereof shall cease to accrue in favor of such Defaulting Lender.</w:t>
      </w:r>
    </w:p>
    <w:p>
      <w:pPr>
        <w:spacing w:after="0" w:line="206"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If any Swing Loans are outstanding or any Letters of Credit (or drawings under any Letter of Credit for which Issuer has not been reimbursed) are outstanding or exist at the time any such Lender holding a Revolving Commitment becomes a Defaulting Lender, then:</w:t>
      </w:r>
    </w:p>
    <w:p>
      <w:pPr>
        <w:spacing w:after="0" w:line="173" w:lineRule="exact"/>
        <w:rPr>
          <w:sz w:val="20"/>
          <w:szCs w:val="20"/>
          <w:color w:val="auto"/>
        </w:rPr>
      </w:pPr>
    </w:p>
    <w:p>
      <w:pPr>
        <w:jc w:val="both"/>
        <w:ind w:left="760" w:firstLine="2243"/>
        <w:spacing w:after="0" w:line="234" w:lineRule="auto"/>
        <w:tabs>
          <w:tab w:leader="none" w:pos="3438"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Defaulting Lender's Participation Commitment in the outstanding Swing Loans and of the Maximum Undrawn Amount of all outstanding Letters of Credit shall be reallocated among Non-Defaulting Lenders holding Revolving Commitments in proportion to the respective Revolving Commitment Percentages of such Non-Defaulting Lenders to the extent (but only to the extent) that (x) such reallocation does not cause the aggregate sum of outstanding Revolving Advances made by any such Non-Defaulting Lender holding a Revolving Commitment plus such Lender's reallocated Participation Commitment in the outstanding Swing Loans plus such Lender's reallocated Participation Commitment in the aggregate Maximum Undrawn Amount of all outstanding Letters of Credit to exceed the Revolving Commitment Amount of any such Non-Defaulting Lender, and (y) no Default or Event of Default has occurred and is continuing at such time;</w:t>
      </w:r>
    </w:p>
    <w:p>
      <w:pPr>
        <w:spacing w:after="0" w:line="183" w:lineRule="exact"/>
        <w:rPr>
          <w:rFonts w:ascii="Times New Roman" w:cs="Times New Roman" w:eastAsia="Times New Roman" w:hAnsi="Times New Roman"/>
          <w:sz w:val="22"/>
          <w:szCs w:val="22"/>
          <w:color w:val="auto"/>
        </w:rPr>
      </w:pPr>
    </w:p>
    <w:p>
      <w:pPr>
        <w:jc w:val="both"/>
        <w:ind w:left="760" w:firstLine="2243"/>
        <w:spacing w:after="0" w:line="236" w:lineRule="auto"/>
        <w:tabs>
          <w:tab w:leader="none" w:pos="3438"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reallocation described in clause (A) above cannot, or can only partially, be effected, Borrowers shall within one (1) Business Day following notice by Agent (x) first, prepay any outstanding Swing Loans that cannot be reallocated, and (y) second, Cash Collateralize for the benefit of Issuer, Borrowers' obligations corresponding to such Defaulting Lender's Participation Commitment in the Maximum Undrawn Amount of all Letters of Credit (after giving effect to any partial reallocation pursuant to clause (A) above) in accordance with Section 3.2(b) for so long as such Obligations are outstanding;</w:t>
      </w:r>
    </w:p>
    <w:p>
      <w:pPr>
        <w:spacing w:after="0" w:line="181" w:lineRule="exact"/>
        <w:rPr>
          <w:rFonts w:ascii="Times New Roman" w:cs="Times New Roman" w:eastAsia="Times New Roman" w:hAnsi="Times New Roman"/>
          <w:sz w:val="22"/>
          <w:szCs w:val="22"/>
          <w:color w:val="auto"/>
        </w:rPr>
      </w:pPr>
    </w:p>
    <w:p>
      <w:pPr>
        <w:jc w:val="both"/>
        <w:ind w:left="760" w:firstLine="2243"/>
        <w:spacing w:after="0" w:line="236" w:lineRule="auto"/>
        <w:tabs>
          <w:tab w:leader="none" w:pos="3438"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Borrowers Cash Collateralize any portion of such Defaulting Lender's Participation Commitment in the Maximum Undrawn Amount of all Letters of Credit pursuant to clause (B) above, Borrowers shall not be required to pay any fees to such Defaulting Lender pursuant to Section 3.2(a) with respect to such Defaulting Lender's Revolving Commitment Percentage of Maximum Undrawn Amount of all Letters of Credit during the period such Defaulting Lender's Participation Commitment in the Maximum Undrawn Amount of all Letters of Credit are Cash Collateralized;</w:t>
      </w:r>
    </w:p>
    <w:p>
      <w:pPr>
        <w:spacing w:after="0" w:line="181" w:lineRule="exact"/>
        <w:rPr>
          <w:rFonts w:ascii="Times New Roman" w:cs="Times New Roman" w:eastAsia="Times New Roman" w:hAnsi="Times New Roman"/>
          <w:sz w:val="22"/>
          <w:szCs w:val="22"/>
          <w:color w:val="auto"/>
        </w:rPr>
      </w:pPr>
    </w:p>
    <w:p>
      <w:pPr>
        <w:jc w:val="both"/>
        <w:ind w:left="760" w:right="20" w:firstLine="2243"/>
        <w:spacing w:after="0" w:line="239" w:lineRule="auto"/>
        <w:tabs>
          <w:tab w:leader="none" w:pos="3438"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Defaulting Lender's Participation Commitment in the Maximum Undrawn Amount of all Letters of Credit is reallocated pursuant to clause (A) above, then the fees payable to Lenders holding Revolving Commitments pursuant to Section 3.2(a) shall be adjusted and reallocated to Non-Defaulting Lenders holding Revolving Commitments in accordance with such reallocation; and</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37" w:name="page138"/>
    <w:bookmarkEnd w:id="137"/>
    <w:p>
      <w:pPr>
        <w:jc w:val="both"/>
        <w:ind w:left="760" w:firstLine="2243"/>
        <w:spacing w:after="0" w:line="241" w:lineRule="auto"/>
        <w:tabs>
          <w:tab w:leader="none" w:pos="3438" w:val="left"/>
        </w:tabs>
        <w:numPr>
          <w:ilvl w:val="1"/>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all or any portion of such Defaulting Lender's Participation Commitment in the Maximum Undrawn Amount of all Letters of Credit is neither reallocated nor Cash Collateralized pursuant to clauses</w:t>
      </w:r>
    </w:p>
    <w:p>
      <w:pPr>
        <w:spacing w:after="0" w:line="1" w:lineRule="exact"/>
        <w:rPr>
          <w:rFonts w:ascii="Times New Roman" w:cs="Times New Roman" w:eastAsia="Times New Roman" w:hAnsi="Times New Roman"/>
          <w:sz w:val="22"/>
          <w:szCs w:val="22"/>
          <w:color w:val="auto"/>
        </w:rPr>
      </w:pPr>
    </w:p>
    <w:p>
      <w:pPr>
        <w:jc w:val="both"/>
        <w:ind w:left="760" w:hanging="3"/>
        <w:spacing w:after="0" w:line="233" w:lineRule="auto"/>
        <w:tabs>
          <w:tab w:leader="none" w:pos="1119"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or (B) above, then, without prejudice to any rights or remedies of Issuer or any other Lender hereunder, all Letter of Credit Fees payable under Section 3.2(a) with respect to such Defaulting Lender's Revolving Commitment Percentage of the Maximum Undrawn Amount of all Letters of Credit shall be payable to the Issuer (and not to such Defaulting Lender) until (and then only to the extent that) such Participation Commitment in the Maximum Undrawn Amount of all Letters of Credit is reallocated and/or Cash Collateralized; and</w:t>
      </w:r>
    </w:p>
    <w:p>
      <w:pPr>
        <w:spacing w:after="0" w:line="179" w:lineRule="exact"/>
        <w:rPr>
          <w:sz w:val="20"/>
          <w:szCs w:val="20"/>
          <w:color w:val="auto"/>
        </w:rPr>
      </w:pPr>
    </w:p>
    <w:p>
      <w:pPr>
        <w:jc w:val="both"/>
        <w:ind w:firstLine="1497"/>
        <w:spacing w:after="0" w:line="235" w:lineRule="auto"/>
        <w:rPr>
          <w:sz w:val="20"/>
          <w:szCs w:val="20"/>
          <w:color w:val="auto"/>
        </w:rPr>
      </w:pPr>
      <w:r>
        <w:rPr>
          <w:rFonts w:ascii="Times New Roman" w:cs="Times New Roman" w:eastAsia="Times New Roman" w:hAnsi="Times New Roman"/>
          <w:sz w:val="22"/>
          <w:szCs w:val="22"/>
          <w:color w:val="auto"/>
        </w:rPr>
        <w:t>so long as any Lender holding a Revolving Commitment is a Defaulting Lender, Swing Loan Lender shall not be required to fund any Swing Loans and Issuer shall not be required to issue, amend or increase any Letter of Credit, unless such Issuer is satisfied that the related exposure and Defaulting Lender's Participation Commitment in the Maximum Undrawn Amount of all Letters of Credit and all Swing Loans (after giving effect to any such issuance, amendment, increase or funding) will be fully allocated to Non-Defaulting Lenders holding Revolving Commitments and/or such Letters of Credit will be Cash Collateralized by Borrowers in accordance with clause (A) and (B) above, and participating interests in any newly made Swing Loan or any newly issued or increased Letter of Credit shall be allocated among Non-Defaulting Lenders in a manner consistent with Section 2.22(b)(iii)(A) above (and such Defaulting Lender shall not participate therein).</w:t>
      </w:r>
    </w:p>
    <w:p>
      <w:pPr>
        <w:spacing w:after="0" w:line="178"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color w:val="auto"/>
        </w:rPr>
        <w:t>Except in respect of the matters set forth in Sections 16.2(b)(i), (ii), (iii) or (v), a Defaulting Lender shall not be entitled to give instructions to Agent or to approve, disapprove, consent to or vote on any matters relating to this Agreement and the Other Documents, and all amendments, waivers and other modifications of this Agreement and the Other Documents may be made without regard to a Defaulting Lender and, for purposes of the definition of "Required Lenders", a Defaulting Lender shall not be deemed to be a Lender, to have any outstanding Advances or a Revolving Commitment Percentage.</w:t>
      </w:r>
    </w:p>
    <w:p>
      <w:pPr>
        <w:spacing w:after="0" w:line="177" w:lineRule="exact"/>
        <w:rPr>
          <w:sz w:val="20"/>
          <w:szCs w:val="20"/>
          <w:color w:val="auto"/>
        </w:rPr>
      </w:pPr>
    </w:p>
    <w:p>
      <w:pPr>
        <w:jc w:val="both"/>
        <w:ind w:firstLine="1497"/>
        <w:spacing w:after="0" w:line="236" w:lineRule="auto"/>
        <w:rPr>
          <w:sz w:val="20"/>
          <w:szCs w:val="20"/>
          <w:color w:val="auto"/>
        </w:rPr>
      </w:pPr>
      <w:r>
        <w:rPr>
          <w:rFonts w:ascii="Times New Roman" w:cs="Times New Roman" w:eastAsia="Times New Roman" w:hAnsi="Times New Roman"/>
          <w:sz w:val="22"/>
          <w:szCs w:val="22"/>
          <w:color w:val="auto"/>
        </w:rPr>
        <w:t>Other than as expressly set forth in this Section 2.22, the rights and obligations of a Defaulting Lender (including the obligation to indemnify Agent) and the other parties hereto shall remain unchanged. Nothing in this Section 2.22 shall be deemed to release any Defaulting Lender from its obligations under this Agreement and the Other Documents, shall alter such obligations, shall operate as a waiver of any default by such Defaulting Lender hereunder, or shall prejudice any rights which any Borrower, Agent or any Lender may have against any Defaulting Lender as a result of any default by such Defaulting Lender hereunder.</w:t>
      </w:r>
    </w:p>
    <w:p>
      <w:pPr>
        <w:spacing w:after="0" w:line="181" w:lineRule="exact"/>
        <w:rPr>
          <w:sz w:val="20"/>
          <w:szCs w:val="20"/>
          <w:color w:val="auto"/>
        </w:rPr>
      </w:pPr>
    </w:p>
    <w:p>
      <w:pPr>
        <w:jc w:val="both"/>
        <w:ind w:firstLine="1497"/>
        <w:spacing w:after="0" w:line="235" w:lineRule="auto"/>
        <w:rPr>
          <w:sz w:val="20"/>
          <w:szCs w:val="20"/>
          <w:color w:val="auto"/>
        </w:rPr>
      </w:pPr>
      <w:r>
        <w:rPr>
          <w:rFonts w:ascii="Times New Roman" w:cs="Times New Roman" w:eastAsia="Times New Roman" w:hAnsi="Times New Roman"/>
          <w:sz w:val="22"/>
          <w:szCs w:val="22"/>
          <w:color w:val="auto"/>
        </w:rPr>
        <w:t>In the event that Agent, Borrowers, Swing Loan Lender and Issuer agree in writing that a Defaulting Lender has adequately remedied all matters that caused such Lender to be a Defaulting Lender, then Agent will so notify the parties hereto, and, if such cured Defaulting Lender is a Lender holding a Revolving Commitment, then Participation Commitments of Lenders holding Revolving Commitments (including such cured Defaulting Lender) of the Swing Loans and Maximum Undrawn Amount of all outstanding Letters of Credit shall be reallocated to reflect the inclusion of such Lender's Revolving Commitment, and on such date such Lender shall purchase at par such of the Revolving Advances of the other Lenders as Agent shall determine may be necessary in order for such Lender to hold such Revolving Advances in accordance with</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38" w:name="page139"/>
    <w:bookmarkEnd w:id="138"/>
    <w:p>
      <w:pPr>
        <w:jc w:val="both"/>
        <w:spacing w:after="0" w:line="239" w:lineRule="auto"/>
        <w:rPr>
          <w:sz w:val="20"/>
          <w:szCs w:val="20"/>
          <w:color w:val="auto"/>
        </w:rPr>
      </w:pPr>
      <w:r>
        <w:rPr>
          <w:rFonts w:ascii="Times New Roman" w:cs="Times New Roman" w:eastAsia="Times New Roman" w:hAnsi="Times New Roman"/>
          <w:sz w:val="22"/>
          <w:szCs w:val="22"/>
          <w:color w:val="auto"/>
        </w:rPr>
        <w:t xml:space="preserve">its Revolving Commitment Percentage;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 adjustments will be made retroactively with respect to fees accrued or payments made by or on behalf of the Borrowers while that Lender was a Defaulting Lender; and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that except to the extent otherwise expressly agreed by the affected parties, no change hereunder from Defaulting Lender to Lender will constitute a waiver or release of any claim of any party hereunder arising from that Lender's having been a Defaulting Lender.</w:t>
      </w:r>
    </w:p>
    <w:p>
      <w:pPr>
        <w:spacing w:after="0" w:line="180" w:lineRule="exact"/>
        <w:rPr>
          <w:sz w:val="20"/>
          <w:szCs w:val="20"/>
          <w:color w:val="auto"/>
        </w:rPr>
      </w:pPr>
    </w:p>
    <w:p>
      <w:pPr>
        <w:jc w:val="both"/>
        <w:ind w:firstLine="1497"/>
        <w:spacing w:after="0" w:line="236" w:lineRule="auto"/>
        <w:rPr>
          <w:sz w:val="20"/>
          <w:szCs w:val="20"/>
          <w:color w:val="auto"/>
        </w:rPr>
      </w:pPr>
      <w:r>
        <w:rPr>
          <w:rFonts w:ascii="Times New Roman" w:cs="Times New Roman" w:eastAsia="Times New Roman" w:hAnsi="Times New Roman"/>
          <w:sz w:val="22"/>
          <w:szCs w:val="22"/>
          <w:color w:val="auto"/>
        </w:rPr>
        <w:t>If Swing Loan Lender or Issuer has a good faith belief that any Lender holding a Revolving Commitment has defaulted in fulfilling its obligations under one or more other agreements in which such Lender commits to extend credit, Swing Loan Lender shall not be required to fund any Swing Loans and Issuer shall not be required to issue, amend or increase any Letter of Credit, unless Swing Loan Lender or Issuer, as the case may be, shall have entered into arrangements with Borrowers or such Lender, satisfactory to Swing Loan Lender or Issuer, as the case may be, to defease any risk to it in respect of such Lender hereunder.</w:t>
      </w:r>
    </w:p>
    <w:p>
      <w:pPr>
        <w:spacing w:after="0" w:line="177" w:lineRule="exact"/>
        <w:rPr>
          <w:sz w:val="20"/>
          <w:szCs w:val="20"/>
          <w:color w:val="auto"/>
        </w:rPr>
      </w:pPr>
    </w:p>
    <w:p>
      <w:pPr>
        <w:jc w:val="both"/>
        <w:ind w:firstLine="1497"/>
        <w:spacing w:after="0" w:line="234" w:lineRule="auto"/>
        <w:rPr>
          <w:sz w:val="20"/>
          <w:szCs w:val="20"/>
          <w:color w:val="auto"/>
        </w:rPr>
      </w:pPr>
      <w:r>
        <w:rPr>
          <w:rFonts w:ascii="Times New Roman" w:cs="Times New Roman" w:eastAsia="Times New Roman" w:hAnsi="Times New Roman"/>
          <w:sz w:val="22"/>
          <w:szCs w:val="22"/>
          <w:b w:val="1"/>
          <w:bCs w:val="1"/>
          <w:u w:val="single" w:color="auto"/>
          <w:color w:val="auto"/>
        </w:rPr>
        <w:t>Payment of Obligations</w:t>
      </w:r>
      <w:r>
        <w:rPr>
          <w:rFonts w:ascii="Times New Roman" w:cs="Times New Roman" w:eastAsia="Times New Roman" w:hAnsi="Times New Roman"/>
          <w:sz w:val="22"/>
          <w:szCs w:val="22"/>
          <w:b w:val="1"/>
          <w:bCs w:val="1"/>
          <w:color w:val="auto"/>
        </w:rPr>
        <w:t>. Agent may charge to Borrowers' Account as a Revolving Advance or, at the discretion of Swing Loan Lender, as a Swing Loan (i) all payments with respect to any of the Obligations required hereunder (including without limitation principal payments, payments of interest, payments of Letter of Credit Fees and all other fees provided for hereunder and payments under Sections 16.5 and 16.9) as and when each such payment shall become due and payable (whether as regularly scheduled, upon or after acceleration, upon maturity or otherwise), (ii) without limiting the generality of the foregoing clause (i), (a) all amounts expended by Agent or any Lender pursuant to Sections 4.2 or 4.3 hereof and (b) all expenses which Agent incurs in connection with the forwarding of Advance proceeds and the establishment and maintenance of any Controlled Accounts as provided for in Section 4.8(h), and (iii) any sums expended by Agent or any Lender due to any Credit Party's failure to perform or comply with its obligations under this Agreement or any Other Document including any Credit Party's obligations under Sections 3.3, 3.4, 4.4, 4.7, 6.4, 6.6 and 6.7 hereof, and all amounts so charged shall be added to the Obligations and shall be secured by the Collateral. To the extent Revolving Advances are not actually funded by the other Lenders in respect of any such amounts so charged, all such amounts so charged shall be deemed to be Revolving Advances made by and owing to Agent and Agent shall be entitled to all rights (including accrual of interest) and remedies of a Lender under this Agreement and the Other Documents with respect to such Revolving Advances.</w:t>
      </w:r>
    </w:p>
    <w:p>
      <w:pPr>
        <w:spacing w:after="0" w:line="17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b w:val="1"/>
          <w:bCs w:val="1"/>
          <w:u w:val="single" w:color="auto"/>
          <w:color w:val="auto"/>
        </w:rPr>
        <w:t>Accordion</w:t>
      </w:r>
      <w:r>
        <w:rPr>
          <w:rFonts w:ascii="Times New Roman" w:cs="Times New Roman" w:eastAsia="Times New Roman" w:hAnsi="Times New Roman"/>
          <w:sz w:val="22"/>
          <w:szCs w:val="22"/>
          <w:b w:val="1"/>
          <w:bCs w:val="1"/>
          <w:color w:val="auto"/>
        </w:rPr>
        <w:t>.</w:t>
      </w:r>
    </w:p>
    <w:p>
      <w:pPr>
        <w:spacing w:after="0" w:line="210" w:lineRule="exact"/>
        <w:rPr>
          <w:sz w:val="20"/>
          <w:szCs w:val="20"/>
          <w:color w:val="auto"/>
        </w:rPr>
      </w:pPr>
    </w:p>
    <w:p>
      <w:pPr>
        <w:jc w:val="both"/>
        <w:ind w:firstLine="1497"/>
        <w:spacing w:after="0" w:line="234" w:lineRule="auto"/>
        <w:rPr>
          <w:sz w:val="20"/>
          <w:szCs w:val="20"/>
          <w:color w:val="auto"/>
        </w:rPr>
      </w:pPr>
      <w:r>
        <w:rPr>
          <w:rFonts w:ascii="Times New Roman" w:cs="Times New Roman" w:eastAsia="Times New Roman" w:hAnsi="Times New Roman"/>
          <w:sz w:val="22"/>
          <w:szCs w:val="22"/>
          <w:color w:val="auto"/>
        </w:rPr>
        <w:t>At any time Borrowing Agent may by written notice to Agent elect to request the establishment of one or more increases in the Revolving Commitment (with a corresponding increase in the Maximum Revolving Advance Amount) (each such increase, an "</w:t>
      </w:r>
      <w:r>
        <w:rPr>
          <w:rFonts w:ascii="Times New Roman" w:cs="Times New Roman" w:eastAsia="Times New Roman" w:hAnsi="Times New Roman"/>
          <w:sz w:val="22"/>
          <w:szCs w:val="22"/>
          <w:u w:val="single" w:color="auto"/>
          <w:color w:val="auto"/>
        </w:rPr>
        <w:t>Incremental Commitment Increase</w:t>
      </w:r>
      <w:r>
        <w:rPr>
          <w:rFonts w:ascii="Times New Roman" w:cs="Times New Roman" w:eastAsia="Times New Roman" w:hAnsi="Times New Roman"/>
          <w:sz w:val="22"/>
          <w:szCs w:val="22"/>
          <w:color w:val="auto"/>
        </w:rPr>
        <w:t xml:space="preserve">" and, all such increases, collectively, the " </w:t>
      </w:r>
      <w:r>
        <w:rPr>
          <w:rFonts w:ascii="Times New Roman" w:cs="Times New Roman" w:eastAsia="Times New Roman" w:hAnsi="Times New Roman"/>
          <w:sz w:val="22"/>
          <w:szCs w:val="22"/>
          <w:u w:val="single" w:color="auto"/>
          <w:color w:val="auto"/>
        </w:rPr>
        <w:t>Incremental Commitment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Increases</w:t>
      </w:r>
      <w:r>
        <w:rPr>
          <w:rFonts w:ascii="Times New Roman" w:cs="Times New Roman" w:eastAsia="Times New Roman" w:hAnsi="Times New Roman"/>
          <w:sz w:val="22"/>
          <w:szCs w:val="22"/>
          <w:color w:val="auto"/>
        </w:rPr>
        <w:t>") to make incremental Revolving Advances (any such incremental Revolving Advance, an "</w:t>
      </w:r>
      <w:r>
        <w:rPr>
          <w:rFonts w:ascii="Times New Roman" w:cs="Times New Roman" w:eastAsia="Times New Roman" w:hAnsi="Times New Roman"/>
          <w:sz w:val="22"/>
          <w:szCs w:val="22"/>
          <w:u w:val="single" w:color="auto"/>
          <w:color w:val="auto"/>
        </w:rPr>
        <w:t>Incremental Loan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(1) the total aggregate amount for all such Incremental Commitment Increases shall not (as of any date of incurrence thereof) exceed the amount of $0 and (2) the total aggregate amount for each Incremental Commitment Increase (and the Incremental Loans made thereunder) shall not be less than the amount of $10,000,000 or, if less, the remaining amount permitted pursuant to the foregoing clause (1). Each such notice shall specify the date (each, an "</w:t>
      </w:r>
      <w:r>
        <w:rPr>
          <w:rFonts w:ascii="Times New Roman" w:cs="Times New Roman" w:eastAsia="Times New Roman" w:hAnsi="Times New Roman"/>
          <w:sz w:val="22"/>
          <w:szCs w:val="22"/>
          <w:u w:val="single" w:color="auto"/>
          <w:color w:val="auto"/>
        </w:rPr>
        <w:t>Increased Amount Date</w:t>
      </w:r>
      <w:r>
        <w:rPr>
          <w:rFonts w:ascii="Times New Roman" w:cs="Times New Roman" w:eastAsia="Times New Roman" w:hAnsi="Times New Roman"/>
          <w:sz w:val="22"/>
          <w:szCs w:val="22"/>
          <w:color w:val="auto"/>
        </w:rPr>
        <w:t>") on which Borrowers propose that any</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39" w:name="page140"/>
    <w:bookmarkEnd w:id="139"/>
    <w:p>
      <w:pPr>
        <w:jc w:val="both"/>
        <w:spacing w:after="0" w:line="235" w:lineRule="auto"/>
        <w:rPr>
          <w:sz w:val="20"/>
          <w:szCs w:val="20"/>
          <w:color w:val="auto"/>
        </w:rPr>
      </w:pPr>
      <w:r>
        <w:rPr>
          <w:rFonts w:ascii="Times New Roman" w:cs="Times New Roman" w:eastAsia="Times New Roman" w:hAnsi="Times New Roman"/>
          <w:sz w:val="22"/>
          <w:szCs w:val="22"/>
          <w:color w:val="auto"/>
        </w:rPr>
        <w:t>Incremental Commitment Increase shall be effective, which shall be a date not less than ten (10) Business Days after the date on which such notice is delivered to Agent. Borrowers shall invite each Lender and may invite any other Person reasonably satisfactory to Agent, to provide an Incremental Commitment Increase (any such Person, an "</w:t>
      </w:r>
      <w:r>
        <w:rPr>
          <w:rFonts w:ascii="Times New Roman" w:cs="Times New Roman" w:eastAsia="Times New Roman" w:hAnsi="Times New Roman"/>
          <w:sz w:val="22"/>
          <w:szCs w:val="22"/>
          <w:u w:val="single" w:color="auto"/>
          <w:color w:val="auto"/>
        </w:rPr>
        <w:t>Incremental Lender</w:t>
      </w:r>
      <w:r>
        <w:rPr>
          <w:rFonts w:ascii="Times New Roman" w:cs="Times New Roman" w:eastAsia="Times New Roman" w:hAnsi="Times New Roman"/>
          <w:sz w:val="22"/>
          <w:szCs w:val="22"/>
          <w:color w:val="auto"/>
        </w:rPr>
        <w:t>"). Any Lender offered or approached to provide all or a portion of any Incremental Commitment Increase may elect or decline, in its sole discretion, to provide such Incremental Commitment Increase. In the event the Incremental Commitment Increases agreed to be provided by Lenders and such other Persons exceed the Incremental Commitment Increase request, Agent shall allocate such Incremental Commitment Increase as determined by Agent. Any Incremental Commitment Increase shall become effective as of such Increased Amount Date; provided that:</w:t>
      </w:r>
    </w:p>
    <w:p>
      <w:pPr>
        <w:spacing w:after="0" w:line="178"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no Default or Event of Default shall exist on such Increased Amount Date before or after giving effect to any Incremental Commitment Increase;</w:t>
      </w:r>
    </w:p>
    <w:p>
      <w:pPr>
        <w:spacing w:after="0" w:line="158"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each Incremental Commitment Increase (and the Incremental Loans made thereunder) shall constitute Obligations of Borrowers and be on the same terms (including, without limitation, interest rate, fees, voting rights and maturity date) as the existing Revolving Commitments and shall be permitted under the Note Indenture;</w:t>
      </w:r>
    </w:p>
    <w:p>
      <w:pPr>
        <w:spacing w:after="0" w:line="173" w:lineRule="exact"/>
        <w:rPr>
          <w:sz w:val="20"/>
          <w:szCs w:val="20"/>
          <w:color w:val="auto"/>
        </w:rPr>
      </w:pPr>
    </w:p>
    <w:p>
      <w:pPr>
        <w:jc w:val="both"/>
        <w:ind w:firstLine="1497"/>
        <w:spacing w:after="0" w:line="236" w:lineRule="auto"/>
        <w:rPr>
          <w:sz w:val="20"/>
          <w:szCs w:val="20"/>
          <w:color w:val="auto"/>
        </w:rPr>
      </w:pPr>
      <w:r>
        <w:rPr>
          <w:rFonts w:ascii="Times New Roman" w:cs="Times New Roman" w:eastAsia="Times New Roman" w:hAnsi="Times New Roman"/>
          <w:sz w:val="22"/>
          <w:szCs w:val="22"/>
          <w:color w:val="auto"/>
        </w:rPr>
        <w:t>to the extent that such Incremental Commitment Increase is being provided by an Incremental Lender that is not a Lender hereunder at the time of such increase, such Incremental Commitment Increase shall be effected pursuant to one or more agreements joining such Lender to this Agreement executed and delivered by Borrowers, Agent and the applicable Incremental Lenders (which Lender joinder agreement may, without the consent of any other Lenders, effect such amendments to this Agreement and the Other Documents as may be necessary or appropriate, in the opinion of Agent, to effect the provisions of this Section 2.24);</w:t>
      </w:r>
    </w:p>
    <w:p>
      <w:pPr>
        <w:spacing w:after="0" w:line="181"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Credit Parties shall execute and deliver additional Other Documents (including, without limitation, such opinions, resolutions, certificates and other instruments related thereto) as may be reasonably requested by Agent to effectuate the foregoing;</w:t>
      </w:r>
    </w:p>
    <w:p>
      <w:pPr>
        <w:spacing w:after="0" w:line="173"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GLDD shall deliver or cause to be delivered any customary legal opinions or other documents reasonably requested by Agent in connection with any such transaction; and</w:t>
      </w:r>
    </w:p>
    <w:p>
      <w:pPr>
        <w:spacing w:after="0" w:line="15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such Increased Amount Date shall have occurred on or before the Amendment No. 1 Closing Date.</w:t>
      </w:r>
    </w:p>
    <w:p>
      <w:pPr>
        <w:spacing w:after="0" w:line="206"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The Incremental Lenders shall be included in any determination of the Required Lenders, and the Incremental Lenders will not constitute a separate voting class for any purposes under this Agreement.</w:t>
      </w:r>
    </w:p>
    <w:p>
      <w:pPr>
        <w:spacing w:after="0" w:line="158"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On any Increased Amount Date on which any Incremental Commitment Increase becomes effective, subject to the foregoing terms and conditions, each Incremental Lender providing an Incremental Commitment Increase shall become a Lender hereunder with respect to such Incremental Commitment Increase.</w:t>
      </w:r>
    </w:p>
    <w:p>
      <w:pPr>
        <w:spacing w:after="0" w:line="169" w:lineRule="exact"/>
        <w:rPr>
          <w:sz w:val="20"/>
          <w:szCs w:val="20"/>
          <w:color w:val="auto"/>
        </w:rPr>
      </w:pPr>
    </w:p>
    <w:p>
      <w:pPr>
        <w:jc w:val="both"/>
        <w:ind w:firstLine="1497"/>
        <w:spacing w:after="0" w:line="262" w:lineRule="auto"/>
        <w:rPr>
          <w:sz w:val="20"/>
          <w:szCs w:val="20"/>
          <w:color w:val="auto"/>
        </w:rPr>
      </w:pPr>
      <w:r>
        <w:rPr>
          <w:rFonts w:ascii="Times New Roman" w:cs="Times New Roman" w:eastAsia="Times New Roman" w:hAnsi="Times New Roman"/>
          <w:sz w:val="22"/>
          <w:szCs w:val="22"/>
          <w:b w:val="1"/>
          <w:bCs w:val="1"/>
          <w:u w:val="single" w:color="auto"/>
          <w:color w:val="auto"/>
        </w:rPr>
        <w:t>Utilization of Commitments in Optional Currencies</w:t>
      </w:r>
      <w:r>
        <w:rPr>
          <w:rFonts w:ascii="Times New Roman" w:cs="Times New Roman" w:eastAsia="Times New Roman" w:hAnsi="Times New Roman"/>
          <w:sz w:val="22"/>
          <w:szCs w:val="22"/>
          <w:b w:val="1"/>
          <w:bCs w:val="1"/>
          <w:color w:val="auto"/>
        </w:rPr>
        <w:t>. For purposes of determining utilization of the Revolving Commitments, Agent will determine the Dollar Equivalent amount of</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40" w:name="page141"/>
    <w:bookmarkEnd w:id="140"/>
    <w:p>
      <w:pPr>
        <w:jc w:val="both"/>
        <w:ind w:firstLine="8"/>
        <w:spacing w:after="0" w:line="237" w:lineRule="auto"/>
        <w:tabs>
          <w:tab w:leader="none" w:pos="262" w:val="left"/>
        </w:tabs>
        <w:numPr>
          <w:ilvl w:val="0"/>
          <w:numId w:val="8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the outstanding and proposed Letters of Credit to be denominated in an Optional Currency as of the requested date of issuance, and (ii) the Maximum Undrawn Amount of the outstanding Letters of Credit denominated in an Optional Currency as of the last Business Day of each month (each such date under clauses (i) through (ii), and any other date on which Agent determines it is necessary or advisable to make such computation, in its sole discretion, is referred to as a "</w:t>
      </w:r>
      <w:r>
        <w:rPr>
          <w:rFonts w:ascii="Times New Roman" w:cs="Times New Roman" w:eastAsia="Times New Roman" w:hAnsi="Times New Roman"/>
          <w:sz w:val="22"/>
          <w:szCs w:val="22"/>
          <w:b w:val="1"/>
          <w:bCs w:val="1"/>
          <w:u w:val="single" w:color="auto"/>
          <w:color w:val="auto"/>
        </w:rPr>
        <w:t>Computation Date</w:t>
      </w:r>
      <w:r>
        <w:rPr>
          <w:rFonts w:ascii="Times New Roman" w:cs="Times New Roman" w:eastAsia="Times New Roman" w:hAnsi="Times New Roman"/>
          <w:sz w:val="22"/>
          <w:szCs w:val="22"/>
          <w:b w:val="1"/>
          <w:bCs w:val="1"/>
          <w:color w:val="auto"/>
        </w:rPr>
        <w:t>"). Unless otherwise provided in this Agreement or agreed to by Agent, each Reimbursement Obligation shall be repaid or prepaid in the same currency in which the Reimbursement Obligation was made.</w:t>
      </w:r>
    </w:p>
    <w:p>
      <w:pPr>
        <w:spacing w:after="0" w:line="17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b w:val="1"/>
          <w:bCs w:val="1"/>
          <w:color w:val="auto"/>
        </w:rPr>
        <w:t>INTEREST AND FEES.</w:t>
      </w:r>
    </w:p>
    <w:p>
      <w:pPr>
        <w:spacing w:after="0" w:line="206" w:lineRule="exact"/>
        <w:rPr>
          <w:sz w:val="20"/>
          <w:szCs w:val="20"/>
          <w:color w:val="auto"/>
        </w:rPr>
      </w:pPr>
    </w:p>
    <w:p>
      <w:pPr>
        <w:ind w:firstLine="1497"/>
        <w:spacing w:after="0" w:line="243" w:lineRule="auto"/>
        <w:rPr>
          <w:sz w:val="20"/>
          <w:szCs w:val="20"/>
          <w:color w:val="auto"/>
        </w:rPr>
      </w:pPr>
      <w:r>
        <w:rPr>
          <w:rFonts w:ascii="Times New Roman" w:cs="Times New Roman" w:eastAsia="Times New Roman" w:hAnsi="Times New Roman"/>
          <w:sz w:val="22"/>
          <w:szCs w:val="22"/>
          <w:b w:val="1"/>
          <w:bCs w:val="1"/>
          <w:u w:val="single" w:color="auto"/>
          <w:color w:val="auto"/>
        </w:rPr>
        <w:t>Interest</w:t>
      </w:r>
      <w:r>
        <w:rPr>
          <w:rFonts w:ascii="Times New Roman" w:cs="Times New Roman" w:eastAsia="Times New Roman" w:hAnsi="Times New Roman"/>
          <w:sz w:val="22"/>
          <w:szCs w:val="22"/>
          <w:b w:val="1"/>
          <w:bCs w:val="1"/>
          <w:color w:val="auto"/>
        </w:rPr>
        <w:t>. Interest on Advances shall be payable in arrears on the first (1st) day of each month with respect to Domestic Rate Loans and, with respect to Term SOFR Rate Loans, at (a) the end of each Interest Period, and</w:t>
      </w:r>
    </w:p>
    <w:p>
      <w:pPr>
        <w:spacing w:after="0" w:line="2" w:lineRule="exact"/>
        <w:rPr>
          <w:sz w:val="20"/>
          <w:szCs w:val="20"/>
          <w:color w:val="auto"/>
        </w:rPr>
      </w:pPr>
    </w:p>
    <w:p>
      <w:pPr>
        <w:jc w:val="both"/>
        <w:ind w:firstLine="8"/>
        <w:spacing w:after="0" w:line="231" w:lineRule="auto"/>
        <w:tabs>
          <w:tab w:leader="none" w:pos="328" w:val="left"/>
        </w:tabs>
        <w:numPr>
          <w:ilvl w:val="0"/>
          <w:numId w:val="8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for Term SOFR Rate Loans with an Interest Period in excess of three months, at the end of each three month period during such Interest Period, provided further that all accrued and unpaid interest shall be due and payable at the end of the Term. Interest charges shall be computed on the actual principal amount of Advances outstanding during the month at a rate per annum equal to (i) with respect to Revolving Advances, the applicable Revolving Interest Rate plus the SOFR Adjustment with respect to Term SOFR Rate Loans and (ii) with respect to Swing Loans, the Revolving Interest Rate for Domestic Rate Loans (as applicable, the "</w:t>
      </w:r>
      <w:r>
        <w:rPr>
          <w:rFonts w:ascii="Times New Roman" w:cs="Times New Roman" w:eastAsia="Times New Roman" w:hAnsi="Times New Roman"/>
          <w:sz w:val="22"/>
          <w:szCs w:val="22"/>
          <w:b w:val="1"/>
          <w:bCs w:val="1"/>
          <w:u w:val="single" w:color="auto"/>
          <w:color w:val="auto"/>
        </w:rPr>
        <w:t>Contract Rate</w:t>
      </w:r>
      <w:r>
        <w:rPr>
          <w:rFonts w:ascii="Times New Roman" w:cs="Times New Roman" w:eastAsia="Times New Roman" w:hAnsi="Times New Roman"/>
          <w:sz w:val="22"/>
          <w:szCs w:val="22"/>
          <w:b w:val="1"/>
          <w:bCs w:val="1"/>
          <w:color w:val="auto"/>
        </w:rPr>
        <w:t>"). Except as expressly provided otherwise in this Agreement, any Obligations other than the Advances that are not paid when due shall accrue interest at the Revolving Interest Rate for Domestic Rate Loans, subject to the provision of the final sentence of this Section 3.1 regarding the Default Rate. Whenever, subsequent to the date of this Agreement, the Alternate Base Rate is increased or decreased, the applicable Contract Rate shall be similarly changed without notice or demand of any kind by an amount equal to the amount of such change in the Alternate Base Rate during the time such change or changes remain in effect. The Term SOFR Rate shall be adjusted with respect to Term SOFR Rate Loans without notice or demand of any kind on the effective date of any change in the SOFR Reserve Percentage as of such effective date. Upon and after the occurrence of an Event of Default, and during the continuation thereof, at the direction of Required Lenders (or, in the case of any Event of Default under Section 10.7, immediately and automatically upon the occurrence of any such Event of Default without the requirement of any affirmative action by any party), the Obligations shall bear interest at the applicable Contract Rate plus two percent (2%) per annum (the "</w:t>
      </w:r>
      <w:r>
        <w:rPr>
          <w:rFonts w:ascii="Times New Roman" w:cs="Times New Roman" w:eastAsia="Times New Roman" w:hAnsi="Times New Roman"/>
          <w:sz w:val="22"/>
          <w:szCs w:val="22"/>
          <w:b w:val="1"/>
          <w:bCs w:val="1"/>
          <w:u w:val="single" w:color="auto"/>
          <w:color w:val="auto"/>
        </w:rPr>
        <w:t>Default Rate</w:t>
      </w:r>
      <w:r>
        <w:rPr>
          <w:rFonts w:ascii="Times New Roman" w:cs="Times New Roman" w:eastAsia="Times New Roman" w:hAnsi="Times New Roman"/>
          <w:sz w:val="22"/>
          <w:szCs w:val="22"/>
          <w:b w:val="1"/>
          <w:bCs w:val="1"/>
          <w:color w:val="auto"/>
        </w:rPr>
        <w:t>").</w:t>
      </w:r>
    </w:p>
    <w:p>
      <w:pPr>
        <w:spacing w:after="0" w:line="18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b w:val="1"/>
          <w:bCs w:val="1"/>
          <w:u w:val="single" w:color="auto"/>
          <w:color w:val="auto"/>
        </w:rPr>
        <w:t>Letter of Credit Fees</w:t>
      </w:r>
      <w:r>
        <w:rPr>
          <w:rFonts w:ascii="Times New Roman" w:cs="Times New Roman" w:eastAsia="Times New Roman" w:hAnsi="Times New Roman"/>
          <w:sz w:val="22"/>
          <w:szCs w:val="22"/>
          <w:b w:val="1"/>
          <w:bCs w:val="1"/>
          <w:color w:val="auto"/>
        </w:rPr>
        <w:t>.</w:t>
      </w:r>
    </w:p>
    <w:p>
      <w:pPr>
        <w:spacing w:after="0" w:line="210" w:lineRule="exact"/>
        <w:rPr>
          <w:sz w:val="20"/>
          <w:szCs w:val="20"/>
          <w:color w:val="auto"/>
        </w:rPr>
      </w:pPr>
    </w:p>
    <w:p>
      <w:pPr>
        <w:jc w:val="both"/>
        <w:ind w:firstLine="1497"/>
        <w:spacing w:after="0" w:line="235" w:lineRule="auto"/>
        <w:rPr>
          <w:sz w:val="20"/>
          <w:szCs w:val="20"/>
          <w:color w:val="auto"/>
        </w:rPr>
      </w:pPr>
      <w:r>
        <w:rPr>
          <w:rFonts w:ascii="Times New Roman" w:cs="Times New Roman" w:eastAsia="Times New Roman" w:hAnsi="Times New Roman"/>
          <w:sz w:val="22"/>
          <w:szCs w:val="22"/>
          <w:color w:val="auto"/>
        </w:rPr>
        <w:t>Borrowers shall pay (x) to Agent, for the ratable benefit of Lenders holding Revolving Commitments, fees for each Letter of Credit for the period from and excluding the date of issuance of same to and including the date of expiration or termination, equal to the average daily face amount of each outstanding Letter of Credit multiplied by the Applicable Margin plus the SOFR Adjustment for Revolving Advances consisting of Term SOFR Rate Loans, such fees to be calculated on the basis of a 360-day year for the actual number of days elapsed and to be payable quarterly in arrears on the first (1st) day of each calendar quarter and on the last day of the Term, and (y) to Issuer, a fronting fee of one-eighth of one percent (0.125%) (or such other amount as is agreed to by Issuer and Borrower and approved by Agent) per annum times the average daily face amount of each outstanding Letter of Credit for the period from and excluding</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41" w:name="page142"/>
    <w:bookmarkEnd w:id="141"/>
    <w:p>
      <w:pPr>
        <w:jc w:val="both"/>
        <w:spacing w:after="0" w:line="233" w:lineRule="auto"/>
        <w:rPr>
          <w:sz w:val="20"/>
          <w:szCs w:val="20"/>
          <w:color w:val="auto"/>
        </w:rPr>
      </w:pPr>
      <w:r>
        <w:rPr>
          <w:rFonts w:ascii="Times New Roman" w:cs="Times New Roman" w:eastAsia="Times New Roman" w:hAnsi="Times New Roman"/>
          <w:sz w:val="22"/>
          <w:szCs w:val="22"/>
          <w:color w:val="auto"/>
        </w:rPr>
        <w:t>the date of issuance of same to and including the date of expiration or termination, to be payable quarterly in arrears on the first (1st) day of each calendar quarter and on the last day of the Term (all of the foregoing fees, the "</w:t>
      </w:r>
      <w:r>
        <w:rPr>
          <w:rFonts w:ascii="Times New Roman" w:cs="Times New Roman" w:eastAsia="Times New Roman" w:hAnsi="Times New Roman"/>
          <w:sz w:val="22"/>
          <w:szCs w:val="22"/>
          <w:u w:val="single" w:color="auto"/>
          <w:color w:val="auto"/>
        </w:rPr>
        <w:t>Letter of Credit Fees</w:t>
      </w:r>
      <w:r>
        <w:rPr>
          <w:rFonts w:ascii="Times New Roman" w:cs="Times New Roman" w:eastAsia="Times New Roman" w:hAnsi="Times New Roman"/>
          <w:sz w:val="22"/>
          <w:szCs w:val="22"/>
          <w:color w:val="auto"/>
        </w:rPr>
        <w:t>"). In addition, Borrowers shall pay to Agent, for the benefit of Issuer, any and all administrative, issuance, amendment, payment and negotiation charges with respect to Letters of Credit and all fees and expenses as agreed upon by Issuer and the Borrowing Agent in connection with any Letter of Credit, including in connection with the opening, amendment or renewal of any such Letter of Credit and any acceptances created thereunder, all such charges, fees and expenses, if any, to be payable on demand. All such charges shall be deemed earned in full on the date when the same are due and payable hereunder and shall not be subject to rebate or pro-ration upon the termination of this Agreement for any reason. Any such charge in effect at the time of a particular transaction shall be the charge for that transaction, notwithstanding any subsequent change in Issuer's prevailing charges for that type of transaction. Upon and after the occurrence of an Event of Default, and during the continuation thereof, at the direction of Required Lenders (or, in the case of any Event of Default under Section 10.7, immediately and automatically upon the occurrence of any such Event of Default without the requirement of any affirmative action by any party), the Letter of Credit Fees described in clause (x) of this Section 3.2(a) shall be increased by an additional two percent (2.00%) per annum.</w:t>
      </w:r>
    </w:p>
    <w:p>
      <w:pPr>
        <w:spacing w:after="0" w:line="182" w:lineRule="exact"/>
        <w:rPr>
          <w:sz w:val="20"/>
          <w:szCs w:val="20"/>
          <w:color w:val="auto"/>
        </w:rPr>
      </w:pPr>
    </w:p>
    <w:p>
      <w:pPr>
        <w:jc w:val="both"/>
        <w:ind w:firstLine="1497"/>
        <w:spacing w:after="0" w:line="232" w:lineRule="auto"/>
        <w:rPr>
          <w:sz w:val="20"/>
          <w:szCs w:val="20"/>
          <w:color w:val="auto"/>
        </w:rPr>
      </w:pPr>
      <w:r>
        <w:rPr>
          <w:rFonts w:ascii="Times New Roman" w:cs="Times New Roman" w:eastAsia="Times New Roman" w:hAnsi="Times New Roman"/>
          <w:sz w:val="22"/>
          <w:szCs w:val="22"/>
          <w:color w:val="auto"/>
        </w:rPr>
        <w:t>At any time following the occurrence and during the continuation of an Event of Default, at the direction of Required Lenders (or, in the case of any Event of Default under Section 10.7, immediately and automatically upon the occurrence of such Event of Default, without the requirement of any affirmative action by any party), or upon the expiration of the Term or any other termination of this Agreement (and also, if applicable, in connection with any mandatory prepayment under Section 2.20), Borrowers shall Cash Collateralize all outstanding Letters of Credit, and each Borrower hereby irrevocably authorizes Agent, in its discretion, on such Borrower's behalf and in such Borrower's name, to open such an account and to make and maintain deposits therein, or in an account opened by such Borrower, in the amounts required to be made by such Borrower, out of the proceeds of Receivables or other Collateral or out of any other funds of such Borrower coming into any Lender's possession at any time. Agent may, in its discretion, invest such Cash Collateral (less applicable reserves) in such short-term money-market items as to which Agent and such Borrower mutually agree (or, in the absence of such agreement, as Agent may reasonably select) and the net return on such investments shall be credited to such account and constitute additional Cash Collateral, or Agent may (notwithstanding the foregoing) establish the account provided for under this Section 3.2(b) as a non-interest bearing account and in such case Agent shall have no obligation (and Borrowers hereby waive any claim) under Article 9 of the Uniform Commercial Code or under any other Applicable Law to pay interest on such Cash Collateral being held by Agent. No Borrower may withdraw amounts credited to any such account except upon the occurrence of (1) the cure or waiver of all Events of Default which resulted in the requirement to Cash Collateralize, or (2) all of the following: (x) payment and performance in full of all Obligations; (y) expiration of all Letters of Credit; and (z) termination of this Agreement. Borrowers hereby assign, pledge and grant to Agent, for its benefit and the ratable benefit of Issuer, Lenders and each other Secured Party, a continuing security interest in and to and Lien on any such Cash Collateral and any right, title and interest of Borrowers in any deposit account, securities account or investment account into which such Cash Collateral may be deposited from time to time to secure the Obligations, specifically including all Obligations with respect to any Letters of Credit. Borrowers agree that upon the coming due of any Reimbursement Obligations (or any</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42" w:name="page143"/>
    <w:bookmarkEnd w:id="142"/>
    <w:p>
      <w:pPr>
        <w:jc w:val="both"/>
        <w:spacing w:after="0" w:line="258" w:lineRule="auto"/>
        <w:rPr>
          <w:sz w:val="20"/>
          <w:szCs w:val="20"/>
          <w:color w:val="auto"/>
        </w:rPr>
      </w:pPr>
      <w:r>
        <w:rPr>
          <w:rFonts w:ascii="Times New Roman" w:cs="Times New Roman" w:eastAsia="Times New Roman" w:hAnsi="Times New Roman"/>
          <w:sz w:val="22"/>
          <w:szCs w:val="22"/>
          <w:color w:val="auto"/>
        </w:rPr>
        <w:t>other Obligations, including Obligations for Letter of Credit Fees) with respect to the Letters of Credit, Agent may use such Cash Collateral to pay and satisfy such Obligations.</w:t>
      </w:r>
    </w:p>
    <w:p>
      <w:pPr>
        <w:spacing w:after="0" w:line="154" w:lineRule="exact"/>
        <w:rPr>
          <w:sz w:val="20"/>
          <w:szCs w:val="20"/>
          <w:color w:val="auto"/>
        </w:rPr>
      </w:pPr>
    </w:p>
    <w:p>
      <w:pPr>
        <w:jc w:val="both"/>
        <w:ind w:firstLine="1497"/>
        <w:spacing w:after="0" w:line="236" w:lineRule="auto"/>
        <w:rPr>
          <w:sz w:val="20"/>
          <w:szCs w:val="20"/>
          <w:color w:val="auto"/>
        </w:rPr>
      </w:pPr>
      <w:r>
        <w:rPr>
          <w:rFonts w:ascii="Times New Roman" w:cs="Times New Roman" w:eastAsia="Times New Roman" w:hAnsi="Times New Roman"/>
          <w:sz w:val="22"/>
          <w:szCs w:val="22"/>
          <w:b w:val="1"/>
          <w:bCs w:val="1"/>
          <w:u w:val="single" w:color="auto"/>
          <w:color w:val="auto"/>
        </w:rPr>
        <w:t>Facility Fee</w:t>
      </w:r>
      <w:r>
        <w:rPr>
          <w:rFonts w:ascii="Times New Roman" w:cs="Times New Roman" w:eastAsia="Times New Roman" w:hAnsi="Times New Roman"/>
          <w:sz w:val="22"/>
          <w:szCs w:val="22"/>
          <w:b w:val="1"/>
          <w:bCs w:val="1"/>
          <w:color w:val="auto"/>
        </w:rPr>
        <w:t xml:space="preserve">. If, for any month during the Term, the daily unpaid balance of the sum of Revolving Advances </w:t>
      </w:r>
      <w:r>
        <w:rPr>
          <w:rFonts w:ascii="Times New Roman" w:cs="Times New Roman" w:eastAsia="Times New Roman" w:hAnsi="Times New Roman"/>
          <w:sz w:val="22"/>
          <w:szCs w:val="22"/>
          <w:b w:val="1"/>
          <w:bCs w:val="1"/>
          <w:u w:val="single" w:color="auto"/>
          <w:color w:val="auto"/>
        </w:rPr>
        <w:t>plus</w:t>
      </w:r>
      <w:r>
        <w:rPr>
          <w:rFonts w:ascii="Times New Roman" w:cs="Times New Roman" w:eastAsia="Times New Roman" w:hAnsi="Times New Roman"/>
          <w:sz w:val="22"/>
          <w:szCs w:val="22"/>
          <w:b w:val="1"/>
          <w:bCs w:val="1"/>
          <w:color w:val="auto"/>
        </w:rPr>
        <w:t xml:space="preserve"> Swing Loans </w:t>
      </w:r>
      <w:r>
        <w:rPr>
          <w:rFonts w:ascii="Times New Roman" w:cs="Times New Roman" w:eastAsia="Times New Roman" w:hAnsi="Times New Roman"/>
          <w:sz w:val="22"/>
          <w:szCs w:val="22"/>
          <w:b w:val="1"/>
          <w:bCs w:val="1"/>
          <w:u w:val="single" w:color="auto"/>
          <w:color w:val="auto"/>
        </w:rPr>
        <w:t>plus</w:t>
      </w:r>
      <w:r>
        <w:rPr>
          <w:rFonts w:ascii="Times New Roman" w:cs="Times New Roman" w:eastAsia="Times New Roman" w:hAnsi="Times New Roman"/>
          <w:sz w:val="22"/>
          <w:szCs w:val="22"/>
          <w:b w:val="1"/>
          <w:bCs w:val="1"/>
          <w:color w:val="auto"/>
        </w:rPr>
        <w:t xml:space="preserve"> the Dollar Equivalent of the Maximum Undrawn Amount of all outstanding Letters of Credit (the "</w:t>
      </w:r>
      <w:r>
        <w:rPr>
          <w:rFonts w:ascii="Times New Roman" w:cs="Times New Roman" w:eastAsia="Times New Roman" w:hAnsi="Times New Roman"/>
          <w:sz w:val="22"/>
          <w:szCs w:val="22"/>
          <w:b w:val="1"/>
          <w:bCs w:val="1"/>
          <w:u w:val="single" w:color="auto"/>
          <w:color w:val="auto"/>
        </w:rPr>
        <w:t>Usage Amount</w:t>
      </w:r>
      <w:r>
        <w:rPr>
          <w:rFonts w:ascii="Times New Roman" w:cs="Times New Roman" w:eastAsia="Times New Roman" w:hAnsi="Times New Roman"/>
          <w:sz w:val="22"/>
          <w:szCs w:val="22"/>
          <w:b w:val="1"/>
          <w:bCs w:val="1"/>
          <w:color w:val="auto"/>
        </w:rPr>
        <w:t>") does not equal the Maximum Revolving Advance Amount, then Borrowers shall pay to Agent, for the ratable benefit of Lenders holding the Revolving Commitments based on their Revolving Commitment Percentages, a fee at a rate equal to the Unused Line Fee for each such day the amount by which the Maximum Revolving Advance Amount on such day exceeds such Usage Amount (the "</w:t>
      </w:r>
      <w:r>
        <w:rPr>
          <w:rFonts w:ascii="Times New Roman" w:cs="Times New Roman" w:eastAsia="Times New Roman" w:hAnsi="Times New Roman"/>
          <w:sz w:val="22"/>
          <w:szCs w:val="22"/>
          <w:b w:val="1"/>
          <w:bCs w:val="1"/>
          <w:u w:val="single" w:color="auto"/>
          <w:color w:val="auto"/>
        </w:rPr>
        <w:t>Facility Fee</w:t>
      </w:r>
      <w:r>
        <w:rPr>
          <w:rFonts w:ascii="Times New Roman" w:cs="Times New Roman" w:eastAsia="Times New Roman" w:hAnsi="Times New Roman"/>
          <w:sz w:val="22"/>
          <w:szCs w:val="22"/>
          <w:b w:val="1"/>
          <w:bCs w:val="1"/>
          <w:color w:val="auto"/>
        </w:rPr>
        <w:t>"). Such Facility Fee shall be payable to Agent in arrears on the first (1st) day of each month with respect to the previous month.</w:t>
      </w:r>
    </w:p>
    <w:p>
      <w:pPr>
        <w:spacing w:after="0" w:line="17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b w:val="1"/>
          <w:bCs w:val="1"/>
          <w:u w:val="single" w:color="auto"/>
          <w:color w:val="auto"/>
        </w:rPr>
        <w:t>Collateral Evaluation Fee and Fee Letter</w:t>
      </w:r>
      <w:r>
        <w:rPr>
          <w:rFonts w:ascii="Times New Roman" w:cs="Times New Roman" w:eastAsia="Times New Roman" w:hAnsi="Times New Roman"/>
          <w:sz w:val="22"/>
          <w:szCs w:val="22"/>
          <w:b w:val="1"/>
          <w:bCs w:val="1"/>
          <w:color w:val="auto"/>
        </w:rPr>
        <w:t>.</w:t>
      </w:r>
    </w:p>
    <w:p>
      <w:pPr>
        <w:spacing w:after="0" w:line="210" w:lineRule="exact"/>
        <w:rPr>
          <w:sz w:val="20"/>
          <w:szCs w:val="20"/>
          <w:color w:val="auto"/>
        </w:rPr>
      </w:pPr>
    </w:p>
    <w:p>
      <w:pPr>
        <w:jc w:val="both"/>
        <w:ind w:firstLine="1497"/>
        <w:spacing w:after="0" w:line="233" w:lineRule="auto"/>
        <w:rPr>
          <w:sz w:val="20"/>
          <w:szCs w:val="20"/>
          <w:color w:val="auto"/>
        </w:rPr>
      </w:pPr>
      <w:r>
        <w:rPr>
          <w:rFonts w:ascii="Times New Roman" w:cs="Times New Roman" w:eastAsia="Times New Roman" w:hAnsi="Times New Roman"/>
          <w:sz w:val="22"/>
          <w:szCs w:val="22"/>
          <w:color w:val="auto"/>
        </w:rPr>
        <w:t xml:space="preserve">Borrowers shall pay to Agent (solely for its account and not the account of any Lenders) promptly at the conclusion of any collateral evaluation performed by or for the benefit of Agent – namely any field examination, collateral analysis or other business analysis, the need for which is to be determined by Agent and which evaluation is undertaken by Agent or for Agent's benefit - a collateral evaluation fee in an amount equal to $1,250 (or such other amount customarily charged by Agent to its customers) per day for each person employed to perform such evaluation, plus a per examination manager review fee (whether such examination is performed by Agent's employees or by a third party retained by agent) in the amount of $1,500 (or such other amount customarily charged by Agent to its customers), plus all costs and disbursements incurred by Agent in the performance of such examination or analysis, and further provided that if third parties are retained to perform such collateral evaluations by Agent, then such fees charged by such third parties plus all costs and disbursements incurred by such third party, shall be the responsibility of Borrowers and shall not be subject to the foregoing limits;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so long as no Event of Default shall have occurred during a calendar year, Borrowers shall not be obligated to reimburse Agent for more than one (1) field examination in such calendar year (increasing to two (2) field examinations in a calendar year if at any time during such calendar year Undrawn Availability is less than fifteen percent (15.0%) of the Maximum Loan Amount for five (5) consecutive Business Days, except for field examinations conducted in connection with a proposed Permitted Acquisition (whether or not consummated).</w:t>
      </w:r>
    </w:p>
    <w:p>
      <w:pPr>
        <w:spacing w:after="0" w:line="17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1"/>
          <w:szCs w:val="21"/>
          <w:color w:val="auto"/>
        </w:rPr>
        <w:t>Borrowers shall pay the amounts required to be paid in the Fee Letter in the manner and at the times required by</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Fee Letter.</w:t>
      </w:r>
    </w:p>
    <w:p>
      <w:pPr>
        <w:spacing w:after="0" w:line="182"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All of the reasonable and documented fees and out-of-pocket costs and expenses of any appraisals conducted pursuant to Section 4.7 hereof shall be paid for when due, in full and without deduction, off-set or counterclaim by Borrowers.</w:t>
      </w:r>
    </w:p>
    <w:p>
      <w:pPr>
        <w:spacing w:after="0" w:line="154" w:lineRule="exact"/>
        <w:rPr>
          <w:sz w:val="20"/>
          <w:szCs w:val="20"/>
          <w:color w:val="auto"/>
        </w:rPr>
      </w:pPr>
    </w:p>
    <w:p>
      <w:pPr>
        <w:jc w:val="both"/>
        <w:ind w:firstLine="1497"/>
        <w:spacing w:after="0" w:line="241" w:lineRule="auto"/>
        <w:rPr>
          <w:sz w:val="20"/>
          <w:szCs w:val="20"/>
          <w:color w:val="auto"/>
        </w:rPr>
      </w:pPr>
      <w:r>
        <w:rPr>
          <w:rFonts w:ascii="Times New Roman" w:cs="Times New Roman" w:eastAsia="Times New Roman" w:hAnsi="Times New Roman"/>
          <w:sz w:val="22"/>
          <w:szCs w:val="22"/>
          <w:b w:val="1"/>
          <w:bCs w:val="1"/>
          <w:u w:val="single" w:color="auto"/>
          <w:color w:val="auto"/>
        </w:rPr>
        <w:t>Computation of Interest and Fees</w:t>
      </w:r>
      <w:r>
        <w:rPr>
          <w:rFonts w:ascii="Times New Roman" w:cs="Times New Roman" w:eastAsia="Times New Roman" w:hAnsi="Times New Roman"/>
          <w:sz w:val="22"/>
          <w:szCs w:val="22"/>
          <w:b w:val="1"/>
          <w:bCs w:val="1"/>
          <w:color w:val="auto"/>
        </w:rPr>
        <w:t>. Interest and fees hereunder shall be computed on the basis of a year of three hundred sixty (360) days and for the actual number of days elapsed. If any payment to be made hereunder becomes due and payable on a day other than a Business Day, the due date thereof shall be extended to the next succeeding Business Day and interest thereon shall be payable at the applicable Contract Rate during such extension.</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43" w:name="page144"/>
    <w:bookmarkEnd w:id="143"/>
    <w:p>
      <w:pPr>
        <w:jc w:val="both"/>
        <w:ind w:firstLine="1497"/>
        <w:spacing w:after="0" w:line="236" w:lineRule="auto"/>
        <w:rPr>
          <w:sz w:val="20"/>
          <w:szCs w:val="20"/>
          <w:color w:val="auto"/>
        </w:rPr>
      </w:pPr>
      <w:r>
        <w:rPr>
          <w:rFonts w:ascii="Times New Roman" w:cs="Times New Roman" w:eastAsia="Times New Roman" w:hAnsi="Times New Roman"/>
          <w:sz w:val="22"/>
          <w:szCs w:val="22"/>
          <w:b w:val="1"/>
          <w:bCs w:val="1"/>
          <w:u w:val="single" w:color="auto"/>
          <w:color w:val="auto"/>
        </w:rPr>
        <w:t>Maximum Charges</w:t>
      </w:r>
      <w:r>
        <w:rPr>
          <w:rFonts w:ascii="Times New Roman" w:cs="Times New Roman" w:eastAsia="Times New Roman" w:hAnsi="Times New Roman"/>
          <w:sz w:val="22"/>
          <w:szCs w:val="22"/>
          <w:b w:val="1"/>
          <w:bCs w:val="1"/>
          <w:color w:val="auto"/>
        </w:rPr>
        <w:t>. In no event whatsoever shall interest and other charges charged hereunder exceed the highest rate permissible under Applicable Law. In the event interest and other charges as computed hereunder would otherwise exceed the highest rate permitted under Applicable Law: (i) the interest rates hereunder will be reduced to the maximum rate permitted under Applicable Law; (ii) such excess amount shall be first applied to any unpaid principal balance owed by Borrowers; and (iii) if the then remaining excess amount is greater than the previously unpaid principal balance, Lenders shall promptly refund such excess amount to Borrowers and the provisions hereof shall be deemed amended to provide for such permissible rate.</w:t>
      </w:r>
    </w:p>
    <w:p>
      <w:pPr>
        <w:spacing w:after="0" w:line="176" w:lineRule="exact"/>
        <w:rPr>
          <w:sz w:val="20"/>
          <w:szCs w:val="20"/>
          <w:color w:val="auto"/>
        </w:rPr>
      </w:pPr>
    </w:p>
    <w:p>
      <w:pPr>
        <w:jc w:val="both"/>
        <w:ind w:firstLine="1497"/>
        <w:spacing w:after="0" w:line="237" w:lineRule="auto"/>
        <w:rPr>
          <w:sz w:val="20"/>
          <w:szCs w:val="20"/>
          <w:color w:val="auto"/>
        </w:rPr>
      </w:pPr>
      <w:r>
        <w:rPr>
          <w:rFonts w:ascii="Times New Roman" w:cs="Times New Roman" w:eastAsia="Times New Roman" w:hAnsi="Times New Roman"/>
          <w:sz w:val="22"/>
          <w:szCs w:val="22"/>
          <w:b w:val="1"/>
          <w:bCs w:val="1"/>
          <w:u w:val="single" w:color="auto"/>
          <w:color w:val="auto"/>
        </w:rPr>
        <w:t>Increased Costs</w:t>
      </w:r>
      <w:r>
        <w:rPr>
          <w:rFonts w:ascii="Times New Roman" w:cs="Times New Roman" w:eastAsia="Times New Roman" w:hAnsi="Times New Roman"/>
          <w:sz w:val="22"/>
          <w:szCs w:val="22"/>
          <w:b w:val="1"/>
          <w:bCs w:val="1"/>
          <w:color w:val="auto"/>
        </w:rPr>
        <w:t>. In the event that any Applicable Law or any Change in Law or compliance by any Lender (for purposes of this Section 3.7, the term "Lender" shall include Agent, Swing Loan Lender, any Issuer or Lender and any corporation or bank controlling Agent, Swing Loan Lender, any Lender or Issuer and the office or branch where Agent, Swing Loan Lender, any Lender or Issuer (as so defined) makes or maintains any Term SOFR Rate Loans) with any request or directive (whether or not having the force of law) from any central bank or other financial, monetary or other authority, shall:</w:t>
      </w:r>
    </w:p>
    <w:p>
      <w:pPr>
        <w:spacing w:after="0" w:line="179"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color w:val="auto"/>
        </w:rPr>
        <w:t>subject Agent, Swing Loan Lender, any Lender or Issuer to any tax of any kind whatsoever with respect to this Agreement, any Letter of Credit, any participation in a Letter of Credit or any Term SOFR Rate Loan, or change the basis of taxation of payments to Agent, Swing Loan Lender, such Lender or Issuer in respect thereof (except for Connection Income Taxes or Indemnified Taxes or Other Taxes covered by Section 3.10 and the imposition of, or any change in the rate of, any Excluded Taxes payable by Agent, Swing Loan Lender, such Lender or the Issuer);</w:t>
      </w:r>
    </w:p>
    <w:p>
      <w:pPr>
        <w:spacing w:after="0" w:line="177"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color w:val="auto"/>
        </w:rPr>
        <w:t>impose, modify or deem applicable any reserve, special deposit, assessment, special deposit, compulsory loan, insurance charge or similar requirement against assets held by, or deposits in or for the account of, advances or loans by, or other credit extended by, any office of Agent, Swing Loan Lender, Issuer or any Lender, including pursuant to Regulation D of the Board of Governors of the Federal Reserve System; or</w:t>
      </w:r>
    </w:p>
    <w:p>
      <w:pPr>
        <w:spacing w:after="0" w:line="180"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impose on Agent, Swing Loan Lender, any Lender or Issuer any other condition, loss or expense (other than Taxes) affecting this Agreement or any Other Document or any Advance made by any Lender, or any Letter of Credit or participation therein;</w:t>
      </w:r>
    </w:p>
    <w:p>
      <w:pPr>
        <w:spacing w:after="0" w:line="17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2"/>
          <w:szCs w:val="22"/>
          <w:color w:val="auto"/>
        </w:rPr>
        <w:t>and the result of any of the foregoing is to increase the cost to Agent, Swing Loan Lender, any Lender or Issuer of making, converting to, continuing, renewing or maintaining its Advances hereunder by an amount that Agent, Swing Loan Lender, such Lender or Issuer deems to be material or to reduce the amount of any payment (whether of principal, interest or otherwise) in respect of any of the Advances by an amount that Agent, Swing Loan Lender or such Lender or Issuer deems to be material, then, in any case Borrowers shall pay Agent, Swing Loan Lender, such Lender or Issuer, within ten (10) days after receipt of a certificate from Agent, Swing Loan Lender, such Lender or Issuer, such additional amount as will compensate Agent, Swing Loan Lender or such Lender or Issuer for such additional cost or such reduction, as the case may be, provided that the foregoing shall not apply to increased costs which are reflected in the Term SOFR Rate, as the case may be. Agent, Swing Loan Lender, such Lender or Issuer</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44" w:name="page145"/>
    <w:bookmarkEnd w:id="144"/>
    <w:p>
      <w:pPr>
        <w:jc w:val="both"/>
        <w:spacing w:after="0" w:line="295" w:lineRule="auto"/>
        <w:rPr>
          <w:sz w:val="20"/>
          <w:szCs w:val="20"/>
          <w:color w:val="auto"/>
        </w:rPr>
      </w:pPr>
      <w:r>
        <w:rPr>
          <w:rFonts w:ascii="Times New Roman" w:cs="Times New Roman" w:eastAsia="Times New Roman" w:hAnsi="Times New Roman"/>
          <w:sz w:val="22"/>
          <w:szCs w:val="22"/>
          <w:color w:val="auto"/>
        </w:rPr>
        <w:t>shall certify the amount of such additional cost or reduced amount to Borrowing Agent, and such certification shall be conclusive absent manifest error.</w:t>
      </w:r>
    </w:p>
    <w:p>
      <w:pPr>
        <w:spacing w:after="0" w:line="134"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22"/>
          <w:szCs w:val="22"/>
          <w:color w:val="auto"/>
        </w:rPr>
        <w:t xml:space="preserve">Failure or delay on the part of Agent, Swing Loan Lender, such Lender or Issuer to demand compensation pursuant to this Section shall not constitute a waiver of Agent's, Swing Loan Lender's, such Lender's or Issuer's right to demand such compensation;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Borrowers shall not be required to compensate Agent, Swing Loan Lender, such Lender or Issuer pursuant to this Section for any increased costs incurred or reductions suffered more than one hundred eighty (180) days prior to the date that Agent, Swing Loan Lender, such Lender or Issuer, as the case may be, notifies the Borrowers of the event or Change in Law giving rise to such increased costs or reductions, and of such Agent's, Swing Loan Lender's, such Lender's or Issuer's intention to claim compensation therefor (except that, if the Change in Law giving rise to such increased costs or reductions is retroactive, then the one hundred eighty (180) day period referred to above shall be extended to include the period of retroactive effect thereof).</w:t>
      </w:r>
    </w:p>
    <w:p>
      <w:pPr>
        <w:spacing w:after="0" w:line="16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b w:val="1"/>
          <w:bCs w:val="1"/>
          <w:u w:val="single" w:color="auto"/>
          <w:color w:val="auto"/>
        </w:rPr>
        <w:t>Alternate Rate of Interest</w:t>
      </w:r>
      <w:r>
        <w:rPr>
          <w:rFonts w:ascii="Times New Roman" w:cs="Times New Roman" w:eastAsia="Times New Roman" w:hAnsi="Times New Roman"/>
          <w:sz w:val="22"/>
          <w:szCs w:val="22"/>
          <w:b w:val="1"/>
          <w:bCs w:val="1"/>
          <w:color w:val="auto"/>
        </w:rPr>
        <w:t>.</w:t>
      </w:r>
    </w:p>
    <w:p>
      <w:pPr>
        <w:spacing w:after="0" w:line="214" w:lineRule="exact"/>
        <w:rPr>
          <w:sz w:val="20"/>
          <w:szCs w:val="20"/>
          <w:color w:val="auto"/>
        </w:rPr>
      </w:pPr>
    </w:p>
    <w:p>
      <w:pPr>
        <w:ind w:left="760"/>
        <w:spacing w:after="0"/>
        <w:tabs>
          <w:tab w:leader="none" w:pos="1640" w:val="left"/>
        </w:tabs>
        <w:rPr>
          <w:sz w:val="20"/>
          <w:szCs w:val="20"/>
          <w:color w:val="auto"/>
        </w:rPr>
      </w:pPr>
      <w:r>
        <w:rPr>
          <w:rFonts w:ascii="Times New Roman" w:cs="Times New Roman" w:eastAsia="Times New Roman" w:hAnsi="Times New Roman"/>
          <w:sz w:val="22"/>
          <w:szCs w:val="22"/>
          <w:color w:val="auto"/>
        </w:rPr>
        <w:t>3.8.1.</w:t>
      </w:r>
      <w:r>
        <w:rPr>
          <w:sz w:val="20"/>
          <w:szCs w:val="20"/>
          <w:color w:val="auto"/>
        </w:rPr>
        <w:tab/>
      </w:r>
      <w:r>
        <w:rPr>
          <w:rFonts w:ascii="Times New Roman" w:cs="Times New Roman" w:eastAsia="Times New Roman" w:hAnsi="Times New Roman"/>
          <w:sz w:val="22"/>
          <w:szCs w:val="22"/>
          <w:u w:val="single" w:color="auto"/>
          <w:color w:val="auto"/>
        </w:rPr>
        <w:t>Interest Rate Inadequate or Unfair</w:t>
      </w:r>
      <w:r>
        <w:rPr>
          <w:rFonts w:ascii="Times New Roman" w:cs="Times New Roman" w:eastAsia="Times New Roman" w:hAnsi="Times New Roman"/>
          <w:sz w:val="22"/>
          <w:szCs w:val="22"/>
          <w:color w:val="auto"/>
        </w:rPr>
        <w:t>. In the event that Agent or any Lender shall have determined that:</w:t>
      </w:r>
    </w:p>
    <w:p>
      <w:pPr>
        <w:spacing w:after="0" w:line="229"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reasonable means do not exist for ascertaining the Term SOFR Rate applicable pursuant to Section 2.2 hereof for any Interest Period; or</w:t>
      </w:r>
    </w:p>
    <w:p>
      <w:pPr>
        <w:spacing w:after="0" w:line="158"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Dollar deposits in the relevant amount and for the relevant maturity are not available in the London interbank Term SOFR market, with respect to an outstanding Term SOFR Rate Loan, a proposed Term SOFR Rate Loan, or a proposed conversion of a Domestic Rate Loan into a Term SOFR Rate Loan; or</w:t>
      </w:r>
    </w:p>
    <w:p>
      <w:pPr>
        <w:spacing w:after="0" w:line="173" w:lineRule="exact"/>
        <w:rPr>
          <w:sz w:val="20"/>
          <w:szCs w:val="20"/>
          <w:color w:val="auto"/>
        </w:rPr>
      </w:pPr>
    </w:p>
    <w:p>
      <w:pPr>
        <w:jc w:val="both"/>
        <w:ind w:right="20" w:firstLine="1497"/>
        <w:spacing w:after="0" w:line="261" w:lineRule="auto"/>
        <w:rPr>
          <w:sz w:val="20"/>
          <w:szCs w:val="20"/>
          <w:color w:val="auto"/>
        </w:rPr>
      </w:pPr>
      <w:r>
        <w:rPr>
          <w:rFonts w:ascii="Times New Roman" w:cs="Times New Roman" w:eastAsia="Times New Roman" w:hAnsi="Times New Roman"/>
          <w:sz w:val="21"/>
          <w:szCs w:val="21"/>
          <w:color w:val="auto"/>
        </w:rPr>
        <w:t>the making, maintenance or funding of any Term SOFR Rate Loan has been made impracticable or unlawful by compliance by Agent or such Lender in good faith with any Applicable Law or any interpretation or application thereof by any Governmental Body or with any request or directive of any such Governmental Body (whether or not having the force of law), or</w:t>
      </w:r>
    </w:p>
    <w:p>
      <w:pPr>
        <w:spacing w:after="0" w:line="157"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the Term SOFR Rate will not adequately and fairly reflect the cost to such Lender of the establishment or maintenance of any Term SOFR Rate Loan,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then Agent shall give Borrowing Agent prompt written or telephonic notice of such determination. If such notice is given,</w:t>
      </w:r>
    </w:p>
    <w:p>
      <w:pPr>
        <w:spacing w:after="0" w:line="41" w:lineRule="exact"/>
        <w:rPr>
          <w:sz w:val="20"/>
          <w:szCs w:val="20"/>
          <w:color w:val="auto"/>
        </w:rPr>
      </w:pPr>
    </w:p>
    <w:p>
      <w:pPr>
        <w:jc w:val="both"/>
        <w:ind w:firstLine="8"/>
        <w:spacing w:after="0" w:line="260" w:lineRule="auto"/>
        <w:tabs>
          <w:tab w:leader="none" w:pos="275"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such requested Term SOFR Rate Loan shall be made as a Domestic Rate Loan, unless Borrowing Agent shall notify Agent no later than 1:00 p.m. two (2) Business Days prior to the date of such proposed borrowing, that its request for such borrowing shall be cancelled or made as an unaffected type of Term SOFR Rate Loan, (ii) any Domestic Rate Loan or Term SOFR Rate Loan which was to have been converted to an affected type of Term SOFR Rate Loan shall be continued as or converted into a Domestic Rate Loan, or, if Borrowing Agent shall notify Agent, no later than 1:00 p.m. two (2) Business</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145" w:name="page146"/>
    <w:bookmarkEnd w:id="145"/>
    <w:p>
      <w:pPr>
        <w:jc w:val="both"/>
        <w:spacing w:after="0" w:line="261" w:lineRule="auto"/>
        <w:rPr>
          <w:sz w:val="20"/>
          <w:szCs w:val="20"/>
          <w:color w:val="auto"/>
        </w:rPr>
      </w:pPr>
      <w:r>
        <w:rPr>
          <w:rFonts w:ascii="Times New Roman" w:cs="Times New Roman" w:eastAsia="Times New Roman" w:hAnsi="Times New Roman"/>
          <w:sz w:val="22"/>
          <w:szCs w:val="22"/>
          <w:color w:val="auto"/>
        </w:rPr>
        <w:t>Days prior to the proposed conversion, shall be maintained as an unaffected type of Term SOFR Rate Loan, and (iii) any outstanding affected Term SOFR Rate Loans shall be converted into a Domestic Rate Loan, or, if Borrowing Agent shall notify Agent, no later than 1:00 p.m. two (2) Business Days prior to the last Business Day of the then current Interest Period applicable to such affected Term SOFR Rate Loan, shall be converted into an unaffected type of Term SOFR Rate Loan, on the last Business Day of the then current Interest Period for such affected Term SOFR Rate Loans (or sooner, if any Lender cannot continue to lawfully maintain such affected Term SOFR Rate Loan). Until such notice has been withdrawn, Lenders shall have no obligation to make an affected type of Term SOFR Rate Loan or maintain outstanding affected Term SOFR Rate Loans and no Borrower shall have the right to convert a Domestic Rate Loan or an unaffected type of Term SOFR Rate Loan into an affected type of Term SOFR Rate Loan.</w:t>
      </w:r>
    </w:p>
    <w:p>
      <w:pPr>
        <w:spacing w:after="0" w:line="170" w:lineRule="exact"/>
        <w:rPr>
          <w:sz w:val="20"/>
          <w:szCs w:val="20"/>
          <w:color w:val="auto"/>
        </w:rPr>
      </w:pPr>
    </w:p>
    <w:p>
      <w:pPr>
        <w:ind w:left="760"/>
        <w:spacing w:after="0"/>
        <w:tabs>
          <w:tab w:leader="none" w:pos="1640" w:val="left"/>
        </w:tabs>
        <w:rPr>
          <w:sz w:val="20"/>
          <w:szCs w:val="20"/>
          <w:color w:val="auto"/>
        </w:rPr>
      </w:pPr>
      <w:r>
        <w:rPr>
          <w:rFonts w:ascii="Times New Roman" w:cs="Times New Roman" w:eastAsia="Times New Roman" w:hAnsi="Times New Roman"/>
          <w:sz w:val="22"/>
          <w:szCs w:val="22"/>
          <w:color w:val="auto"/>
        </w:rPr>
        <w:t>3.8.2.</w:t>
      </w:r>
      <w:r>
        <w:rPr>
          <w:sz w:val="20"/>
          <w:szCs w:val="20"/>
          <w:color w:val="auto"/>
        </w:rPr>
        <w:tab/>
      </w:r>
      <w:r>
        <w:rPr>
          <w:rFonts w:ascii="Times New Roman" w:cs="Times New Roman" w:eastAsia="Times New Roman" w:hAnsi="Times New Roman"/>
          <w:sz w:val="22"/>
          <w:szCs w:val="22"/>
          <w:u w:val="single" w:color="auto"/>
          <w:color w:val="auto"/>
        </w:rPr>
        <w:t>Benchmark Replacement Setting</w:t>
      </w:r>
      <w:r>
        <w:rPr>
          <w:rFonts w:ascii="Times New Roman" w:cs="Times New Roman" w:eastAsia="Times New Roman" w:hAnsi="Times New Roman"/>
          <w:sz w:val="22"/>
          <w:szCs w:val="22"/>
          <w:color w:val="auto"/>
        </w:rPr>
        <w:t>.</w:t>
      </w:r>
    </w:p>
    <w:p>
      <w:pPr>
        <w:spacing w:after="0" w:line="229" w:lineRule="exact"/>
        <w:rPr>
          <w:sz w:val="20"/>
          <w:szCs w:val="20"/>
          <w:color w:val="auto"/>
        </w:rPr>
      </w:pPr>
    </w:p>
    <w:p>
      <w:pPr>
        <w:jc w:val="both"/>
        <w:ind w:left="1140" w:hanging="373"/>
        <w:spacing w:after="0" w:line="233" w:lineRule="auto"/>
        <w:rPr>
          <w:sz w:val="20"/>
          <w:szCs w:val="20"/>
          <w:color w:val="auto"/>
        </w:rPr>
      </w:pPr>
      <w:r>
        <w:rPr>
          <w:rFonts w:ascii="Times New Roman" w:cs="Times New Roman" w:eastAsia="Times New Roman" w:hAnsi="Times New Roman"/>
          <w:sz w:val="22"/>
          <w:szCs w:val="22"/>
          <w:u w:val="single" w:color="auto"/>
          <w:color w:val="auto"/>
        </w:rPr>
        <w:t>Benchmark Replacement</w:t>
      </w:r>
      <w:r>
        <w:rPr>
          <w:rFonts w:ascii="Times New Roman" w:cs="Times New Roman" w:eastAsia="Times New Roman" w:hAnsi="Times New Roman"/>
          <w:sz w:val="22"/>
          <w:szCs w:val="22"/>
          <w:color w:val="auto"/>
        </w:rPr>
        <w:t>.</w:t>
      </w:r>
      <w:r>
        <w:rPr>
          <w:sz w:val="20"/>
          <w:szCs w:val="20"/>
          <w:color w:val="auto"/>
        </w:rPr>
        <w:t xml:space="preserve"> </w:t>
      </w:r>
      <w:r>
        <w:rPr>
          <w:rFonts w:ascii="Times New Roman" w:cs="Times New Roman" w:eastAsia="Times New Roman" w:hAnsi="Times New Roman"/>
          <w:sz w:val="22"/>
          <w:szCs w:val="22"/>
          <w:color w:val="auto"/>
        </w:rPr>
        <w:t>Notwithstanding anything to the contrary herein or in any Other Document (and any agreement executed in connection with an Interest Rate Hedge shall be deemed not to be an "Other Document" for purposes of this Section titled "Benchmark Replacement Setting"), if a Benchmark Transition Event and related Benchmark Replacement Date have occurred prior to any setting of the then-current Benchmark, then (A) if a Benchmark Replacement is determined in accordance with clause (1) of the definition of "Benchmark Replacement" for such Benchmark Replacement Date, such Benchmark Replacement will replace such Benchmark for all purposes hereunder and under any Other Document in respect of such Benchmark setting and subsequent Benchmark settings without any amendment to, or further action or consent of any other party to, this Agreement or any Other Document and (B) if a Benchmark Replacement is determined in accordance with clause (2) of the definition of "Benchmark Replacement" for such Benchmark Replacement Date, such Benchmark Replacement will replace such Benchmark for all purposes hereunder and under any Other Document in respect of any Benchmark setting at or after 5:00 p.m. (New York City time) on the fifth (5th) Business Day after the date notice of such Benchmark Replacement is provided to the Lenders without any amendment to, or further action or consent of any other party to, this Agreement or any Other Document so long as the Agent has not received, by such time, written notice of objection to such Benchmark Replacement from Lenders comprising the Required Lenders.</w:t>
      </w:r>
    </w:p>
    <w:p>
      <w:pPr>
        <w:spacing w:after="0" w:line="177" w:lineRule="exact"/>
        <w:rPr>
          <w:sz w:val="20"/>
          <w:szCs w:val="20"/>
          <w:color w:val="auto"/>
        </w:rPr>
      </w:pPr>
    </w:p>
    <w:p>
      <w:pPr>
        <w:jc w:val="both"/>
        <w:ind w:left="1140" w:hanging="373"/>
        <w:spacing w:after="0" w:line="238" w:lineRule="auto"/>
        <w:rPr>
          <w:sz w:val="20"/>
          <w:szCs w:val="20"/>
          <w:color w:val="auto"/>
        </w:rPr>
      </w:pPr>
      <w:r>
        <w:rPr>
          <w:rFonts w:ascii="Times New Roman" w:cs="Times New Roman" w:eastAsia="Times New Roman" w:hAnsi="Times New Roman"/>
          <w:sz w:val="22"/>
          <w:szCs w:val="22"/>
          <w:u w:val="single" w:color="auto"/>
          <w:color w:val="auto"/>
        </w:rPr>
        <w:t>Benchmark Replacement Conforming Changes</w:t>
      </w:r>
      <w:r>
        <w:rPr>
          <w:rFonts w:ascii="Times New Roman" w:cs="Times New Roman" w:eastAsia="Times New Roman" w:hAnsi="Times New Roman"/>
          <w:sz w:val="22"/>
          <w:szCs w:val="22"/>
          <w:color w:val="auto"/>
        </w:rPr>
        <w:t>. In connection with the use, administration, adoption or implementation of a Benchmark Replacement, the Agent may make Conforming Changes from time to time and, notwithstanding anything to the contrary herein or in the Other Documents, any amendments implementing such Conforming Changes will become effective without any further action or consent of any other party to this Agreement or any Other Document.</w:t>
      </w:r>
    </w:p>
    <w:p>
      <w:pPr>
        <w:spacing w:after="0" w:line="1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u w:val="single" w:color="auto"/>
          <w:color w:val="auto"/>
        </w:rPr>
        <w:t>Notices; Standards for Decisions and Determinations</w:t>
      </w:r>
      <w:r>
        <w:rPr>
          <w:rFonts w:ascii="Times New Roman" w:cs="Times New Roman" w:eastAsia="Times New Roman" w:hAnsi="Times New Roman"/>
          <w:sz w:val="22"/>
          <w:szCs w:val="22"/>
          <w:color w:val="auto"/>
        </w:rPr>
        <w:t>. The Agent will promptly notify the Borrower and the Lenders of</w:t>
      </w:r>
    </w:p>
    <w:p>
      <w:pPr>
        <w:spacing w:after="0" w:line="14" w:lineRule="exact"/>
        <w:rPr>
          <w:sz w:val="20"/>
          <w:szCs w:val="20"/>
          <w:color w:val="auto"/>
        </w:rPr>
      </w:pPr>
    </w:p>
    <w:p>
      <w:pPr>
        <w:ind w:left="1140" w:hanging="9"/>
        <w:spacing w:after="0" w:line="237" w:lineRule="auto"/>
        <w:tabs>
          <w:tab w:leader="none" w:pos="1423"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implementation of any Benchmark Replacement, and (ii) the effectiveness of any Conforming Changes in connection with the use,</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146" w:name="page147"/>
    <w:bookmarkEnd w:id="146"/>
    <w:p>
      <w:pPr>
        <w:ind w:left="380"/>
        <w:spacing w:after="0"/>
        <w:rPr>
          <w:sz w:val="20"/>
          <w:szCs w:val="20"/>
          <w:color w:val="auto"/>
        </w:rPr>
      </w:pPr>
      <w:r>
        <w:rPr>
          <w:rFonts w:ascii="Times New Roman" w:cs="Times New Roman" w:eastAsia="Times New Roman" w:hAnsi="Times New Roman"/>
          <w:sz w:val="22"/>
          <w:szCs w:val="22"/>
          <w:color w:val="auto"/>
        </w:rPr>
        <w:t>administration, adoption or implementation of a Benchmark Replacement. The Agent will notify the Borrower of,</w:t>
      </w:r>
    </w:p>
    <w:p>
      <w:pPr>
        <w:spacing w:after="0" w:line="14" w:lineRule="exact"/>
        <w:rPr>
          <w:sz w:val="20"/>
          <w:szCs w:val="20"/>
          <w:color w:val="auto"/>
        </w:rPr>
      </w:pPr>
    </w:p>
    <w:p>
      <w:pPr>
        <w:jc w:val="both"/>
        <w:ind w:left="380" w:hanging="9"/>
        <w:spacing w:after="0" w:line="232" w:lineRule="auto"/>
        <w:tabs>
          <w:tab w:leader="none" w:pos="740"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removal or reinstatement of any tenor of a Benchmark pursuant to paragraph (d) below and (y) the commencement of any Benchmark Unavailability Period. Any determination, decision or election that may be made by the Agent or, if applicable, any Lender (or group of Lenders) pursuant to this Section,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Document except, in each case, as expressly required pursuant to this Section.</w:t>
      </w:r>
    </w:p>
    <w:p>
      <w:pPr>
        <w:spacing w:after="0" w:line="180" w:lineRule="exact"/>
        <w:rPr>
          <w:sz w:val="20"/>
          <w:szCs w:val="20"/>
          <w:color w:val="auto"/>
        </w:rPr>
      </w:pPr>
    </w:p>
    <w:p>
      <w:pPr>
        <w:jc w:val="both"/>
        <w:ind w:left="380" w:hanging="373"/>
        <w:spacing w:after="0" w:line="233" w:lineRule="auto"/>
        <w:rPr>
          <w:sz w:val="20"/>
          <w:szCs w:val="20"/>
          <w:color w:val="auto"/>
        </w:rPr>
      </w:pPr>
      <w:r>
        <w:rPr>
          <w:rFonts w:ascii="Times New Roman" w:cs="Times New Roman" w:eastAsia="Times New Roman" w:hAnsi="Times New Roman"/>
          <w:sz w:val="22"/>
          <w:szCs w:val="22"/>
          <w:u w:val="single" w:color="auto"/>
          <w:color w:val="auto"/>
        </w:rPr>
        <w:t>Unavailability of Tenor of Benchmark</w:t>
      </w:r>
      <w:r>
        <w:rPr>
          <w:rFonts w:ascii="Times New Roman" w:cs="Times New Roman" w:eastAsia="Times New Roman" w:hAnsi="Times New Roman"/>
          <w:sz w:val="22"/>
          <w:szCs w:val="22"/>
          <w:color w:val="auto"/>
        </w:rPr>
        <w:t>.</w:t>
      </w:r>
      <w:r>
        <w:rPr>
          <w:sz w:val="20"/>
          <w:szCs w:val="20"/>
          <w:color w:val="auto"/>
        </w:rPr>
        <w:t xml:space="preserve"> </w:t>
      </w:r>
      <w:r>
        <w:rPr>
          <w:rFonts w:ascii="Times New Roman" w:cs="Times New Roman" w:eastAsia="Times New Roman" w:hAnsi="Times New Roman"/>
          <w:sz w:val="22"/>
          <w:szCs w:val="22"/>
          <w:color w:val="auto"/>
        </w:rPr>
        <w:t>Notwithstanding anything to the contrary herein or in any of the Other Documents, at any time (including in connection with the implementation of a Benchmark Replacement), (i) if the then-current Benchmark is a term rate and either (A) any tenor for such Benchmark is not displayed on a screen or other information service that publishes such rate from time to time as selected by the Agent in its reasonable discretion or (B) the regulatory supervisor for the administrator of such Benchmark has provided a public statement or publication of information announcing that any tenor of such Benchmark is not or will not be representative, then the Agent may modify the definition of "Interest Period" (or any similar or analogous definition) for any Benchmark settings at or after such time to remove such unavailable or non-representative tenor and (ii) if a tenor that was removed pursuant to clause (i) above either (A) is subsequently displayed on a screen or information service for a Benchmark (including a Benchmark Replacement) or (B) is not, or is no longer, subject to an announcement that it is not or will not be representative for a Benchmark (including a Benchmark Replacement), then the Agent may modify the definition of "Interest Period" (or any similar or analogous definition) for all Benchmark settings at or after such time to reinstate such previously removed tenor.</w:t>
      </w:r>
    </w:p>
    <w:p>
      <w:pPr>
        <w:spacing w:after="0" w:line="182" w:lineRule="exact"/>
        <w:rPr>
          <w:sz w:val="20"/>
          <w:szCs w:val="20"/>
          <w:color w:val="auto"/>
        </w:rPr>
      </w:pPr>
    </w:p>
    <w:p>
      <w:pPr>
        <w:jc w:val="both"/>
        <w:ind w:left="380" w:hanging="373"/>
        <w:spacing w:after="0" w:line="235" w:lineRule="auto"/>
        <w:rPr>
          <w:sz w:val="20"/>
          <w:szCs w:val="20"/>
          <w:color w:val="auto"/>
        </w:rPr>
      </w:pPr>
      <w:r>
        <w:rPr>
          <w:rFonts w:ascii="Times New Roman" w:cs="Times New Roman" w:eastAsia="Times New Roman" w:hAnsi="Times New Roman"/>
          <w:sz w:val="22"/>
          <w:szCs w:val="22"/>
          <w:u w:val="single" w:color="auto"/>
          <w:color w:val="auto"/>
        </w:rPr>
        <w:t>Benchmark Unavailability Period</w:t>
      </w:r>
      <w:r>
        <w:rPr>
          <w:rFonts w:ascii="Times New Roman" w:cs="Times New Roman" w:eastAsia="Times New Roman" w:hAnsi="Times New Roman"/>
          <w:sz w:val="22"/>
          <w:szCs w:val="22"/>
          <w:color w:val="auto"/>
        </w:rPr>
        <w:t>.</w:t>
      </w:r>
      <w:r>
        <w:rPr>
          <w:sz w:val="20"/>
          <w:szCs w:val="20"/>
          <w:color w:val="auto"/>
        </w:rPr>
        <w:t xml:space="preserve"> </w:t>
      </w:r>
      <w:r>
        <w:rPr>
          <w:rFonts w:ascii="Times New Roman" w:cs="Times New Roman" w:eastAsia="Times New Roman" w:hAnsi="Times New Roman"/>
          <w:sz w:val="22"/>
          <w:szCs w:val="22"/>
          <w:color w:val="auto"/>
        </w:rPr>
        <w:t>Upon the Borrowers' receipt of notice of the commencement of a Benchmark Unavailability Period, the Borrowers may revoke any pending request for an Advance bearing interest based on the Term SOFR Rate, conversion to or continuation of Advances bearing interest based on the Term SOFR Rate to be made, converted or continued during any Benchmark Unavailability Period and, failing that, the Borrowers will be deemed to have converted any such request into a request for a Domestic Rate Loan. During any Benchmark Unavailability Period or at any time that a tenor for the then-current Benchmark is not an Available Tenor, the component of the Alternate Base Rate based upon the then-current Benchmark or such tenor for such Benchmark, as applicable, will not be used in any determination of the Alternate Base Rate.</w:t>
      </w:r>
    </w:p>
    <w:p>
      <w:pPr>
        <w:spacing w:after="0" w:line="178" w:lineRule="exact"/>
        <w:rPr>
          <w:sz w:val="20"/>
          <w:szCs w:val="20"/>
          <w:color w:val="auto"/>
        </w:rPr>
      </w:pPr>
    </w:p>
    <w:p>
      <w:pPr>
        <w:ind w:left="740"/>
        <w:spacing w:after="0"/>
        <w:tabs>
          <w:tab w:leader="none" w:pos="1160" w:val="left"/>
        </w:tabs>
        <w:rPr>
          <w:sz w:val="20"/>
          <w:szCs w:val="20"/>
          <w:color w:val="auto"/>
        </w:rPr>
      </w:pPr>
      <w:r>
        <w:rPr>
          <w:rFonts w:ascii="Times New Roman" w:cs="Times New Roman" w:eastAsia="Times New Roman" w:hAnsi="Times New Roman"/>
          <w:sz w:val="22"/>
          <w:szCs w:val="22"/>
          <w:color w:val="auto"/>
        </w:rPr>
        <w:t>(a)</w:t>
      </w:r>
      <w:r>
        <w:rPr>
          <w:sz w:val="20"/>
          <w:szCs w:val="20"/>
          <w:color w:val="auto"/>
        </w:rPr>
        <w:tab/>
      </w:r>
      <w:r>
        <w:rPr>
          <w:rFonts w:ascii="Times New Roman" w:cs="Times New Roman" w:eastAsia="Times New Roman" w:hAnsi="Times New Roman"/>
          <w:sz w:val="21"/>
          <w:szCs w:val="21"/>
          <w:u w:val="single" w:color="auto"/>
          <w:color w:val="auto"/>
        </w:rPr>
        <w:t>Certain Defined Terms</w:t>
      </w:r>
      <w:r>
        <w:rPr>
          <w:rFonts w:ascii="Times New Roman" w:cs="Times New Roman" w:eastAsia="Times New Roman" w:hAnsi="Times New Roman"/>
          <w:sz w:val="21"/>
          <w:szCs w:val="21"/>
          <w:color w:val="auto"/>
        </w:rPr>
        <w:t>. As used in this Section 3.8.2:</w:t>
      </w:r>
    </w:p>
    <w:p>
      <w:pPr>
        <w:spacing w:after="0" w:line="206" w:lineRule="exact"/>
        <w:rPr>
          <w:sz w:val="20"/>
          <w:szCs w:val="20"/>
          <w:color w:val="auto"/>
        </w:rPr>
      </w:pPr>
    </w:p>
    <w:p>
      <w:pPr>
        <w:jc w:val="both"/>
        <w:ind w:right="760" w:firstLine="695"/>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Available Tenor</w:t>
      </w:r>
      <w:r>
        <w:rPr>
          <w:rFonts w:ascii="Times New Roman" w:cs="Times New Roman" w:eastAsia="Times New Roman" w:hAnsi="Times New Roman"/>
          <w:sz w:val="22"/>
          <w:szCs w:val="22"/>
          <w:color w:val="auto"/>
        </w:rPr>
        <w:t>" means, as of any date of determination and with respect to the then-current Benchmark, as applicable (x) if such Benchmark is a term rate or is based on a term rate, any tenor for such Benchmark (or component thereof)</w:t>
      </w:r>
    </w:p>
    <w:p>
      <w:pPr>
        <w:spacing w:after="0" w:line="200" w:lineRule="exact"/>
        <w:rPr>
          <w:sz w:val="20"/>
          <w:szCs w:val="20"/>
          <w:color w:val="auto"/>
        </w:rPr>
      </w:pPr>
    </w:p>
    <w:p>
      <w:pPr>
        <w:spacing w:after="0" w:line="378"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22"/>
          <w:szCs w:val="22"/>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478155</wp:posOffset>
            </wp:positionV>
            <wp:extent cx="7157720"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08" w:right="339" w:bottom="1440" w:gutter="0" w:footer="0" w:header="0"/>
        </w:sectPr>
      </w:pPr>
    </w:p>
    <w:bookmarkStart w:id="147" w:name="page148"/>
    <w:bookmarkEnd w:id="147"/>
    <w:p>
      <w:pPr>
        <w:jc w:val="both"/>
        <w:ind w:left="3"/>
        <w:spacing w:after="0" w:line="236" w:lineRule="auto"/>
        <w:rPr>
          <w:sz w:val="20"/>
          <w:szCs w:val="20"/>
          <w:color w:val="auto"/>
        </w:rPr>
      </w:pPr>
      <w:r>
        <w:rPr>
          <w:rFonts w:ascii="Times New Roman" w:cs="Times New Roman" w:eastAsia="Times New Roman" w:hAnsi="Times New Roman"/>
          <w:sz w:val="22"/>
          <w:szCs w:val="22"/>
          <w:color w:val="auto"/>
        </w:rPr>
        <w:t>that is or may be used for determining the length of an interest period pursuant to this Agreement or (y) otherwise, any payment period for interest calculated with reference to such Benchmark (or a component thereof) that is or may be used for determining any frequency of making payments of interest calculated with reference to such Benchmark pursuant to this Agreement, in each case, as of such date and not including, for the avoidance of doubt, any tenor of such Benchmark that is then-removed from the definition of "Interest Period" pursuant to paragraph (d) of this Section .</w:t>
      </w:r>
    </w:p>
    <w:p>
      <w:pPr>
        <w:spacing w:after="0" w:line="181" w:lineRule="exact"/>
        <w:rPr>
          <w:sz w:val="20"/>
          <w:szCs w:val="20"/>
          <w:color w:val="auto"/>
        </w:rPr>
      </w:pPr>
    </w:p>
    <w:p>
      <w:pPr>
        <w:jc w:val="both"/>
        <w:ind w:left="3" w:right="20" w:firstLine="695"/>
        <w:spacing w:after="0" w:line="239" w:lineRule="auto"/>
        <w:rPr>
          <w:sz w:val="20"/>
          <w:szCs w:val="20"/>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Benchmark</w:t>
      </w:r>
      <w:r>
        <w:rPr>
          <w:rFonts w:ascii="Times New Roman" w:cs="Times New Roman" w:eastAsia="Times New Roman" w:hAnsi="Times New Roman"/>
          <w:sz w:val="22"/>
          <w:szCs w:val="22"/>
          <w:color w:val="auto"/>
        </w:rPr>
        <w:t>" means, initially, the Term SOFR Rate; provided that if a Benchmark Transition Event has occurred with respect to the Term SOFR Rate or the then-current Benchmark, then "Benchmark" means the applicable Benchmark Replacement to the extent that such Benchmark Replacement has replaced such prior benchmark rate pursuant to this Section.</w:t>
      </w:r>
    </w:p>
    <w:p>
      <w:pPr>
        <w:spacing w:after="0" w:line="180" w:lineRule="exact"/>
        <w:rPr>
          <w:sz w:val="20"/>
          <w:szCs w:val="20"/>
          <w:color w:val="auto"/>
        </w:rPr>
      </w:pPr>
    </w:p>
    <w:p>
      <w:pPr>
        <w:jc w:val="both"/>
        <w:ind w:left="3" w:right="20" w:firstLine="695"/>
        <w:spacing w:after="0" w:line="244" w:lineRule="auto"/>
        <w:rPr>
          <w:sz w:val="20"/>
          <w:szCs w:val="20"/>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Benchmark Replacement</w:t>
      </w:r>
      <w:r>
        <w:rPr>
          <w:rFonts w:ascii="Times New Roman" w:cs="Times New Roman" w:eastAsia="Times New Roman" w:hAnsi="Times New Roman"/>
          <w:sz w:val="22"/>
          <w:szCs w:val="22"/>
          <w:color w:val="auto"/>
        </w:rPr>
        <w:t>" means, with respect to any Benchmark Transition Event, the first alternative set forth in the order below that can be determined by the Agent for the applicable Benchmark Replacement Date:</w:t>
      </w:r>
    </w:p>
    <w:p>
      <w:pPr>
        <w:spacing w:after="0" w:line="173" w:lineRule="exact"/>
        <w:rPr>
          <w:sz w:val="20"/>
          <w:szCs w:val="20"/>
          <w:color w:val="auto"/>
        </w:rPr>
      </w:pPr>
    </w:p>
    <w:p>
      <w:pPr>
        <w:ind w:left="1123" w:hanging="428"/>
        <w:spacing w:after="0"/>
        <w:tabs>
          <w:tab w:leader="none" w:pos="1123" w:val="left"/>
        </w:tabs>
        <w:numPr>
          <w:ilvl w:val="0"/>
          <w:numId w:val="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sum of (A) Daily Simple SOFR and (B) the SOFR Adjustment for a 1-month Interest Period; or</w:t>
      </w:r>
    </w:p>
    <w:p>
      <w:pPr>
        <w:spacing w:after="0" w:line="217" w:lineRule="exact"/>
        <w:rPr>
          <w:rFonts w:ascii="Times New Roman" w:cs="Times New Roman" w:eastAsia="Times New Roman" w:hAnsi="Times New Roman"/>
          <w:sz w:val="21"/>
          <w:szCs w:val="21"/>
          <w:color w:val="auto"/>
        </w:rPr>
      </w:pPr>
    </w:p>
    <w:p>
      <w:pPr>
        <w:jc w:val="both"/>
        <w:ind w:left="3" w:right="20" w:firstLine="692"/>
        <w:spacing w:after="0" w:line="236" w:lineRule="auto"/>
        <w:tabs>
          <w:tab w:leader="none" w:pos="1130"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sum of: (a) the alternate benchmark rate that has been selected by the Agent and the Borrowers, giving due consideration to (x) any selection or recommendation of a replacement benchmark rate or the mechanism for determining such a rate by the Relevant Governmental Body or (y) any evolving or then-prevailing market convention, for determining a benchmark rate as a replacement to the then-current benchmark for U.S. dollar-denominated syndicated credit facilities at such time and (B) the related Benchmark Replacement Adjustment;</w:t>
      </w:r>
    </w:p>
    <w:p>
      <w:pPr>
        <w:spacing w:after="0" w:line="181" w:lineRule="exact"/>
        <w:rPr>
          <w:sz w:val="20"/>
          <w:szCs w:val="20"/>
          <w:color w:val="auto"/>
        </w:rPr>
      </w:pPr>
    </w:p>
    <w:p>
      <w:pPr>
        <w:jc w:val="both"/>
        <w:ind w:left="3" w:right="20"/>
        <w:spacing w:after="0" w:line="239" w:lineRule="auto"/>
        <w:rPr>
          <w:sz w:val="20"/>
          <w:szCs w:val="20"/>
          <w:color w:val="auto"/>
        </w:rPr>
      </w:pP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the Benchmark Replacement as determined pursuant to clause (2) above would be less than the Floor, the Benchmark Replacement will be deemed to be the Floor for the purposes of this Agreement and the Other Documents; provided further that any Benchmark Replacement shall be administratively feasible as determined by the Agent in its sole discretion.</w:t>
      </w:r>
    </w:p>
    <w:p>
      <w:pPr>
        <w:spacing w:after="0" w:line="180" w:lineRule="exact"/>
        <w:rPr>
          <w:sz w:val="20"/>
          <w:szCs w:val="20"/>
          <w:color w:val="auto"/>
        </w:rPr>
      </w:pPr>
    </w:p>
    <w:p>
      <w:pPr>
        <w:jc w:val="both"/>
        <w:ind w:left="3" w:right="20" w:firstLine="695"/>
        <w:spacing w:after="0" w:line="24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Benchmark Replacement Adjustment</w:t>
      </w:r>
      <w:r>
        <w:rPr>
          <w:rFonts w:ascii="Times New Roman" w:cs="Times New Roman" w:eastAsia="Times New Roman" w:hAnsi="Times New Roman"/>
          <w:sz w:val="21"/>
          <w:szCs w:val="21"/>
          <w:color w:val="auto"/>
        </w:rPr>
        <w:t>" means, with respect to any replacement of the then-current Benchmark with an Unadjusted Benchmark Replacement, the spread adjustment, or method for calculating or determining such spread adjustments, (which may be a positive or negative value or zero) that has been selected by the Agent and the Borrowers giving due consideration to (A) any selection or recommendation of a spread adjustment, or method for calculating or determining such spread adjustment, for the replacement of such Benchmark with the applicable Unadjusted Benchmark Replacement by the Relevant Governmental Body or</w:t>
      </w:r>
    </w:p>
    <w:p>
      <w:pPr>
        <w:spacing w:after="0" w:line="3" w:lineRule="exact"/>
        <w:rPr>
          <w:sz w:val="20"/>
          <w:szCs w:val="20"/>
          <w:color w:val="auto"/>
        </w:rPr>
      </w:pPr>
    </w:p>
    <w:p>
      <w:pPr>
        <w:ind w:left="3" w:hanging="3"/>
        <w:spacing w:after="0" w:line="237" w:lineRule="auto"/>
        <w:tabs>
          <w:tab w:leader="none" w:pos="383"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evolving or then-prevailing market convention for determining a spread adjustment, or method for calculating or determining such spread</w:t>
      </w:r>
    </w:p>
    <w:p>
      <w:pPr>
        <w:spacing w:after="0" w:line="200" w:lineRule="exact"/>
        <w:rPr>
          <w:sz w:val="20"/>
          <w:szCs w:val="20"/>
          <w:color w:val="auto"/>
        </w:rPr>
      </w:pPr>
    </w:p>
    <w:p>
      <w:pPr>
        <w:spacing w:after="0" w:line="383"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22"/>
          <w:szCs w:val="22"/>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478155</wp:posOffset>
            </wp:positionV>
            <wp:extent cx="7157720" cy="425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43"/>
          </w:cols>
          <w:pgMar w:left="1077" w:top="1408" w:right="1079" w:bottom="1440" w:gutter="0" w:footer="0" w:header="0"/>
        </w:sectPr>
      </w:pPr>
    </w:p>
    <w:bookmarkStart w:id="148" w:name="page149"/>
    <w:bookmarkEnd w:id="148"/>
    <w:p>
      <w:pPr>
        <w:ind w:left="3" w:right="20"/>
        <w:spacing w:after="0" w:line="258" w:lineRule="auto"/>
        <w:rPr>
          <w:sz w:val="20"/>
          <w:szCs w:val="20"/>
          <w:color w:val="auto"/>
        </w:rPr>
      </w:pPr>
      <w:r>
        <w:rPr>
          <w:rFonts w:ascii="Times New Roman" w:cs="Times New Roman" w:eastAsia="Times New Roman" w:hAnsi="Times New Roman"/>
          <w:sz w:val="22"/>
          <w:szCs w:val="22"/>
          <w:color w:val="auto"/>
        </w:rPr>
        <w:t>adjustment, for the replacement of such Benchmark with the applicable Unadjusted Benchmark Replacement for U.S. dollar-denominated syndicated credit facilities at such time.</w:t>
      </w:r>
    </w:p>
    <w:p>
      <w:pPr>
        <w:spacing w:after="0" w:line="158" w:lineRule="exact"/>
        <w:rPr>
          <w:sz w:val="20"/>
          <w:szCs w:val="20"/>
          <w:color w:val="auto"/>
        </w:rPr>
      </w:pPr>
    </w:p>
    <w:p>
      <w:pPr>
        <w:ind w:left="3" w:right="20" w:firstLine="695"/>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Benchmark Replacement Date</w:t>
      </w:r>
      <w:r>
        <w:rPr>
          <w:rFonts w:ascii="Times New Roman" w:cs="Times New Roman" w:eastAsia="Times New Roman" w:hAnsi="Times New Roman"/>
          <w:sz w:val="22"/>
          <w:szCs w:val="22"/>
          <w:color w:val="auto"/>
        </w:rPr>
        <w:t>" means a date and time determined by the Agent, which date shall be no later than the earliest to occur of the following events with respect to the then-current Benchmark:</w:t>
      </w:r>
    </w:p>
    <w:p>
      <w:pPr>
        <w:spacing w:after="0" w:line="158" w:lineRule="exact"/>
        <w:rPr>
          <w:sz w:val="20"/>
          <w:szCs w:val="20"/>
          <w:color w:val="auto"/>
        </w:rPr>
      </w:pPr>
    </w:p>
    <w:p>
      <w:pPr>
        <w:ind w:left="1563" w:hanging="436"/>
        <w:spacing w:after="0"/>
        <w:tabs>
          <w:tab w:leader="none" w:pos="1563" w:val="left"/>
        </w:tabs>
        <w:numPr>
          <w:ilvl w:val="1"/>
          <w:numId w:val="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case of clause (1) or (2) of the definition of "Benchmark Transition Event," the later of</w:t>
      </w:r>
    </w:p>
    <w:p>
      <w:pPr>
        <w:spacing w:after="0" w:line="25" w:lineRule="exact"/>
        <w:rPr>
          <w:rFonts w:ascii="Times New Roman" w:cs="Times New Roman" w:eastAsia="Times New Roman" w:hAnsi="Times New Roman"/>
          <w:sz w:val="21"/>
          <w:szCs w:val="21"/>
          <w:color w:val="auto"/>
        </w:rPr>
      </w:pPr>
    </w:p>
    <w:p>
      <w:pPr>
        <w:jc w:val="both"/>
        <w:ind w:left="3" w:right="20" w:hanging="3"/>
        <w:spacing w:after="0" w:line="249" w:lineRule="auto"/>
        <w:tabs>
          <w:tab w:leader="none" w:pos="368" w:val="left"/>
        </w:tabs>
        <w:numPr>
          <w:ilvl w:val="0"/>
          <w:numId w:val="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date of the public statement or publication of information referenced therein and (B) the date on which the administrator of such Benchmark (or the published component used in the calculation thereof) permanently or indefinitely ceases to provide all Available Tenors of such Benchmark (or such component thereof); or</w:t>
      </w:r>
    </w:p>
    <w:p>
      <w:pPr>
        <w:spacing w:after="0" w:line="169" w:lineRule="exact"/>
        <w:rPr>
          <w:rFonts w:ascii="Times New Roman" w:cs="Times New Roman" w:eastAsia="Times New Roman" w:hAnsi="Times New Roman"/>
          <w:sz w:val="21"/>
          <w:szCs w:val="21"/>
          <w:color w:val="auto"/>
        </w:rPr>
      </w:pPr>
    </w:p>
    <w:p>
      <w:pPr>
        <w:ind w:left="3" w:firstLine="1124"/>
        <w:spacing w:after="0" w:line="244" w:lineRule="auto"/>
        <w:tabs>
          <w:tab w:leader="none" w:pos="1562" w:val="left"/>
        </w:tabs>
        <w:numPr>
          <w:ilvl w:val="1"/>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clause (3) of the definition of "Benchmark Transition Event," the date determined by the Agent, which date shall promptly follow the date of the public statement or publication of information referenced therein.</w:t>
      </w:r>
    </w:p>
    <w:p>
      <w:pPr>
        <w:spacing w:after="0" w:line="173" w:lineRule="exact"/>
        <w:rPr>
          <w:sz w:val="20"/>
          <w:szCs w:val="20"/>
          <w:color w:val="auto"/>
        </w:rPr>
      </w:pPr>
    </w:p>
    <w:p>
      <w:pPr>
        <w:jc w:val="both"/>
        <w:ind w:left="3" w:right="20"/>
        <w:spacing w:after="0" w:line="239" w:lineRule="auto"/>
        <w:rPr>
          <w:sz w:val="20"/>
          <w:szCs w:val="20"/>
          <w:color w:val="auto"/>
        </w:rPr>
      </w:pPr>
      <w:r>
        <w:rPr>
          <w:rFonts w:ascii="Times New Roman" w:cs="Times New Roman" w:eastAsia="Times New Roman" w:hAnsi="Times New Roman"/>
          <w:sz w:val="22"/>
          <w:szCs w:val="22"/>
          <w:color w:val="auto"/>
        </w:rPr>
        <w:t>For the avoidance of doubt, the "Benchmark Replacement Date" will be deemed to have occurred in the case of clause (1) or (2) with respect to any Benchmark upon the occurrence of the applicable event or events set forth therein with respect to all then-current Available Tenors of such Benchmark (or the published component used in the calculation thereof).</w:t>
      </w:r>
    </w:p>
    <w:p>
      <w:pPr>
        <w:spacing w:after="0" w:line="180" w:lineRule="exact"/>
        <w:rPr>
          <w:sz w:val="20"/>
          <w:szCs w:val="20"/>
          <w:color w:val="auto"/>
        </w:rPr>
      </w:pPr>
    </w:p>
    <w:p>
      <w:pPr>
        <w:jc w:val="both"/>
        <w:ind w:left="3" w:firstLine="695"/>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Benchmark Transition Event</w:t>
      </w:r>
      <w:r>
        <w:rPr>
          <w:rFonts w:ascii="Times New Roman" w:cs="Times New Roman" w:eastAsia="Times New Roman" w:hAnsi="Times New Roman"/>
          <w:sz w:val="22"/>
          <w:szCs w:val="22"/>
          <w:color w:val="auto"/>
        </w:rPr>
        <w:t>" means the occurrence of one or more of the following events with respect to the then-current Benchmark:</w:t>
      </w:r>
    </w:p>
    <w:p>
      <w:pPr>
        <w:spacing w:after="0" w:line="158" w:lineRule="exact"/>
        <w:rPr>
          <w:sz w:val="20"/>
          <w:szCs w:val="20"/>
          <w:color w:val="auto"/>
        </w:rPr>
      </w:pPr>
    </w:p>
    <w:p>
      <w:pPr>
        <w:jc w:val="both"/>
        <w:ind w:left="3" w:firstLine="1124"/>
        <w:spacing w:after="0" w:line="236" w:lineRule="auto"/>
        <w:tabs>
          <w:tab w:leader="none" w:pos="1562" w:val="left"/>
        </w:tabs>
        <w:numPr>
          <w:ilvl w:val="1"/>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w:t>
      </w:r>
    </w:p>
    <w:p>
      <w:pPr>
        <w:spacing w:after="0" w:line="181" w:lineRule="exact"/>
        <w:rPr>
          <w:rFonts w:ascii="Times New Roman" w:cs="Times New Roman" w:eastAsia="Times New Roman" w:hAnsi="Times New Roman"/>
          <w:sz w:val="22"/>
          <w:szCs w:val="22"/>
          <w:color w:val="auto"/>
        </w:rPr>
      </w:pPr>
    </w:p>
    <w:p>
      <w:pPr>
        <w:jc w:val="both"/>
        <w:ind w:left="3" w:right="20" w:firstLine="692"/>
        <w:spacing w:after="0" w:line="235" w:lineRule="auto"/>
        <w:tabs>
          <w:tab w:leader="none" w:pos="1130"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public statement or publication of information by a Governmental Body having jurisdiction over the Agent, the regulatory supervisor for the administrator of such Benchmark (or the published component used in the calculation thereof), the Federal Reserve Board,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w:t>
      </w:r>
    </w:p>
    <w:p>
      <w:pPr>
        <w:spacing w:after="0" w:line="200" w:lineRule="exact"/>
        <w:rPr>
          <w:sz w:val="20"/>
          <w:szCs w:val="20"/>
          <w:color w:val="auto"/>
        </w:rPr>
      </w:pPr>
    </w:p>
    <w:p>
      <w:pPr>
        <w:spacing w:after="0" w:line="383"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22"/>
          <w:szCs w:val="22"/>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478155</wp:posOffset>
            </wp:positionV>
            <wp:extent cx="7157720" cy="425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43"/>
          </w:cols>
          <w:pgMar w:left="1077" w:top="1408" w:right="1079" w:bottom="1440" w:gutter="0" w:footer="0" w:header="0"/>
        </w:sectPr>
      </w:pPr>
    </w:p>
    <w:bookmarkStart w:id="149" w:name="page150"/>
    <w:bookmarkEnd w:id="149"/>
    <w:p>
      <w:pPr>
        <w:jc w:val="both"/>
        <w:ind w:left="760" w:right="740"/>
        <w:spacing w:after="0" w:line="244" w:lineRule="auto"/>
        <w:rPr>
          <w:sz w:val="20"/>
          <w:szCs w:val="20"/>
          <w:color w:val="auto"/>
        </w:rPr>
      </w:pPr>
      <w:r>
        <w:rPr>
          <w:rFonts w:ascii="Times New Roman" w:cs="Times New Roman" w:eastAsia="Times New Roman" w:hAnsi="Times New Roman"/>
          <w:sz w:val="22"/>
          <w:szCs w:val="22"/>
          <w:color w:val="auto"/>
        </w:rPr>
        <w:t>Tenors of such Benchmark (or such component thereof) permanently or indefinitely, provided that, at the time of such statement or publication, there is no successor administrator that will continue to provide any Available Tenor of such Benchmark (or such component thereof); or</w:t>
      </w:r>
    </w:p>
    <w:p>
      <w:pPr>
        <w:spacing w:after="0" w:line="173" w:lineRule="exact"/>
        <w:rPr>
          <w:sz w:val="20"/>
          <w:szCs w:val="20"/>
          <w:color w:val="auto"/>
        </w:rPr>
      </w:pPr>
    </w:p>
    <w:p>
      <w:pPr>
        <w:jc w:val="both"/>
        <w:ind w:left="760" w:right="760" w:firstLine="692"/>
        <w:spacing w:after="0" w:line="239" w:lineRule="auto"/>
        <w:tabs>
          <w:tab w:leader="none" w:pos="1887"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public statement or publication of information by the regulatory supervisor for the administrator of such Benchmark (or the published component used in the calculation thereof) or a Governmental Body having jurisdiction over the Agent announcing that all Available Tenors of such Benchmark (or such component thereof) are not, or as of a specified future date will not be, representative.</w:t>
      </w:r>
    </w:p>
    <w:p>
      <w:pPr>
        <w:spacing w:after="0" w:line="180" w:lineRule="exact"/>
        <w:rPr>
          <w:sz w:val="20"/>
          <w:szCs w:val="20"/>
          <w:color w:val="auto"/>
        </w:rPr>
      </w:pPr>
    </w:p>
    <w:p>
      <w:pPr>
        <w:jc w:val="both"/>
        <w:ind w:left="760" w:right="740"/>
        <w:spacing w:after="0" w:line="261" w:lineRule="auto"/>
        <w:rPr>
          <w:sz w:val="20"/>
          <w:szCs w:val="20"/>
          <w:color w:val="auto"/>
        </w:rPr>
      </w:pPr>
      <w:r>
        <w:rPr>
          <w:rFonts w:ascii="Times New Roman" w:cs="Times New Roman" w:eastAsia="Times New Roman" w:hAnsi="Times New Roman"/>
          <w:sz w:val="21"/>
          <w:szCs w:val="21"/>
          <w:color w:val="auto"/>
        </w:rPr>
        <w:t>For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157" w:lineRule="exact"/>
        <w:rPr>
          <w:sz w:val="20"/>
          <w:szCs w:val="20"/>
          <w:color w:val="auto"/>
        </w:rPr>
      </w:pPr>
    </w:p>
    <w:p>
      <w:pPr>
        <w:jc w:val="both"/>
        <w:ind w:left="760" w:right="740" w:firstLine="695"/>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Benchmark Unavailability Period</w:t>
      </w:r>
      <w:r>
        <w:rPr>
          <w:rFonts w:ascii="Times New Roman" w:cs="Times New Roman" w:eastAsia="Times New Roman" w:hAnsi="Times New Roman"/>
          <w:sz w:val="22"/>
          <w:szCs w:val="22"/>
          <w:color w:val="auto"/>
        </w:rPr>
        <w:t>" means the period (if any) (x) beginning at the time that a Benchmark Replacement Date has occurred if, at such time, no Benchmark Replacement has replaced the then-current Benchmark for all purposes hereunder and under any Other Document in accordance with this Section titled "Benchmark Replacement Setting" and (y) ending at the time that a Benchmark Replacement has replaced the then-current Benchmark for all purposes hereunder and under any Other Document in accordance with this Section titled "Benchmark Replacement Setting".</w:t>
      </w:r>
    </w:p>
    <w:p>
      <w:pPr>
        <w:spacing w:after="0" w:line="181" w:lineRule="exact"/>
        <w:rPr>
          <w:sz w:val="20"/>
          <w:szCs w:val="20"/>
          <w:color w:val="auto"/>
        </w:rPr>
      </w:pPr>
    </w:p>
    <w:p>
      <w:pPr>
        <w:jc w:val="both"/>
        <w:ind w:left="760" w:right="760" w:firstLine="695"/>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Floor</w:t>
      </w:r>
      <w:r>
        <w:rPr>
          <w:rFonts w:ascii="Times New Roman" w:cs="Times New Roman" w:eastAsia="Times New Roman" w:hAnsi="Times New Roman"/>
          <w:sz w:val="22"/>
          <w:szCs w:val="22"/>
          <w:color w:val="auto"/>
        </w:rPr>
        <w:t>" means the benchmark rate floor, if any, provided in this Agreement initially (as of the execution of this Agreement, the modification, amendment or renewal of this Agreement or otherwise) with respect to the Term SOFR Rate or, if no floor is specified, zero.</w:t>
      </w:r>
    </w:p>
    <w:p>
      <w:pPr>
        <w:spacing w:after="0" w:line="173" w:lineRule="exact"/>
        <w:rPr>
          <w:sz w:val="20"/>
          <w:szCs w:val="20"/>
          <w:color w:val="auto"/>
        </w:rPr>
      </w:pPr>
    </w:p>
    <w:p>
      <w:pPr>
        <w:jc w:val="both"/>
        <w:ind w:left="760" w:right="760" w:firstLine="695"/>
        <w:spacing w:after="0" w:line="26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Relevant Governmental Body</w:t>
      </w:r>
      <w:r>
        <w:rPr>
          <w:rFonts w:ascii="Times New Roman" w:cs="Times New Roman" w:eastAsia="Times New Roman" w:hAnsi="Times New Roman"/>
          <w:sz w:val="21"/>
          <w:szCs w:val="21"/>
          <w:color w:val="auto"/>
        </w:rPr>
        <w:t>" means the Board of Governors of the Federal Reserve System or the Federal Reserve Bank of New York, or a committee officially endorsed or convened by the Board of Governors of the Federal Reserve System or the Federal Reserve Bank of New York, or any successor thereto.</w:t>
      </w:r>
    </w:p>
    <w:p>
      <w:pPr>
        <w:spacing w:after="0" w:line="157" w:lineRule="exact"/>
        <w:rPr>
          <w:sz w:val="20"/>
          <w:szCs w:val="20"/>
          <w:color w:val="auto"/>
        </w:rPr>
      </w:pPr>
    </w:p>
    <w:p>
      <w:pPr>
        <w:jc w:val="both"/>
        <w:ind w:left="760" w:right="760" w:firstLine="695"/>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Unadjusted Benchmark Replacement</w:t>
      </w:r>
      <w:r>
        <w:rPr>
          <w:rFonts w:ascii="Times New Roman" w:cs="Times New Roman" w:eastAsia="Times New Roman" w:hAnsi="Times New Roman"/>
          <w:sz w:val="22"/>
          <w:szCs w:val="22"/>
          <w:color w:val="auto"/>
        </w:rPr>
        <w:t>" means the applicable Benchmark Replacement excluding the related Benchmark Replacement Adjustment.</w:t>
      </w:r>
    </w:p>
    <w:p>
      <w:pPr>
        <w:spacing w:after="0" w:line="15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b w:val="1"/>
          <w:bCs w:val="1"/>
          <w:u w:val="single" w:color="auto"/>
          <w:color w:val="auto"/>
        </w:rPr>
        <w:t>Capital Adequacy</w:t>
      </w:r>
      <w:r>
        <w:rPr>
          <w:rFonts w:ascii="Times New Roman" w:cs="Times New Roman" w:eastAsia="Times New Roman" w:hAnsi="Times New Roman"/>
          <w:sz w:val="22"/>
          <w:szCs w:val="22"/>
          <w:b w:val="1"/>
          <w:bCs w:val="1"/>
          <w:color w:val="auto"/>
        </w:rPr>
        <w:t>.</w:t>
      </w:r>
    </w:p>
    <w:p>
      <w:pPr>
        <w:spacing w:after="0" w:line="210"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color w:val="auto"/>
        </w:rPr>
        <w:t>In the event that Agent, Swing Loan Lender or any Lender shall have determined that any Applicable Law or guideline regarding liquidity or capital adequacy, or any Change in Law or any change in the interpretation or administration thereof by any Governmental Body, central bank or comparable agency charged with the interpretation or administration thereof, or compliance by Agent, Swing Loan Lender, Issuer or any Lender (for purposes of this Section 3.9, the term "Lender" shall include Agent, Swing Loan Lender, Issuer or any Lender and any</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50" w:name="page151"/>
    <w:bookmarkEnd w:id="150"/>
    <w:p>
      <w:pPr>
        <w:jc w:val="both"/>
        <w:spacing w:after="0" w:line="233" w:lineRule="auto"/>
        <w:rPr>
          <w:sz w:val="20"/>
          <w:szCs w:val="20"/>
          <w:color w:val="auto"/>
        </w:rPr>
      </w:pPr>
      <w:r>
        <w:rPr>
          <w:rFonts w:ascii="Times New Roman" w:cs="Times New Roman" w:eastAsia="Times New Roman" w:hAnsi="Times New Roman"/>
          <w:sz w:val="22"/>
          <w:szCs w:val="22"/>
          <w:color w:val="auto"/>
        </w:rPr>
        <w:t>corporation or bank controlling Agent , Swing Loan Lender or any Lender and the office or branch where Agent , Swing Loan Lender or any Lender (as so defined) makes or maintains any Term SOFR Rate Loans) with any request or directive regarding liquidity or capital adequacy (whether or not having the force of law) of any such authority, central bank or comparable agency, has or would have the effect of reducing the rate of return on Agent, Swing Loan Lender or any Lender's capital as a consequence of its obligations hereunder (including the making of any Swing Loans) to a level below that which Agent , Swing Loan Lender or such Lender could have achieved but for such adoption, change or compliance (taking into consideration Agent's, Swing Loan Lender's and each Lender's policies with respect to liquidity or capital adequacy) by an amount deemed by Agent, Swing Loan Lender or any Lender to be material, then, from time to time, Borrowers shall pay, within ten (10) days after receipt of a certificate pursuant to Section 3.9(b), to Agent, Swing Loan Lender or such Lender such additional amount or amounts as will compensate Agent, Swing Loan Lender or such Lender for such reduction. In determining such amount or amounts, Agent, Swing Loan Lender or such Lender may use any reasonable averaging or attribution methods. The protection of this Section 3.9 shall be available to Agent, Swing Loan Lender and each Lender regardless of any possible contention of invalidity or inapplicability with respect to the Applicable Law, rule, regulation, guideline or condition.</w:t>
      </w:r>
    </w:p>
    <w:p>
      <w:pPr>
        <w:spacing w:after="0" w:line="182"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A certificate of Agent, Swing Loan Lender or such Lender setting forth such amount or amounts as shall be necessary to compensate Agent , Swing Loan Lender or such Lender with respect to Section 3.9(a) hereof when delivered to Borrowing Agent shall be conclusive absent manifest error.</w:t>
      </w:r>
    </w:p>
    <w:p>
      <w:pPr>
        <w:spacing w:after="0" w:line="173" w:lineRule="exact"/>
        <w:rPr>
          <w:sz w:val="20"/>
          <w:szCs w:val="20"/>
          <w:color w:val="auto"/>
        </w:rPr>
      </w:pPr>
    </w:p>
    <w:p>
      <w:pPr>
        <w:jc w:val="both"/>
        <w:ind w:firstLine="1497"/>
        <w:spacing w:after="0" w:line="247" w:lineRule="auto"/>
        <w:rPr>
          <w:sz w:val="20"/>
          <w:szCs w:val="20"/>
          <w:color w:val="auto"/>
        </w:rPr>
      </w:pPr>
      <w:r>
        <w:rPr>
          <w:rFonts w:ascii="Times New Roman" w:cs="Times New Roman" w:eastAsia="Times New Roman" w:hAnsi="Times New Roman"/>
          <w:sz w:val="21"/>
          <w:szCs w:val="21"/>
          <w:color w:val="auto"/>
        </w:rPr>
        <w:t>Failure or delay on the part of Agent, Swing Loan Lender or such Lender to demand compensation pursuant to this Section shall not constitute a waiver of Agent's, Swing Loan Lender's or such Lender's right to demand such compensation; provided that the Borrowers shall not be required to compensate Agent, Swing Loan Lender or such Lender pursuant to this Section for any increased costs incurred or reductions suffered more than one hundred eighty (180) days prior to the date that Agent, Swing Loan Lender or such Lender, as the case may be, notifies the Borrowers of the event or Change in Law giving rise to such increased costs or reductions, and of such Agent's, Swing Loan Lender's or such Lender's intention to claim compensation therefor (except that, if the Change in Law giving rise to such increased costs or reductions is retroactive, then the one hundred eighty (180) day period referred to above shall be extended to include the period of retroactive effect thereof).</w:t>
      </w:r>
    </w:p>
    <w:p>
      <w:pPr>
        <w:spacing w:after="0" w:line="16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b w:val="1"/>
          <w:bCs w:val="1"/>
          <w:u w:val="single" w:color="auto"/>
          <w:color w:val="auto"/>
        </w:rPr>
        <w:t>Taxes</w:t>
      </w:r>
      <w:r>
        <w:rPr>
          <w:rFonts w:ascii="Times New Roman" w:cs="Times New Roman" w:eastAsia="Times New Roman" w:hAnsi="Times New Roman"/>
          <w:sz w:val="22"/>
          <w:szCs w:val="22"/>
          <w:b w:val="1"/>
          <w:bCs w:val="1"/>
          <w:color w:val="auto"/>
        </w:rPr>
        <w:t>.</w:t>
      </w:r>
    </w:p>
    <w:p>
      <w:pPr>
        <w:spacing w:after="0" w:line="210" w:lineRule="exact"/>
        <w:rPr>
          <w:sz w:val="20"/>
          <w:szCs w:val="20"/>
          <w:color w:val="auto"/>
        </w:rPr>
      </w:pPr>
    </w:p>
    <w:p>
      <w:pPr>
        <w:jc w:val="both"/>
        <w:ind w:firstLine="1497"/>
        <w:spacing w:after="0" w:line="235" w:lineRule="auto"/>
        <w:rPr>
          <w:sz w:val="20"/>
          <w:szCs w:val="20"/>
          <w:color w:val="auto"/>
        </w:rPr>
      </w:pPr>
      <w:r>
        <w:rPr>
          <w:rFonts w:ascii="Times New Roman" w:cs="Times New Roman" w:eastAsia="Times New Roman" w:hAnsi="Times New Roman"/>
          <w:sz w:val="22"/>
          <w:szCs w:val="22"/>
          <w:color w:val="auto"/>
        </w:rPr>
        <w:t xml:space="preserve">Any and all payments by or on account of any Obligations hereunder or under any Other Document shall be made free and clear of and without reduction or withholding for any Indemnified Taxes or Other Taxes;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Credit Parties shall be required by Applicable Law to deduct any Indemnified Taxes (including any Other Taxes) from such payments, then (i) the sum payable shall be increased as necessary so that after making all required deductions (including deductions applicable to additional sums payable under this Section) Agent, Swing Loan Lender, Lender, Issuer or Participant, as the case may be, receives an amount equal to the sum it would have received had no such deductions been made, (ii) the Credit Parties shall make such deductions and (iii) the Credit Parties shall timely pay the full amount deducted to the relevant Governmental Body in accordance with Applicable Law.</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51" w:name="page152"/>
    <w:bookmarkEnd w:id="151"/>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Without limiting the provisions of Section 3.10(a) above, Borrowers shall timely pay any Other Taxes to the relevant Governmental Body in accordance with Applicable Law.</w:t>
      </w:r>
    </w:p>
    <w:p>
      <w:pPr>
        <w:spacing w:after="0" w:line="158" w:lineRule="exact"/>
        <w:rPr>
          <w:sz w:val="20"/>
          <w:szCs w:val="20"/>
          <w:color w:val="auto"/>
        </w:rPr>
      </w:pPr>
    </w:p>
    <w:p>
      <w:pPr>
        <w:jc w:val="both"/>
        <w:ind w:firstLine="1497"/>
        <w:spacing w:after="0" w:line="235" w:lineRule="auto"/>
        <w:rPr>
          <w:sz w:val="20"/>
          <w:szCs w:val="20"/>
          <w:color w:val="auto"/>
        </w:rPr>
      </w:pPr>
      <w:r>
        <w:rPr>
          <w:rFonts w:ascii="Times New Roman" w:cs="Times New Roman" w:eastAsia="Times New Roman" w:hAnsi="Times New Roman"/>
          <w:sz w:val="22"/>
          <w:szCs w:val="22"/>
          <w:color w:val="auto"/>
        </w:rPr>
        <w:t>The Credit Parties shall jointly and severally indemnify Agent, Swing Loan Lender, each Lender, Issuer and any Participant, within ten (10) days after demand therefor, for the full amount of any Indemnified Taxes or Other Taxes (including Indemnified Taxes or Other Taxes imposed or asserted on or attributable to amounts payable under this Section) paid by Agent, Swing Loan Lender, such Lender, Issuer, or such Participant, as the case may be, and any penalties, interest and reasonable expenses arising therefrom or with respect thereto, whether or not such Indemnified Taxes or Other Taxes were correctly or legally imposed or asserted by the relevant Governmental Body. A certificate as to the amount of such payment or liability delivered to Borrowers by any Lender, Swing Loan Lender, Participant, or Issuer (with a copy to Agent), or by Agent on its own behalf or on behalf of Swing Loan Lender, a Lender or Issuer, shall be conclusive absent manifest error.</w:t>
      </w:r>
    </w:p>
    <w:p>
      <w:pPr>
        <w:spacing w:after="0" w:line="178"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color w:val="auto"/>
        </w:rPr>
        <w:t>As soon as practicable after any payment of Indemnified Taxes or Other Taxes by any Borrower to a Governmental Body, Borrowers shall deliver to Agent the original or a certified copy of a receipt issued by such Governmental Body evidencing such payment, a copy of the return reporting such payment or other evidence of such payment reasonably satisfactory to Agent.</w:t>
      </w:r>
    </w:p>
    <w:p>
      <w:pPr>
        <w:spacing w:after="0" w:line="180" w:lineRule="exact"/>
        <w:rPr>
          <w:sz w:val="20"/>
          <w:szCs w:val="20"/>
          <w:color w:val="auto"/>
        </w:rPr>
      </w:pPr>
    </w:p>
    <w:p>
      <w:pPr>
        <w:jc w:val="both"/>
        <w:ind w:firstLine="1505"/>
        <w:spacing w:after="0" w:line="233" w:lineRule="auto"/>
        <w:tabs>
          <w:tab w:leader="none" w:pos="1767"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Lender that is entitled to an exemption from or reduction of withholding Tax with respect to payments made hereunder or under any Other Document shall deliver to the Borrowing Agent and the Agent, at the time or times reasonably requested by the Borrowing Agent or the Agent, such properly completed and executed documentation reasonably requested by the Borrowing Agent or the Agent as will permit such payments to be made without withholding or at a reduced rate of withholding. In addition, any Lender, if reasonably requested by the Borrowing Agent or the Agent, shall deliver such other documentation prescribed by applicable law or reasonably requested by the Borrowing Agent or the Agent as will enable the Borrowing Agent or the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Section 3.10(e)(ii)(A), (ii)(B), and (ii)(C) and Section 3.10(f) below) shall not be required if in the Lender's reasonable judgment such completion, execution or submission would subject such Lender to any material unreimbursed cost or expense or would materially prejudice the legal or commercial position of such Lender or its Affiliates. Each Lender agrees that if any form or certification it previously delivered expires or becomes obsolete or inaccurate in any respect, it shall update such form or certification or promptly notify Borrowers and Agent in writing of its legal inability to do so.</w:t>
      </w:r>
    </w:p>
    <w:p>
      <w:pPr>
        <w:spacing w:after="0" w:line="18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2"/>
          <w:szCs w:val="22"/>
          <w:color w:val="auto"/>
        </w:rPr>
        <w:t>Without limiting the generality of the foregoing, in the event that any Borrower is a U.S. Person:</w:t>
      </w:r>
    </w:p>
    <w:p>
      <w:pPr>
        <w:spacing w:after="0" w:line="206"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color w:val="auto"/>
        </w:rPr>
        <w:t>any Lender that is a U.S. Person shall deliver to the Borrowing Agent and the Agent on or prior to the date on which such Lender becomes a Lender under this Agreement (and from time to time thereafter upon the reasonable request of any Borrower or the Agent), executed copies of IRS Form W-9 certifying that such Lender is exempt from U.S. federal backup withholding tax;</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52" w:name="page153"/>
    <w:bookmarkEnd w:id="152"/>
    <w:p>
      <w:pPr>
        <w:jc w:val="both"/>
        <w:ind w:firstLine="1497"/>
        <w:spacing w:after="0" w:line="243" w:lineRule="auto"/>
        <w:rPr>
          <w:sz w:val="20"/>
          <w:szCs w:val="20"/>
          <w:color w:val="auto"/>
        </w:rPr>
      </w:pPr>
      <w:r>
        <w:rPr>
          <w:rFonts w:ascii="Times New Roman" w:cs="Times New Roman" w:eastAsia="Times New Roman" w:hAnsi="Times New Roman"/>
          <w:sz w:val="21"/>
          <w:szCs w:val="21"/>
          <w:color w:val="auto"/>
        </w:rPr>
        <w:t>any Foreign Lender shall, to the extent it is legally entitled to do so, deliver to the Borrowing Agent and the Agent (in such number of copies as shall be requested by the recipient) on or prior to the date on which such Foreign Lender becomes a Lender under this Agreement (and from time to time thereafter upon the reasonable request of any Borrower or the Agent), whichever of the following is applicable: (1) in the case of a Foreign Lender claiming the benefits of an income tax treaty to which the United States is a party (x) with respect to payments of interest under this Agreement and any Other Document, executed copies of IRS Form W-8BEN-E (or IRS Form W-8BEN, as applicable), establishing an exemption from, or reduction of, U.S. federal withholding Tax pursuant to the "interest" article of such tax treaty and (y) with respect to any other applicable payments hereunder or any Other Document, IRS Form W-8BEN-E (or IRS Form W-8BEN, as applicable) establishing an exemption from, or reduction of, U.S. federal withholding Tax pursuant to the "business profits" or "other income" article of such tax treaty; (2) executed copies of IRS Form W-8ECI; (3) in the case of a Foreign Lender claiming the benefits of the exemption for portfolio interest under Section 881(c) of the Code, (x) a certificate to the effect that such Foreign Lender is not (A) a "bank" within the meaning of section 881(c)(3)(A) of the Code, (B) a "10 percent shareholder" of Borrowers within the meaning of section 881(c)(3)(B) of the Code, or (C) a "controlled foreign corporation" described in section 881(c)(3)</w:t>
      </w:r>
    </w:p>
    <w:p>
      <w:pPr>
        <w:spacing w:after="0" w:line="4" w:lineRule="exact"/>
        <w:rPr>
          <w:sz w:val="20"/>
          <w:szCs w:val="20"/>
          <w:color w:val="auto"/>
        </w:rPr>
      </w:pPr>
    </w:p>
    <w:p>
      <w:pPr>
        <w:jc w:val="both"/>
        <w:ind w:firstLine="8"/>
        <w:spacing w:after="0" w:line="241" w:lineRule="auto"/>
        <w:tabs>
          <w:tab w:leader="none" w:pos="358" w:val="left"/>
        </w:tabs>
        <w:numPr>
          <w:ilvl w:val="0"/>
          <w:numId w:val="1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of the Code and (y) two duly completed valid originals of IRS Form W-8BEN-E (or W-8BEN, if applicable); or (4) to the extent a Foreign Lender is not the beneficial owner, executed originals of IRS Form W-8IMY, accompanied by IRS Form W-8ECI, IRS Form W-8BEN-E, (or IRS Form W-8BEN, as applicable), a certificate meeting the requirements of Section 3.10(e)(ii)</w:t>
      </w:r>
    </w:p>
    <w:p>
      <w:pPr>
        <w:spacing w:after="0" w:line="1"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(3), IRS Form W-9, and/or other certification documents from each beneficial owner, as applicable.</w:t>
      </w:r>
    </w:p>
    <w:p>
      <w:pPr>
        <w:spacing w:after="0" w:line="182" w:lineRule="exact"/>
        <w:rPr>
          <w:sz w:val="20"/>
          <w:szCs w:val="20"/>
          <w:color w:val="auto"/>
        </w:rPr>
      </w:pPr>
    </w:p>
    <w:p>
      <w:pPr>
        <w:jc w:val="both"/>
        <w:ind w:firstLine="1497"/>
        <w:spacing w:after="0" w:line="236" w:lineRule="auto"/>
        <w:rPr>
          <w:sz w:val="20"/>
          <w:szCs w:val="20"/>
          <w:color w:val="auto"/>
        </w:rPr>
      </w:pPr>
      <w:r>
        <w:rPr>
          <w:rFonts w:ascii="Times New Roman" w:cs="Times New Roman" w:eastAsia="Times New Roman" w:hAnsi="Times New Roman"/>
          <w:sz w:val="22"/>
          <w:szCs w:val="22"/>
          <w:color w:val="auto"/>
        </w:rPr>
        <w:t>any Foreign Lender shall, to the extent it is legally entitled to do so, deliver to the Borrowing Agent and the Agent (in such number of copies as shall be requested by the recipient) on or prior to the date on which such Foreign Lender becomes a Lender under this Agreement (and from time to time thereafter upon the reasonable request of the Borrower or the Agent), executed copies of any other form prescribed by applicable law as a basis for claiming exemption from or a reduction in U.S. federal withholding Tax, duly completed, together with such supplementary documentation as may be prescribed by applicable law to permit the Borrowers or the Agent to determine the withholding or deduction required to be made.</w:t>
      </w:r>
    </w:p>
    <w:p>
      <w:pPr>
        <w:spacing w:after="0" w:line="181" w:lineRule="exact"/>
        <w:rPr>
          <w:sz w:val="20"/>
          <w:szCs w:val="20"/>
          <w:color w:val="auto"/>
        </w:rPr>
      </w:pPr>
    </w:p>
    <w:p>
      <w:pPr>
        <w:jc w:val="both"/>
        <w:ind w:firstLine="1497"/>
        <w:spacing w:after="0" w:line="235" w:lineRule="auto"/>
        <w:rPr>
          <w:sz w:val="20"/>
          <w:szCs w:val="20"/>
          <w:color w:val="auto"/>
        </w:rPr>
      </w:pPr>
      <w:r>
        <w:rPr>
          <w:rFonts w:ascii="Times New Roman" w:cs="Times New Roman" w:eastAsia="Times New Roman" w:hAnsi="Times New Roman"/>
          <w:sz w:val="22"/>
          <w:szCs w:val="22"/>
          <w:color w:val="auto"/>
        </w:rPr>
        <w:t>Notwithstanding the submission of such documentation claiming a reduced rate of or exemption from U.S. withholding Tax, Agent shall be entitled to withhold United States federal income taxes at the full thirty percent (30%) withholding rate if in its reasonable judgment it is required to do so under the due diligence requirements imposed upon a withholding agent under § 1.1441-7(b) of the United States Income Tax Regulations or other Applicable Law. Further, Agent is indemnified under § 1.1461-1(e) of the United States Income Tax Regulations against any claims and demands of any Lender, Issuer or assignee or participant of a Lender or Issuer for the amount of any tax it deducts and withholds in accordance with regulations under § 1441 of the Code.</w:t>
      </w:r>
    </w:p>
    <w:p>
      <w:pPr>
        <w:spacing w:after="0" w:line="183"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For the purposes of applying this Section 3.10(e), the term Lender shall include any Lender, Swing Loan Lender, Issuer, and Participant.</w:t>
      </w:r>
    </w:p>
    <w:p>
      <w:pPr>
        <w:spacing w:after="0" w:line="162"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2"/>
          <w:szCs w:val="22"/>
          <w:color w:val="auto"/>
        </w:rPr>
        <w:t>Each Lender agrees that if any form or certification it previously delivered expires or becomes obsolete or inaccurate in any respect, it shall update such form or certification or promptly notify Borrowers and Agent in writing of its legal inability to do so.</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53" w:name="page154"/>
    <w:bookmarkEnd w:id="153"/>
    <w:p>
      <w:pPr>
        <w:jc w:val="both"/>
        <w:ind w:firstLine="1497"/>
        <w:spacing w:after="0" w:line="235" w:lineRule="auto"/>
        <w:rPr>
          <w:sz w:val="20"/>
          <w:szCs w:val="20"/>
          <w:color w:val="auto"/>
        </w:rPr>
      </w:pPr>
      <w:r>
        <w:rPr>
          <w:rFonts w:ascii="Times New Roman" w:cs="Times New Roman" w:eastAsia="Times New Roman" w:hAnsi="Times New Roman"/>
          <w:sz w:val="22"/>
          <w:szCs w:val="22"/>
          <w:color w:val="auto"/>
        </w:rPr>
        <w:t>If a payment made to a Lender, Swing Loan Lender, Participant, Issuer, or Agent under this Agreement or any Other Document would be subject to U.S. Federal withholding Tax imposed by FATCA if such Person fails to comply with the applicable reporting requirements of FATCA (including those contained in Section 1471(b) or 1472(b) of the Code, as applicable), such Lender, Swing Loan Lender, Participant, Issuer, or Agent shall deliver to Agent (in the case of Swing Loan Lender, a Lender, Participant or Issuer) and Borrowers (A) a certification signed by the chief financial officer, principal accounting officer, treasurer or controller of such Person, and (B) other documentation reasonably requested by Agent or any Borrower sufficient for Agent and Borrowers to comply with their obligations under FATCA and to determine that Swing Loan Lender, such Lender, Participant, Issuer, or Agent has complied with such applicable reporting requirements.</w:t>
      </w:r>
    </w:p>
    <w:p>
      <w:pPr>
        <w:spacing w:after="0" w:line="178" w:lineRule="exact"/>
        <w:rPr>
          <w:sz w:val="20"/>
          <w:szCs w:val="20"/>
          <w:color w:val="auto"/>
        </w:rPr>
      </w:pPr>
    </w:p>
    <w:p>
      <w:pPr>
        <w:jc w:val="both"/>
        <w:ind w:firstLine="1497"/>
        <w:spacing w:after="0" w:line="232" w:lineRule="auto"/>
        <w:rPr>
          <w:sz w:val="20"/>
          <w:szCs w:val="20"/>
          <w:color w:val="auto"/>
        </w:rPr>
      </w:pPr>
      <w:r>
        <w:rPr>
          <w:rFonts w:ascii="Times New Roman" w:cs="Times New Roman" w:eastAsia="Times New Roman" w:hAnsi="Times New Roman"/>
          <w:sz w:val="22"/>
          <w:szCs w:val="22"/>
          <w:color w:val="auto"/>
        </w:rPr>
        <w:t>If Agent, Swing Loan Lender, a Lender, a Participant or Issuer determines, in its sole discretion, that it has received a refund of any Indemnified Taxes or Other Taxes as to which it has been indemnified by Borrowers or with respect to which Borrowers have paid additional amounts pursuant to this Section, it shall pay to Borrowers an amount equal to such refund (but only to the extent of indemnity payments made, or additional amounts paid, by Borrowers under this Section with respect to the Indemnified Taxes or Other Taxes giving rise to such refund); net of all out-of-pocket expenses of Agent, Swing Loan Lender, such Lender, Participant, or the Issuer, as the case may be, and without interest (other than any interest paid by the relevant Governmental Body with respect to such refund), provided that Borrowers, upon the request of Agent, Swing Loan Lender, such Lender, Participant, or Issuer, agrees to repay the amount paid over to Borrowers (plus any penalties, interest or other charges imposed by the relevant Governmental Body) to Agent, Swing Loan Lender, such Lender, Participant or the Issuer in the event Agent, Swing Loan Lender, such Lender, Participant or the Issuer is required to repay such refund to such Governmental Body. This Section shall not be construed to require Agent, Swing Loan Lender, any Lender, Participant, or Issuer to (i) make available its tax returns (or any other information relating to its taxes that it deems confidential) to Borrowers or any other Person or (ii) pay any amount under this Section 3.10(g) which would place the it or its Affiliates in a less favorable net after-Tax position than it and its Affiliates would have been in if the Tax subject to indemnification and giving rise to such refund had not been deducted, withheld or otherwise imposed and the indemnification payments or additional amounts with respect to such Tax had never been paid.</w:t>
      </w:r>
    </w:p>
    <w:p>
      <w:pPr>
        <w:spacing w:after="0" w:line="18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b w:val="1"/>
          <w:bCs w:val="1"/>
          <w:u w:val="single" w:color="auto"/>
          <w:color w:val="auto"/>
        </w:rPr>
        <w:t>Mitigation Obligations; Replacement of Lenders</w:t>
      </w:r>
      <w:r>
        <w:rPr>
          <w:rFonts w:ascii="Times New Roman" w:cs="Times New Roman" w:eastAsia="Times New Roman" w:hAnsi="Times New Roman"/>
          <w:sz w:val="22"/>
          <w:szCs w:val="22"/>
          <w:b w:val="1"/>
          <w:bCs w:val="1"/>
          <w:color w:val="auto"/>
        </w:rPr>
        <w:t>.</w:t>
      </w:r>
    </w:p>
    <w:p>
      <w:pPr>
        <w:spacing w:after="0" w:line="210" w:lineRule="exact"/>
        <w:rPr>
          <w:sz w:val="20"/>
          <w:szCs w:val="20"/>
          <w:color w:val="auto"/>
        </w:rPr>
      </w:pPr>
    </w:p>
    <w:p>
      <w:pPr>
        <w:jc w:val="both"/>
        <w:ind w:firstLine="1497"/>
        <w:spacing w:after="0" w:line="234" w:lineRule="auto"/>
        <w:rPr>
          <w:sz w:val="20"/>
          <w:szCs w:val="20"/>
          <w:color w:val="auto"/>
        </w:rPr>
      </w:pPr>
      <w:r>
        <w:rPr>
          <w:rFonts w:ascii="Times New Roman" w:cs="Times New Roman" w:eastAsia="Times New Roman" w:hAnsi="Times New Roman"/>
          <w:sz w:val="22"/>
          <w:szCs w:val="22"/>
          <w:u w:val="single" w:color="auto"/>
          <w:color w:val="auto"/>
        </w:rPr>
        <w:t>Designation of a Different Lending Office</w:t>
      </w:r>
      <w:r>
        <w:rPr>
          <w:rFonts w:ascii="Times New Roman" w:cs="Times New Roman" w:eastAsia="Times New Roman" w:hAnsi="Times New Roman"/>
          <w:sz w:val="22"/>
          <w:szCs w:val="22"/>
          <w:color w:val="auto"/>
        </w:rPr>
        <w:t>. If any Lender requests compensation under Section 3.7 or 3.9, or requires the Borrowers to pay any Indemnified Taxes or additional amounts to any Lender or any Governmental Body for the account of any Lender pursuant to Section 3.10, then such Lender shall (at the request of the Borrowers) use reasonable efforts to designate a different lending office for funding or booking its Advances to the Borrowers hereunder or to assign its rights and obligations hereunder to another of its offices, branches or affiliates, if, in the judgment of such Lender, such designation or assignment (i) would eliminate or reduce amounts payable pursuant to Section 3.7, 3.9 or 3.10, as the case may be, in the future, and (ii) would not subject such Lender to any unreimbursed cost or expense and would not otherwise be disadvantageous to such Lender. The Borrowers hereby agree to pay all reasonable costs and expenses incurred by any Lender in connection with any such designation or assignment.</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54" w:name="page155"/>
    <w:bookmarkEnd w:id="154"/>
    <w:p>
      <w:pPr>
        <w:jc w:val="both"/>
        <w:ind w:firstLine="1497"/>
        <w:spacing w:after="0" w:line="247" w:lineRule="auto"/>
        <w:rPr>
          <w:sz w:val="20"/>
          <w:szCs w:val="20"/>
          <w:color w:val="auto"/>
        </w:rPr>
      </w:pPr>
      <w:r>
        <w:rPr>
          <w:rFonts w:ascii="Times New Roman" w:cs="Times New Roman" w:eastAsia="Times New Roman" w:hAnsi="Times New Roman"/>
          <w:sz w:val="21"/>
          <w:szCs w:val="21"/>
          <w:u w:val="single" w:color="auto"/>
          <w:color w:val="auto"/>
        </w:rPr>
        <w:t>Replacement of Lenders</w:t>
      </w:r>
      <w:r>
        <w:rPr>
          <w:rFonts w:ascii="Times New Roman" w:cs="Times New Roman" w:eastAsia="Times New Roman" w:hAnsi="Times New Roman"/>
          <w:sz w:val="21"/>
          <w:szCs w:val="21"/>
          <w:color w:val="auto"/>
        </w:rPr>
        <w:t>. If any Lender (an "</w:t>
      </w:r>
      <w:r>
        <w:rPr>
          <w:rFonts w:ascii="Times New Roman" w:cs="Times New Roman" w:eastAsia="Times New Roman" w:hAnsi="Times New Roman"/>
          <w:sz w:val="21"/>
          <w:szCs w:val="21"/>
          <w:u w:val="single" w:color="auto"/>
          <w:color w:val="auto"/>
        </w:rPr>
        <w:t>Affected Lender</w:t>
      </w:r>
      <w:r>
        <w:rPr>
          <w:rFonts w:ascii="Times New Roman" w:cs="Times New Roman" w:eastAsia="Times New Roman" w:hAnsi="Times New Roman"/>
          <w:sz w:val="21"/>
          <w:szCs w:val="21"/>
          <w:color w:val="auto"/>
        </w:rPr>
        <w:t>") (a) makes demand upon Borrowers for (or if Borrowers are otherwise required to pay) amounts pursuant to Section 3.7, 3.9 or 3.10 hereof, (b) is unable to make or maintain Term SOFR Rate Loans as a result of a condition described in Section 2.2(h) hereof, (c) is a Defaulting Lender, or (d) denies any consent requested by Agent pursuant to Section 16.2(b) hereof agreed to by Required Lenders, Borrowers may, within ninety</w:t>
      </w:r>
    </w:p>
    <w:p>
      <w:pPr>
        <w:spacing w:after="0" w:line="2" w:lineRule="exact"/>
        <w:rPr>
          <w:sz w:val="20"/>
          <w:szCs w:val="20"/>
          <w:color w:val="auto"/>
        </w:rPr>
      </w:pPr>
    </w:p>
    <w:p>
      <w:pPr>
        <w:jc w:val="both"/>
        <w:ind w:firstLine="8"/>
        <w:spacing w:after="0" w:line="241" w:lineRule="auto"/>
        <w:tabs>
          <w:tab w:leader="none" w:pos="422" w:val="left"/>
        </w:tabs>
        <w:numPr>
          <w:ilvl w:val="0"/>
          <w:numId w:val="1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days of receipt of such demand, notice (or the occurrence of such other event causing Borrowers to be required to pay such compensation or causing Section 2.2(h) hereof to be applicable), or such Lender becoming a Defaulting Lender or denial of a request by Agent pursuant to Section 16.2(b) hereof, as the case may be, by notice in writing to Agent and such Affected Lender</w:t>
      </w:r>
    </w:p>
    <w:p>
      <w:pPr>
        <w:spacing w:after="0" w:line="1" w:lineRule="exact"/>
        <w:rPr>
          <w:rFonts w:ascii="Times New Roman" w:cs="Times New Roman" w:eastAsia="Times New Roman" w:hAnsi="Times New Roman"/>
          <w:sz w:val="21"/>
          <w:szCs w:val="21"/>
          <w:color w:val="auto"/>
        </w:rPr>
      </w:pPr>
    </w:p>
    <w:p>
      <w:pPr>
        <w:jc w:val="both"/>
        <w:spacing w:after="0" w:line="231"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(i) request the Affected Lender to cooperate with Borrowers in obtaining a replacement Lender satisfactory to Agent and Borrowers (the "Replacement Lender"); (ii) request the non-Affected Lenders to acquire and assume all of the Affected Lender's Advances and its Revolving Commitment Percentage, as provided herein, but none of such Lenders shall be under any obligation to do so; or (iii) propose a Replacement Lender subject to approval by Agent. If any satisfactory Replacement Lender shall be obtained, and/or if any one or more of the non-Affected Lenders shall agree to acquire and assume all of the Affected Lender's Advances and its Revolving Commitment Percentage, then such Affected Lender shall assign, in accordance with Section 16.3 hereof, all of its Advances and its Revolving Commitment Percentage, and other rights and obligations under this Loan Agreement and the Other Documents to such Replacement Lender or non-Affected Lenders, as the case may be, in exchange for payment of the principal amount so assigned and all interest and fees accrued on the amount so assigned, plus all other Obligations then due and payable to the Affected Lender. Nothing contained in this Section 3.11 shall limit Agent's and Borrowing Agent's right to replace a Lender pursuant to Section 16.2(d).</w:t>
      </w:r>
    </w:p>
    <w:p>
      <w:pPr>
        <w:spacing w:after="0" w:line="18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b w:val="1"/>
          <w:bCs w:val="1"/>
          <w:color w:val="auto"/>
        </w:rPr>
        <w:t>COLLATERAL: GENERAL TERMS</w:t>
      </w:r>
    </w:p>
    <w:p>
      <w:pPr>
        <w:spacing w:after="0" w:line="206" w:lineRule="exact"/>
        <w:rPr>
          <w:sz w:val="20"/>
          <w:szCs w:val="20"/>
          <w:color w:val="auto"/>
        </w:rPr>
      </w:pPr>
    </w:p>
    <w:p>
      <w:pPr>
        <w:jc w:val="both"/>
        <w:ind w:firstLine="1497"/>
        <w:spacing w:after="0" w:line="233" w:lineRule="auto"/>
        <w:rPr>
          <w:sz w:val="20"/>
          <w:szCs w:val="20"/>
          <w:color w:val="auto"/>
        </w:rPr>
      </w:pPr>
      <w:r>
        <w:rPr>
          <w:rFonts w:ascii="Times New Roman" w:cs="Times New Roman" w:eastAsia="Times New Roman" w:hAnsi="Times New Roman"/>
          <w:sz w:val="22"/>
          <w:szCs w:val="22"/>
          <w:b w:val="1"/>
          <w:bCs w:val="1"/>
          <w:u w:val="single" w:color="auto"/>
          <w:color w:val="auto"/>
        </w:rPr>
        <w:t>Security Interest in the Collateral</w:t>
      </w:r>
      <w:r>
        <w:rPr>
          <w:rFonts w:ascii="Times New Roman" w:cs="Times New Roman" w:eastAsia="Times New Roman" w:hAnsi="Times New Roman"/>
          <w:sz w:val="22"/>
          <w:szCs w:val="22"/>
          <w:b w:val="1"/>
          <w:bCs w:val="1"/>
          <w:color w:val="auto"/>
        </w:rPr>
        <w:t>. To secure the prompt payment and performance to Agent, Issuer, Swing Loan Lender, each Lender and each other Secured Party (and each other holder of any Obligations) of the Obligations, each Credit Party hereby assigns, pledges and grants to Agent for its benefit and for the ratable benefit of each Secured Party, a continuing security interest in and to and Lien on all of its Collateral, whether now owned or existing or hereafter created, acquired or arising and wheresoever located. Each Credit Party shall mark its books and records as may be necessary or appropriate to evidence, protect and perfect Agent's security interest. Each Credit Party shall provide Agent with written notice of all commercial tort claims for which the amount of damages sought exceeds $500,000 promptly upon such claim having been asserted in judicial proceedings, mediation, arbitration or other formal or informal dispute resolution forums, such notice to contain a brief description of the claim(s), the events out of which such claim(s) arose and the parties against which such claims may be asserted and, if applicable in any case where legal proceedings regarding such claim(s) have been commenced, the case title together with the applicable court and docket number.</w:t>
      </w:r>
    </w:p>
    <w:p>
      <w:pPr>
        <w:spacing w:after="0" w:line="185" w:lineRule="exact"/>
        <w:rPr>
          <w:sz w:val="20"/>
          <w:szCs w:val="20"/>
          <w:color w:val="auto"/>
        </w:rPr>
      </w:pPr>
    </w:p>
    <w:p>
      <w:pPr>
        <w:jc w:val="both"/>
        <w:ind w:firstLine="1497"/>
        <w:spacing w:after="0" w:line="252" w:lineRule="auto"/>
        <w:rPr>
          <w:sz w:val="20"/>
          <w:szCs w:val="20"/>
          <w:color w:val="auto"/>
        </w:rPr>
      </w:pPr>
      <w:r>
        <w:rPr>
          <w:rFonts w:ascii="Times New Roman" w:cs="Times New Roman" w:eastAsia="Times New Roman" w:hAnsi="Times New Roman"/>
          <w:sz w:val="21"/>
          <w:szCs w:val="21"/>
          <w:b w:val="1"/>
          <w:bCs w:val="1"/>
          <w:u w:val="single" w:color="auto"/>
          <w:color w:val="auto"/>
        </w:rPr>
        <w:t>Perfection of Security Interest</w:t>
      </w:r>
      <w:r>
        <w:rPr>
          <w:rFonts w:ascii="Times New Roman" w:cs="Times New Roman" w:eastAsia="Times New Roman" w:hAnsi="Times New Roman"/>
          <w:sz w:val="21"/>
          <w:szCs w:val="21"/>
          <w:b w:val="1"/>
          <w:bCs w:val="1"/>
          <w:color w:val="auto"/>
        </w:rPr>
        <w:t>. Each Credit Party shall take all action that may be necessary or desirable, or that Agent may request, so as at all times to maintain the validity, perfection, enforceability and priority of Agent's security interest in and Lien on the Collateral or to enable Agent to protect, exercise or enforce its rights hereunder and in the Collateral, including, but not limited to, (i) immediately discharging all Liens other than Permitted Encumbrances, (ii) delivering to Agent, endorsements of, instruments of assignment as Agent may specify with</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55" w:name="page156"/>
    <w:bookmarkEnd w:id="155"/>
    <w:p>
      <w:pPr>
        <w:jc w:val="both"/>
        <w:spacing w:after="0" w:line="250" w:lineRule="auto"/>
        <w:rPr>
          <w:sz w:val="20"/>
          <w:szCs w:val="20"/>
          <w:color w:val="auto"/>
        </w:rPr>
      </w:pPr>
      <w:r>
        <w:rPr>
          <w:rFonts w:ascii="Times New Roman" w:cs="Times New Roman" w:eastAsia="Times New Roman" w:hAnsi="Times New Roman"/>
          <w:sz w:val="21"/>
          <w:szCs w:val="21"/>
          <w:b w:val="1"/>
          <w:bCs w:val="1"/>
          <w:color w:val="auto"/>
        </w:rPr>
        <w:t>respect to, and stamping or marking in such manner as Agent may specify, any and all chattel paper, instruments and advices thereof and documents evidencing or forming a part of the Collateral, (iii) executing and delivering pledges of the Equity Interests of each of its Subsidiaries (solely to the extent such Equity Interests do not constitute Excluded Property)</w:t>
      </w:r>
    </w:p>
    <w:p>
      <w:pPr>
        <w:spacing w:after="0" w:line="2" w:lineRule="exact"/>
        <w:rPr>
          <w:sz w:val="20"/>
          <w:szCs w:val="20"/>
          <w:color w:val="auto"/>
        </w:rPr>
      </w:pPr>
    </w:p>
    <w:p>
      <w:pPr>
        <w:jc w:val="both"/>
        <w:ind w:firstLine="8"/>
        <w:spacing w:after="0" w:line="231" w:lineRule="auto"/>
        <w:tabs>
          <w:tab w:leader="none" w:pos="395" w:val="left"/>
        </w:tabs>
        <w:numPr>
          <w:ilvl w:val="0"/>
          <w:numId w:val="10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executing and delivering Ship Mortgages with respect to Documented Vessels that are U.S. flag vessels (including without limitation Documented Vessels acquired or constructed after the Closing Date) as well as evidence satisfactory to Agent that such Ship Mortgages have been duly recorded with the NVDC, and (v) executing and delivering financing statements, control agreements, instruments of pledge, notices and assignments, in each case in form and substance reasonably satisfactory to Agent, relating to the creation, validity, perfection, maintenance or continuation of Agent's security interest and Lien under the Uniform Commercial Code or other Applicable Law. By its signature hereto, each Credit Party hereby authorizes Agent to file against such Credit Party, one or more financing, continuation or amendment statements pursuant to the Uniform Commercial Code in form and substance satisfactory to Agent (which statements may have a description of collateral which is broader than that set forth herein, including without limitation a description of Collateral as "all assets" and/or "all personal property" of any Credit Party). All charges, expenses and fees Agent may incur in doing any of the foregoing, and any local taxes relating thereto, shall be charged to Borrowers' Account as a Revolving Advance of a Domestic Rate Loan and added to the Obligations. Notwithstanding the foregoing, unless an Event of Default has occurred and is continuing, the Credit Parties shall not be obligated to perfect a security interest in (a) letter of credit rights (other than those that constitute supporting obligations as to other Collateral) with a value of less than $2,500,000, or (b) deliver to Agent possession of any items of Collateral with a value of less than $2,500,000 (it being understood that nothing in this Agreement requires the delivery of local law security agreements and/or perfection steps with respect to Equity Interests issued by Foreign Subsidiaries).</w:t>
      </w:r>
    </w:p>
    <w:p>
      <w:pPr>
        <w:spacing w:after="0" w:line="180" w:lineRule="exact"/>
        <w:rPr>
          <w:sz w:val="20"/>
          <w:szCs w:val="20"/>
          <w:color w:val="auto"/>
        </w:rPr>
      </w:pPr>
    </w:p>
    <w:p>
      <w:pPr>
        <w:jc w:val="both"/>
        <w:ind w:firstLine="1497"/>
        <w:spacing w:after="0" w:line="233" w:lineRule="auto"/>
        <w:rPr>
          <w:sz w:val="20"/>
          <w:szCs w:val="20"/>
          <w:color w:val="auto"/>
        </w:rPr>
      </w:pPr>
      <w:r>
        <w:rPr>
          <w:rFonts w:ascii="Times New Roman" w:cs="Times New Roman" w:eastAsia="Times New Roman" w:hAnsi="Times New Roman"/>
          <w:sz w:val="22"/>
          <w:szCs w:val="22"/>
          <w:b w:val="1"/>
          <w:bCs w:val="1"/>
          <w:u w:val="single" w:color="auto"/>
          <w:color w:val="auto"/>
        </w:rPr>
        <w:t>Preservation of Collateral</w:t>
      </w:r>
      <w:r>
        <w:rPr>
          <w:rFonts w:ascii="Times New Roman" w:cs="Times New Roman" w:eastAsia="Times New Roman" w:hAnsi="Times New Roman"/>
          <w:sz w:val="22"/>
          <w:szCs w:val="22"/>
          <w:b w:val="1"/>
          <w:bCs w:val="1"/>
          <w:color w:val="auto"/>
        </w:rPr>
        <w:t>. Following the occurrence and during the continuation of an Event of Default and in addition to the rights and remedies set forth in Section 11.1 hereof, Agent: (a) may at any time take such steps as Agent deems necessary to protect Agent's interest in and to preserve the Collateral, including the hiring of security guards or the placing of other security protection measures as Agent may deem appropriate; (b) may employ and maintain at any of any Credit Party's premises a custodian who shall have full authority to do all acts necessary to protect Agent's interests in the Collateral; (c) may lease warehouse facilities to which Agent may move all or part of the Collateral; and (d) shall have, and is hereby granted, a right of ingress and egress to the places where the Collateral is located, and may proceed over and through any of Credit Parties' owned or leased property. Each Credit Party shall cooperate fully with all of Agent's efforts to preserve the Collateral and will take such actions to preserve the Collateral as Agent may direct. All of Agent's expenses of preserving the Collateral, including any expenses relating to the bonding of a custodian, shall be charged to Borrowers' Account as a Revolving Advance maintained as a Domestic Rate Loan and added to the Obligations.</w:t>
      </w:r>
    </w:p>
    <w:p>
      <w:pPr>
        <w:spacing w:after="0" w:line="18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b w:val="1"/>
          <w:bCs w:val="1"/>
          <w:u w:val="single" w:color="auto"/>
          <w:color w:val="auto"/>
        </w:rPr>
        <w:t>Ownership and Location of Collateral</w:t>
      </w:r>
      <w:r>
        <w:rPr>
          <w:rFonts w:ascii="Times New Roman" w:cs="Times New Roman" w:eastAsia="Times New Roman" w:hAnsi="Times New Roman"/>
          <w:sz w:val="22"/>
          <w:szCs w:val="22"/>
          <w:b w:val="1"/>
          <w:bCs w:val="1"/>
          <w:color w:val="auto"/>
        </w:rPr>
        <w:t>.</w:t>
      </w:r>
    </w:p>
    <w:p>
      <w:pPr>
        <w:spacing w:after="0" w:line="210"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color w:val="auto"/>
        </w:rPr>
        <w:t>With respect to the Collateral, at the time the Collateral becomes subject to Agent's security interest: (i) each Credit Party shall be the sole owner of or have rights or an interest in, and be fully authorized and able to sell, transfer, pledge and/or grant a first priority security interest in each and every item of its respective Collateral to Agent, subject to Permitted Encumbrances;</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56" w:name="page157"/>
    <w:bookmarkEnd w:id="156"/>
    <w:p>
      <w:pPr>
        <w:jc w:val="both"/>
        <w:spacing w:after="0" w:line="235" w:lineRule="auto"/>
        <w:rPr>
          <w:sz w:val="20"/>
          <w:szCs w:val="20"/>
          <w:color w:val="auto"/>
        </w:rPr>
      </w:pPr>
      <w:r>
        <w:rPr>
          <w:rFonts w:ascii="Times New Roman" w:cs="Times New Roman" w:eastAsia="Times New Roman" w:hAnsi="Times New Roman"/>
          <w:sz w:val="22"/>
          <w:szCs w:val="22"/>
          <w:color w:val="auto"/>
        </w:rPr>
        <w:t>and, except for Permitted Encumbrances the Collateral shall be free and clear of all Liens whatsoever; (ii) each document and agreement executed by each Credit Party or delivered to Agent or any Lender in connection with this Agreement shall be true and correct in all material respects; (iii) all signatures and endorsements of each Credit Party that appear on such documents and agreements shall be genuine and each Credit Party shall have full capacity to execute same; and (iv) each Credit Party's Equipment and Inventory shall be located as set forth on Schedule 4.4 (unless such Equipment or Inventory is being utilized for a project and at a customer's location or other location in the Orginary Course of Business; provided, that in any event no Eligible Fleet Assets shall be located within any Ineligible Location), or at such other locations as a Credit Party may from time to time notify Agent.</w:t>
      </w:r>
    </w:p>
    <w:p>
      <w:pPr>
        <w:spacing w:after="0" w:line="178" w:lineRule="exact"/>
        <w:rPr>
          <w:sz w:val="20"/>
          <w:szCs w:val="20"/>
          <w:color w:val="auto"/>
        </w:rPr>
      </w:pPr>
    </w:p>
    <w:p>
      <w:pPr>
        <w:jc w:val="both"/>
        <w:ind w:firstLine="1497"/>
        <w:spacing w:after="0" w:line="236" w:lineRule="auto"/>
        <w:rPr>
          <w:sz w:val="20"/>
          <w:szCs w:val="20"/>
          <w:color w:val="auto"/>
        </w:rPr>
      </w:pPr>
      <w:r>
        <w:rPr>
          <w:rFonts w:ascii="Times New Roman" w:cs="Times New Roman" w:eastAsia="Times New Roman" w:hAnsi="Times New Roman"/>
          <w:sz w:val="22"/>
          <w:szCs w:val="22"/>
          <w:color w:val="auto"/>
        </w:rPr>
        <w:t>Schedule 4.4 hereto sets forth a correct and complete list as of the Amendment No. 2 Closing Date of (A) each place of business of each Credit Party, (B) the chief executive office of each Credit Party; (C) the location of any Inventory or Equipment of a Credit Party (unless such Equipment or Inventory is being utilized for a project and at a customer's location; provided, that in any event no Eligible Fleet Assets shall be located in any Ineligible Location), and (D) the location, by state and street address, of all Real Property owned or leased by each Credit Party, identifying which properties are owned and which are leased.</w:t>
      </w:r>
    </w:p>
    <w:p>
      <w:pPr>
        <w:spacing w:after="0" w:line="177" w:lineRule="exact"/>
        <w:rPr>
          <w:sz w:val="20"/>
          <w:szCs w:val="20"/>
          <w:color w:val="auto"/>
        </w:rPr>
      </w:pPr>
    </w:p>
    <w:p>
      <w:pPr>
        <w:jc w:val="both"/>
        <w:ind w:firstLine="1497"/>
        <w:spacing w:after="0" w:line="233" w:lineRule="auto"/>
        <w:rPr>
          <w:sz w:val="20"/>
          <w:szCs w:val="20"/>
          <w:color w:val="auto"/>
        </w:rPr>
      </w:pPr>
      <w:r>
        <w:rPr>
          <w:rFonts w:ascii="Times New Roman" w:cs="Times New Roman" w:eastAsia="Times New Roman" w:hAnsi="Times New Roman"/>
          <w:sz w:val="22"/>
          <w:szCs w:val="22"/>
          <w:b w:val="1"/>
          <w:bCs w:val="1"/>
          <w:u w:val="single" w:color="auto"/>
          <w:color w:val="auto"/>
        </w:rPr>
        <w:t>Defense of Agent's and Lenders' Interests</w:t>
      </w:r>
      <w:r>
        <w:rPr>
          <w:rFonts w:ascii="Times New Roman" w:cs="Times New Roman" w:eastAsia="Times New Roman" w:hAnsi="Times New Roman"/>
          <w:sz w:val="22"/>
          <w:szCs w:val="22"/>
          <w:b w:val="1"/>
          <w:bCs w:val="1"/>
          <w:color w:val="auto"/>
        </w:rPr>
        <w:t>. Until (a) payment and performance in full of all of the Obligations and (b) termination of this Agreement, Agent's interests in the Collateral shall continue in full force and effect. Each Credit Party shall defend Agent's interests in the Collateral against any and all Persons whatsoever. At any time following demand by Agent for payment of all Obligations after the occurrence and during the continuance of an Event of Default, Agent shall have the right to take possession of the indicia of the Collateral and the Collateral in whatever physical form contained, including: labels, stationery, documents, instruments and advertising materials. If Agent exercises this right to take possession of the Collateral, each Credit Party shall, upon demand, assemble it in a manner reasonably requested by Agent and make it available to Agent at a place reasonably convenient to Agent. In addition, with respect to all Collateral, Agent and Lenders shall be entitled to all of the rights and remedies set forth herein and further provided by the Uniform Commercial Code or other Applicable Law. If an Event of Default has occurred and is continuing, at Agent's request, each Credit Party shall, and Agent may, at its option, instruct all suppliers, carriers, forwarders, warehousers or others receiving or holding cash, checks, Inventory, documents or instruments in which Agent holds a security interest to deliver same to Agent and/or subject to Agent's order and if they shall come into any Credit Party's possession, they, and each of them, shall be held by such Credit Party in trust as Agent's trustee, and such Credit Party will immediately deliver them to Agent in their original form together with any necessary endorsement.</w:t>
      </w:r>
    </w:p>
    <w:p>
      <w:pPr>
        <w:spacing w:after="0" w:line="174" w:lineRule="exact"/>
        <w:rPr>
          <w:sz w:val="20"/>
          <w:szCs w:val="20"/>
          <w:color w:val="auto"/>
        </w:rPr>
      </w:pPr>
    </w:p>
    <w:p>
      <w:pPr>
        <w:jc w:val="both"/>
        <w:ind w:firstLine="1497"/>
        <w:spacing w:after="0" w:line="237" w:lineRule="auto"/>
        <w:rPr>
          <w:sz w:val="20"/>
          <w:szCs w:val="20"/>
          <w:color w:val="auto"/>
        </w:rPr>
      </w:pPr>
      <w:r>
        <w:rPr>
          <w:rFonts w:ascii="Times New Roman" w:cs="Times New Roman" w:eastAsia="Times New Roman" w:hAnsi="Times New Roman"/>
          <w:sz w:val="22"/>
          <w:szCs w:val="22"/>
          <w:b w:val="1"/>
          <w:bCs w:val="1"/>
          <w:u w:val="single" w:color="auto"/>
          <w:color w:val="auto"/>
        </w:rPr>
        <w:t>Inspection of Premises</w:t>
      </w:r>
      <w:r>
        <w:rPr>
          <w:rFonts w:ascii="Times New Roman" w:cs="Times New Roman" w:eastAsia="Times New Roman" w:hAnsi="Times New Roman"/>
          <w:sz w:val="22"/>
          <w:szCs w:val="22"/>
          <w:b w:val="1"/>
          <w:bCs w:val="1"/>
          <w:color w:val="auto"/>
        </w:rPr>
        <w:t>. During normal business hours and upon reasonable prior notice, Agent shall have full access to and the right to audit, check, inspect and make abstracts and copies from each Credit Party's books, records, audits, correspondence and all other papers relating to the Collateral and the operation of each Credit Party's business. Agent and its agents may enter upon any premises of any Credit Party upon reasonable notice at any time during business hours, for the purpose of inspecting the Collateral and any and all records pertaining thereto and the operation of such Credit Party's business. Borrowers' obligation to pay fees to Agent in respect of</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22"/>
          <w:szCs w:val="22"/>
          <w:b w:val="1"/>
          <w:bCs w:val="1"/>
          <w:color w:val="auto"/>
        </w:rPr>
        <w:t>collateral evaluations provided for under this Section 4.6 shall be limited to the extent set forth in Section 3.4.</w:t>
      </w:r>
    </w:p>
    <w:p>
      <w:pPr>
        <w:spacing w:after="0" w:line="206" w:lineRule="exact"/>
        <w:rPr>
          <w:sz w:val="20"/>
          <w:szCs w:val="20"/>
          <w:color w:val="auto"/>
        </w:rPr>
      </w:pPr>
    </w:p>
    <w:p>
      <w:pPr>
        <w:jc w:val="both"/>
        <w:ind w:firstLine="1497"/>
        <w:spacing w:after="0" w:line="233" w:lineRule="auto"/>
        <w:rPr>
          <w:sz w:val="20"/>
          <w:szCs w:val="20"/>
          <w:color w:val="auto"/>
        </w:rPr>
      </w:pPr>
      <w:r>
        <w:rPr>
          <w:rFonts w:ascii="Times New Roman" w:cs="Times New Roman" w:eastAsia="Times New Roman" w:hAnsi="Times New Roman"/>
          <w:sz w:val="22"/>
          <w:szCs w:val="22"/>
          <w:b w:val="1"/>
          <w:bCs w:val="1"/>
          <w:u w:val="single" w:color="auto"/>
          <w:color w:val="auto"/>
        </w:rPr>
        <w:t>Appraisals</w:t>
      </w:r>
      <w:r>
        <w:rPr>
          <w:rFonts w:ascii="Times New Roman" w:cs="Times New Roman" w:eastAsia="Times New Roman" w:hAnsi="Times New Roman"/>
          <w:sz w:val="22"/>
          <w:szCs w:val="22"/>
          <w:b w:val="1"/>
          <w:bCs w:val="1"/>
          <w:color w:val="auto"/>
        </w:rPr>
        <w:t xml:space="preserve">. Agent may in its Permitted Discretion (and shall at the written direction of Required Lenders but only to the extent Borrowers are obligated to reimburse Agent pursuant to the terms of this Section 4.7), at any time after the Closing Date and from time to time, engage the services of an Approved Appraiser, for the purpose of appraising Credit Parties' assets; </w:t>
      </w:r>
      <w:r>
        <w:rPr>
          <w:rFonts w:ascii="Times New Roman" w:cs="Times New Roman" w:eastAsia="Times New Roman" w:hAnsi="Times New Roman"/>
          <w:sz w:val="22"/>
          <w:szCs w:val="22"/>
          <w:b w:val="1"/>
          <w:bCs w:val="1"/>
          <w:u w:val="single" w:color="auto"/>
          <w:color w:val="auto"/>
        </w:rPr>
        <w:t>provided</w:t>
      </w:r>
      <w:r>
        <w:rPr>
          <w:rFonts w:ascii="Times New Roman" w:cs="Times New Roman" w:eastAsia="Times New Roman" w:hAnsi="Times New Roman"/>
          <w:sz w:val="22"/>
          <w:szCs w:val="22"/>
          <w:b w:val="1"/>
          <w:bCs w:val="1"/>
          <w:color w:val="auto"/>
        </w:rPr>
        <w:t xml:space="preserve">, that so long as no Event of Default shall have occurred during a calendar year, Agent shall not conduct more than one (1) appraisal of the Equipment (including Fleet Assets) in such calendar year (increasing to two (2) appraisals of Equipment (including Fleet Assets) in a calendar year if at any time during such calendar year Undrawn Availability is less than fifteen percent (15.0%) of the Maximum Loan Amount for five (5) consecutive Business Days, except for appraisals conducted in connection with a proposed Permitted Acquisition (whether or not consummated). Absent the occurrence and continuance of an Event of Default at such time, Agent shall consult with Borrowing Agent as to the identity of any such Approved Appraiser. Borrowers shall reimburse Agent for the costs, expenses and charges incurred by Agent in respect of any appraisal; </w:t>
      </w:r>
      <w:r>
        <w:rPr>
          <w:rFonts w:ascii="Times New Roman" w:cs="Times New Roman" w:eastAsia="Times New Roman" w:hAnsi="Times New Roman"/>
          <w:sz w:val="22"/>
          <w:szCs w:val="22"/>
          <w:b w:val="1"/>
          <w:bCs w:val="1"/>
          <w:u w:val="single" w:color="auto"/>
          <w:color w:val="auto"/>
        </w:rPr>
        <w:t>provided</w:t>
      </w:r>
      <w:r>
        <w:rPr>
          <w:rFonts w:ascii="Times New Roman" w:cs="Times New Roman" w:eastAsia="Times New Roman" w:hAnsi="Times New Roman"/>
          <w:sz w:val="22"/>
          <w:szCs w:val="22"/>
          <w:b w:val="1"/>
          <w:bCs w:val="1"/>
          <w:color w:val="auto"/>
        </w:rPr>
        <w:t>, that so long as no Event of Default shall have occurred during a calendar year, Borrowers shall not be obligated to reimburse Agent for more than one (1) appraisal of the Equipment (including Fleet Assets) in such calendar year (increasing to two (2) appraisals of Equipment (including Fleet Assets) in a calendar year if at any time during such calendar year Undrawn Availability is less than fifteen percent (15.0%) of the Maximum Loan Amount for five (5) consecutive Business Days, except for appraisals conducted in connection with a proposed Permitted Acquisition (whether or not consummated).</w:t>
      </w:r>
    </w:p>
    <w:p>
      <w:pPr>
        <w:spacing w:after="0" w:line="17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b w:val="1"/>
          <w:bCs w:val="1"/>
          <w:u w:val="single" w:color="auto"/>
          <w:color w:val="auto"/>
        </w:rPr>
        <w:t>Receivables; Deposit Accounts and Securities Accounts</w:t>
      </w:r>
      <w:r>
        <w:rPr>
          <w:rFonts w:ascii="Times New Roman" w:cs="Times New Roman" w:eastAsia="Times New Roman" w:hAnsi="Times New Roman"/>
          <w:sz w:val="22"/>
          <w:szCs w:val="22"/>
          <w:b w:val="1"/>
          <w:bCs w:val="1"/>
          <w:color w:val="auto"/>
        </w:rPr>
        <w:t>.</w:t>
      </w:r>
    </w:p>
    <w:p>
      <w:pPr>
        <w:spacing w:after="0" w:line="210" w:lineRule="exact"/>
        <w:rPr>
          <w:sz w:val="20"/>
          <w:szCs w:val="20"/>
          <w:color w:val="auto"/>
        </w:rPr>
      </w:pPr>
    </w:p>
    <w:p>
      <w:pPr>
        <w:jc w:val="both"/>
        <w:ind w:firstLine="1497"/>
        <w:spacing w:after="0" w:line="249" w:lineRule="auto"/>
        <w:rPr>
          <w:sz w:val="20"/>
          <w:szCs w:val="20"/>
          <w:color w:val="auto"/>
        </w:rPr>
      </w:pPr>
      <w:r>
        <w:rPr>
          <w:rFonts w:ascii="Times New Roman" w:cs="Times New Roman" w:eastAsia="Times New Roman" w:hAnsi="Times New Roman"/>
          <w:sz w:val="21"/>
          <w:szCs w:val="21"/>
          <w:color w:val="auto"/>
        </w:rPr>
        <w:t>Each of the Receivables shall be a bona fide and valid account representing a bona fide indebtedness incurred by the Customer therein named, for a fixed sum as set forth in the invoice relating thereto (provided immaterial or unintentional invoice errors shall not be deemed to be a breach hereof) with respect to an absolute sale or lease and delivery of goods upon stated terms of a Credit Party, or work, labor or services theretofore rendered by a Credit Party as of the date each Receivable is created. Same shall be due and owing in accordance with the applicable Credit Party's terms of sale with the Customer, without dispute, setoff or counterclaim except as may be stated on the accounts receivable schedules delivered by Credit Parties to Agent.</w:t>
      </w:r>
    </w:p>
    <w:p>
      <w:pPr>
        <w:spacing w:after="0" w:line="171"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color w:val="auto"/>
        </w:rPr>
        <w:t>Each Customer, to the best of each Credit Party's knowledge, as of the date each Receivable is created, is and will be solvent and able to pay all Receivables on which the Customer is obligated in full when due. With respect to such Customers of any Credit Party who are not solvent, such Credit Party has set up on its books and in its financial records bad debt reserves adequate to cover such Receivables.</w:t>
      </w:r>
    </w:p>
    <w:p>
      <w:pPr>
        <w:spacing w:after="0" w:line="180" w:lineRule="exact"/>
        <w:rPr>
          <w:sz w:val="20"/>
          <w:szCs w:val="20"/>
          <w:color w:val="auto"/>
        </w:rPr>
      </w:pPr>
    </w:p>
    <w:p>
      <w:pPr>
        <w:jc w:val="both"/>
        <w:ind w:right="20" w:firstLine="1497"/>
        <w:spacing w:after="0" w:line="244" w:lineRule="auto"/>
        <w:rPr>
          <w:sz w:val="20"/>
          <w:szCs w:val="20"/>
          <w:color w:val="auto"/>
        </w:rPr>
      </w:pPr>
      <w:r>
        <w:rPr>
          <w:rFonts w:ascii="Times New Roman" w:cs="Times New Roman" w:eastAsia="Times New Roman" w:hAnsi="Times New Roman"/>
          <w:sz w:val="22"/>
          <w:szCs w:val="22"/>
          <w:color w:val="auto"/>
        </w:rPr>
        <w:t>Each Credit Party's chief executive office is located as set forth on Schedule 4.4. Until written notice is given to Agent by Borrowing Agent of any other office at which any Credit Party keeps its records pertaining to Receivables, all such records shall be kept at such executive office.</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58" w:name="page159"/>
    <w:bookmarkEnd w:id="158"/>
    <w:p>
      <w:pPr>
        <w:jc w:val="both"/>
        <w:ind w:firstLine="1497"/>
        <w:spacing w:after="0" w:line="234" w:lineRule="auto"/>
        <w:rPr>
          <w:sz w:val="20"/>
          <w:szCs w:val="20"/>
          <w:color w:val="auto"/>
        </w:rPr>
      </w:pPr>
      <w:r>
        <w:rPr>
          <w:rFonts w:ascii="Times New Roman" w:cs="Times New Roman" w:eastAsia="Times New Roman" w:hAnsi="Times New Roman"/>
          <w:sz w:val="22"/>
          <w:szCs w:val="22"/>
          <w:color w:val="auto"/>
        </w:rPr>
        <w:t>Credit Parties shall instruct their Customers to deliver all remittances upon Receivables (whether paid by check or by wire transfer of funds) to such Collection Account(s) (and any associated lockboxes) as contemplated by Section 4.8(h). Notwithstanding the foregoing, to the extent any Credit Party directly receives any remittances upon Receivables, such Credit Party shall promptly deposit such remittances in a Collection Account, and shall as soon as possible and in any event no later than one (1) Business Day after the receipt thereof (i) in the case of remittances paid by check, deposit all such remittances in their original form (after supplying any necessary endorsements) and (ii) in the case of remittances paid by wire transfer of funds, transfer all such remittances, in each case, into such Collection Accounts(s). Each Credit Party shall deposit in the Collection Account or, upon request by Agent after the occurrence and during the continuance of an Event of Default, deliver to Agent, in original form and on the date of receipt thereof, all checks, drafts, notes, money orders, acceptances, cash and other evidences of Indebtedness.</w:t>
      </w:r>
    </w:p>
    <w:p>
      <w:pPr>
        <w:spacing w:after="0" w:line="17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Intentionally Omitted</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ind w:firstLine="1497"/>
        <w:spacing w:after="0" w:line="243" w:lineRule="auto"/>
        <w:rPr>
          <w:sz w:val="20"/>
          <w:szCs w:val="20"/>
          <w:color w:val="auto"/>
        </w:rPr>
      </w:pPr>
      <w:r>
        <w:rPr>
          <w:rFonts w:ascii="Times New Roman" w:cs="Times New Roman" w:eastAsia="Times New Roman" w:hAnsi="Times New Roman"/>
          <w:sz w:val="21"/>
          <w:szCs w:val="21"/>
          <w:color w:val="auto"/>
        </w:rPr>
        <w:t>At any time following the occurrence and during the continuation of an Event of Default, Agent shall have the right to receive, endorse, assign and/or deliver in the name of Agent or any Credit Party any and all checks, drafts and other instruments for the payment of money relating to the Receivables, and each Credit Party hereby waives notice of presentment, protest and non-payment of any instrument so endorsed. Each Credit Party hereby constitutes Agent or Agent's designee as such Credit Party's attorney with power at any time: following the occurrence and during the continuation of an Event of Default: (i) to endorse such Credit Party's name upon any notes, acceptances, checks, drafts, money orders or other evidences of payment or Collateral; (ii) to sign such Credit Party's name on all financing statements or any other documents or instruments deemed necessary or appropriate by Agent to preserve, protect, or perfect Agent's interest in the Collateral and to file same; (iii) to receive, open and dispose of all mail addressed to any Credit Party at any post office box/lockbox maintained by Agent for Credit Parties or at any other business premises of Agent; (iv) to sign such Credit Party's name on any invoice or bill of lading relating to any of the Receivables, drafts against Customers, assignments and verifications of Receivables, (v) to demand payment of the Receivables; (vi) to enforce payment of the Receivables by legal proceedings or otherwise; (vii) to exercise all of such Credit Party's rights and remedies with respect to the collection of the Receivables and any other Collateral; (viii) to sue upon or otherwise collect, extend the time of payment of, settle, adjust, compromise, extend or renew the Receivables; (ix) to settle, adjust or compromise any legal proceedings brought to collect Receivables; (x) to prepare, file and sign such Credit Party's name on a proof of claim in bankruptcy or similar document against any Customer; (xi) to prepare, file and sign such Credit Party's name on any notice of Lien, assignment or satisfaction of Lien or similar document in connection with the Receivables; (xii) to accept the return of goods represented by any of the Receivables; (xiii) to change the address for delivery of mail addressed to any Credit Party to such address as Agent may designate; and (xiv) to do all other acts and things necessary to carry out this Agreement. All acts of said attorney or designee are hereby ratified and approved, and said attorney or designee shall not be liable for any acts of omission or commission nor for any error of judgment or mistake of fact or of law, unless done maliciously or with gross (not mere) negligence, bad faith or willful misconduct (as determined by a court of competent jurisdiction in a final non-appealable judgment); this power being coupled with an interest is irrevocable while any of the Obligations remain unpaid.</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59" w:name="page160"/>
    <w:bookmarkEnd w:id="159"/>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Neither Agent nor any Lender shall, under any circumstances or in any event whatsoever, have any liability for any error or omission or delay of any kind occurring in the settlement, collection or payment of any of the Receivables or any instrument received in payment thereof, or for any damage resulting therefrom.</w:t>
      </w:r>
    </w:p>
    <w:p>
      <w:pPr>
        <w:spacing w:after="0" w:line="173" w:lineRule="exact"/>
        <w:rPr>
          <w:sz w:val="20"/>
          <w:szCs w:val="20"/>
          <w:color w:val="auto"/>
        </w:rPr>
      </w:pPr>
    </w:p>
    <w:p>
      <w:pPr>
        <w:jc w:val="both"/>
        <w:ind w:firstLine="1497"/>
        <w:spacing w:after="0" w:line="243" w:lineRule="auto"/>
        <w:rPr>
          <w:sz w:val="20"/>
          <w:szCs w:val="20"/>
          <w:color w:val="auto"/>
        </w:rPr>
      </w:pPr>
      <w:r>
        <w:rPr>
          <w:rFonts w:ascii="Times New Roman" w:cs="Times New Roman" w:eastAsia="Times New Roman" w:hAnsi="Times New Roman"/>
          <w:sz w:val="21"/>
          <w:szCs w:val="21"/>
          <w:color w:val="auto"/>
        </w:rPr>
        <w:t>Credit Parties shall (i) establish and maintain their primary depository and treasury management relationships and all Collection Accounts with the Primary Depository Institution and (ii) deposit or cause to be deposited promptly, and in any event no later than the first (1st) Business Day after the date of receipt thereof, all of their collections and proceeds of Collateral into a Collection Account of a Credit Party (or into a lockbox from which collections received therein are deposited into a Collection Account of a Credit Party). Each Collection Account and each other deposit or securities account of a Credit Party (each such Collection Account, deposit account or securities account, other than an Excluded Deposit Account, a "</w:t>
      </w:r>
      <w:r>
        <w:rPr>
          <w:rFonts w:ascii="Times New Roman" w:cs="Times New Roman" w:eastAsia="Times New Roman" w:hAnsi="Times New Roman"/>
          <w:sz w:val="21"/>
          <w:szCs w:val="21"/>
          <w:u w:val="single" w:color="auto"/>
          <w:color w:val="auto"/>
        </w:rPr>
        <w:t>Controlled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Account</w:t>
      </w:r>
      <w:r>
        <w:rPr>
          <w:rFonts w:ascii="Times New Roman" w:cs="Times New Roman" w:eastAsia="Times New Roman" w:hAnsi="Times New Roman"/>
          <w:sz w:val="21"/>
          <w:szCs w:val="21"/>
          <w:color w:val="auto"/>
        </w:rPr>
        <w:t xml:space="preserve">") shall be subject to a deposit account control agreement with the applicable bank, financial or securities intermediary (each, a " </w:t>
      </w:r>
      <w:r>
        <w:rPr>
          <w:rFonts w:ascii="Times New Roman" w:cs="Times New Roman" w:eastAsia="Times New Roman" w:hAnsi="Times New Roman"/>
          <w:sz w:val="21"/>
          <w:szCs w:val="21"/>
          <w:u w:val="single" w:color="auto"/>
          <w:color w:val="auto"/>
        </w:rPr>
        <w:t>Controlled Account Bank</w:t>
      </w:r>
      <w:r>
        <w:rPr>
          <w:rFonts w:ascii="Times New Roman" w:cs="Times New Roman" w:eastAsia="Times New Roman" w:hAnsi="Times New Roman"/>
          <w:sz w:val="21"/>
          <w:szCs w:val="21"/>
          <w:color w:val="auto"/>
        </w:rPr>
        <w:t>") in form and substance reasonably satisfactory to Agent and shall provide (unless Agent otherwise agrees), among other things, that (A) the applicable Controlled Account Bank will comply with any instructions originated by Agent directing the disposition of the funds in such Controlled Account without further consent by the applicable Credit Party, (B) the applicable Controlled Account Bank waives, subordinates, or agrees not to exercise any rights of setoff or recoupment or any other claim against the applicable Controlled Account other than for payment of its service fees and other charges directly related to the administration of such Controlled Account and for returned checks or other items of payment, and</w:t>
      </w:r>
    </w:p>
    <w:p>
      <w:pPr>
        <w:spacing w:after="0" w:line="5" w:lineRule="exact"/>
        <w:rPr>
          <w:sz w:val="20"/>
          <w:szCs w:val="20"/>
          <w:color w:val="auto"/>
        </w:rPr>
      </w:pPr>
    </w:p>
    <w:p>
      <w:pPr>
        <w:jc w:val="both"/>
        <w:ind w:firstLine="8"/>
        <w:spacing w:after="0" w:line="231" w:lineRule="auto"/>
        <w:tabs>
          <w:tab w:leader="none" w:pos="361"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the instruction of Agent (an "</w:t>
      </w:r>
      <w:r>
        <w:rPr>
          <w:rFonts w:ascii="Times New Roman" w:cs="Times New Roman" w:eastAsia="Times New Roman" w:hAnsi="Times New Roman"/>
          <w:sz w:val="22"/>
          <w:szCs w:val="22"/>
          <w:u w:val="single" w:color="auto"/>
          <w:color w:val="auto"/>
        </w:rPr>
        <w:t>Activation Instruction</w:t>
      </w:r>
      <w:r>
        <w:rPr>
          <w:rFonts w:ascii="Times New Roman" w:cs="Times New Roman" w:eastAsia="Times New Roman" w:hAnsi="Times New Roman"/>
          <w:sz w:val="22"/>
          <w:szCs w:val="22"/>
          <w:color w:val="auto"/>
        </w:rPr>
        <w:t xml:space="preserve">"), the applicable Controlled Account Bank will forward by daily sweep all amounts in the applicable Controlled Account as identified by Agent in such Activation Instruction to the appropriate account of Agent. Agent agrees not to issue an Activation Instruction with respect to any Controlled Account unless a Cash Dominion Period has commenced. If a Cash Dominion Trigger Event occurs, Agent may (and at the written direction of Required Lenders shall) issue an Activation Instruction. Agent agrees to use commercially reasonable efforts to rescind an Activation Instruction at such time as the Cash Dominion Period with respect to such Cash Dominion Trigger Event has terminated. Agent shall apply all funds received by it from the Controlled Accounts to the Revolving Advances;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an Application Event has occurred and is continuing and funds are to be applied pursuant to Section 11.5, such funds are to be applied in respect of the obligations in accordance with Section 11.5 to the satisfaction of the Obligations (including the Cash Collateralization of the Letters of Credit) in the manner provided in this Agreement; </w:t>
      </w:r>
      <w:r>
        <w:rPr>
          <w:rFonts w:ascii="Times New Roman" w:cs="Times New Roman" w:eastAsia="Times New Roman" w:hAnsi="Times New Roman"/>
          <w:sz w:val="22"/>
          <w:szCs w:val="22"/>
          <w:u w:val="single" w:color="auto"/>
          <w:color w:val="auto"/>
        </w:rPr>
        <w:t>provided further</w:t>
      </w:r>
      <w:r>
        <w:rPr>
          <w:rFonts w:ascii="Times New Roman" w:cs="Times New Roman" w:eastAsia="Times New Roman" w:hAnsi="Times New Roman"/>
          <w:sz w:val="22"/>
          <w:szCs w:val="22"/>
          <w:color w:val="auto"/>
        </w:rPr>
        <w:t xml:space="preserve"> that, in the absence of any Event of Default, Agent shall apply all such funds representing collection of Receivables first to the prepayment of the principal amount of the Swing Loans, if any, and then to the Revolving Advances.</w:t>
      </w:r>
    </w:p>
    <w:p>
      <w:pPr>
        <w:spacing w:after="0" w:line="186"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color w:val="auto"/>
        </w:rPr>
        <w:t>If an Event of Default has occurred and is continuing, no Credit Party will, without Agent's consent, compromise or adjust any Receivables (or extend the time for payment thereof) or accept any material returns of merchandise or grant any additional discounts, allowances or credits thereon except for those compromises, adjustments, returns, discounts, credits and allowances as have been heretofore customary in the Ordinary Course of Business of such Credit Party.</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60" w:name="page161"/>
    <w:bookmarkEnd w:id="160"/>
    <w:p>
      <w:pPr>
        <w:jc w:val="both"/>
        <w:ind w:firstLine="1497"/>
        <w:spacing w:after="0" w:line="248" w:lineRule="auto"/>
        <w:rPr>
          <w:sz w:val="20"/>
          <w:szCs w:val="20"/>
          <w:color w:val="auto"/>
        </w:rPr>
      </w:pPr>
      <w:r>
        <w:rPr>
          <w:rFonts w:ascii="Times New Roman" w:cs="Times New Roman" w:eastAsia="Times New Roman" w:hAnsi="Times New Roman"/>
          <w:sz w:val="21"/>
          <w:szCs w:val="21"/>
          <w:color w:val="auto"/>
        </w:rPr>
        <w:t>All deposit accounts, securities accounts and investment accounts of each Credit Party and its Subsidiaries (other than with respect to any Strategic Joint Venture) as of the Amendment No. 2 Closing Date are set forth on Schedule 4.8(j). No Credit Party shall open any new deposit account, securities account or investment account unless (i) Borrowers shall have given at least ten (10) days prior written notice to PNC and (ii) such bank, depository institution or securities intermediary, each applicable Credit Party and Agent shall first have entered into an account control agreement in form and substance satisfactory to Agent sufficient to give Agent "control" (for purposes of Articles 8 and 9 of the Uniform Commercial Code) over such account. Notwithstanding anything herein to the contrary, this Section 4.8(j) shall not apply to Excluded Deposit Accounts.</w:t>
      </w:r>
    </w:p>
    <w:p>
      <w:pPr>
        <w:spacing w:after="0" w:line="166" w:lineRule="exact"/>
        <w:rPr>
          <w:sz w:val="20"/>
          <w:szCs w:val="20"/>
          <w:color w:val="auto"/>
        </w:rPr>
      </w:pPr>
    </w:p>
    <w:p>
      <w:pPr>
        <w:jc w:val="both"/>
        <w:ind w:firstLine="1497"/>
        <w:spacing w:after="0" w:line="246" w:lineRule="auto"/>
        <w:rPr>
          <w:sz w:val="20"/>
          <w:szCs w:val="20"/>
          <w:color w:val="auto"/>
        </w:rPr>
      </w:pPr>
      <w:r>
        <w:rPr>
          <w:rFonts w:ascii="Times New Roman" w:cs="Times New Roman" w:eastAsia="Times New Roman" w:hAnsi="Times New Roman"/>
          <w:sz w:val="22"/>
          <w:szCs w:val="22"/>
          <w:b w:val="1"/>
          <w:bCs w:val="1"/>
          <w:u w:val="single" w:color="auto"/>
          <w:color w:val="auto"/>
        </w:rPr>
        <w:t>Inventory</w:t>
      </w:r>
      <w:r>
        <w:rPr>
          <w:rFonts w:ascii="Times New Roman" w:cs="Times New Roman" w:eastAsia="Times New Roman" w:hAnsi="Times New Roman"/>
          <w:sz w:val="22"/>
          <w:szCs w:val="22"/>
          <w:b w:val="1"/>
          <w:bCs w:val="1"/>
          <w:color w:val="auto"/>
        </w:rPr>
        <w:t>. To the extent Inventory held for sale or lease has been produced by any Credit Party, it has been and will be produced by such Credit Party in accordance with the Federal Fair Labor Standards Act of 1938, as amended, and all rules, regulations and orders thereunder.</w:t>
      </w:r>
    </w:p>
    <w:p>
      <w:pPr>
        <w:spacing w:after="0" w:line="167" w:lineRule="exact"/>
        <w:rPr>
          <w:sz w:val="20"/>
          <w:szCs w:val="20"/>
          <w:color w:val="auto"/>
        </w:rPr>
      </w:pPr>
    </w:p>
    <w:p>
      <w:pPr>
        <w:jc w:val="both"/>
        <w:ind w:firstLine="1497"/>
        <w:spacing w:after="0" w:line="252" w:lineRule="auto"/>
        <w:rPr>
          <w:sz w:val="20"/>
          <w:szCs w:val="20"/>
          <w:color w:val="auto"/>
        </w:rPr>
      </w:pPr>
      <w:r>
        <w:rPr>
          <w:rFonts w:ascii="Times New Roman" w:cs="Times New Roman" w:eastAsia="Times New Roman" w:hAnsi="Times New Roman"/>
          <w:sz w:val="21"/>
          <w:szCs w:val="21"/>
          <w:b w:val="1"/>
          <w:bCs w:val="1"/>
          <w:u w:val="single" w:color="auto"/>
          <w:color w:val="auto"/>
        </w:rPr>
        <w:t>Maintenance of Equipment</w:t>
      </w:r>
      <w:r>
        <w:rPr>
          <w:rFonts w:ascii="Times New Roman" w:cs="Times New Roman" w:eastAsia="Times New Roman" w:hAnsi="Times New Roman"/>
          <w:sz w:val="21"/>
          <w:szCs w:val="21"/>
          <w:b w:val="1"/>
          <w:bCs w:val="1"/>
          <w:color w:val="auto"/>
        </w:rPr>
        <w:t>. The Equipment shall be maintained in good operating condition and repair (reasonable wear and tear excepted) and all necessary replacements of and repairs thereto shall be made so that the value and operating efficiency of the Equipment shall be maintained and preserved, except where the failure to do so would not have a Material Adverse Effect. No Credit Party shall use or operate the Equipment in violation of any law, statute, ordinance, code, rule or regulation except to the extent such violations would not have a Material Adverse Effect.</w:t>
      </w:r>
    </w:p>
    <w:p>
      <w:pPr>
        <w:spacing w:after="0" w:line="163" w:lineRule="exact"/>
        <w:rPr>
          <w:sz w:val="20"/>
          <w:szCs w:val="20"/>
          <w:color w:val="auto"/>
        </w:rPr>
      </w:pPr>
    </w:p>
    <w:p>
      <w:pPr>
        <w:jc w:val="both"/>
        <w:ind w:firstLine="1497"/>
        <w:spacing w:after="0" w:line="235" w:lineRule="auto"/>
        <w:rPr>
          <w:sz w:val="20"/>
          <w:szCs w:val="20"/>
          <w:color w:val="auto"/>
        </w:rPr>
      </w:pPr>
      <w:r>
        <w:rPr>
          <w:rFonts w:ascii="Times New Roman" w:cs="Times New Roman" w:eastAsia="Times New Roman" w:hAnsi="Times New Roman"/>
          <w:sz w:val="22"/>
          <w:szCs w:val="22"/>
          <w:b w:val="1"/>
          <w:bCs w:val="1"/>
          <w:u w:val="single" w:color="auto"/>
          <w:color w:val="auto"/>
        </w:rPr>
        <w:t>Exculpation of Liability</w:t>
      </w:r>
      <w:r>
        <w:rPr>
          <w:rFonts w:ascii="Times New Roman" w:cs="Times New Roman" w:eastAsia="Times New Roman" w:hAnsi="Times New Roman"/>
          <w:sz w:val="22"/>
          <w:szCs w:val="22"/>
          <w:b w:val="1"/>
          <w:bCs w:val="1"/>
          <w:color w:val="auto"/>
        </w:rPr>
        <w:t>. Nothing herein contained shall be construed to constitute Agent or any Lender as any Credit Party's agent for any purpose whatsoever, nor shall Agent or any Lender be responsible or liable for any shortage, discrepancy, damage, loss or destruction of any part of the Collateral wherever the same may be located and regardless of the cause thereof unless caused maliciously or with gross (not mere) negligence, bad faith or willful misconduct (as determined by a court of competent jurisdiction in a final non-appealable judgment). Neither Agent nor any Lender, whether by anything herein or in any assignment or otherwise, assume any of any Credit Party's obligations under any contract or agreement assigned to Agent or such Lender, and neither Agent nor any Lender shall be responsible in any way for the performance by any Credit Party of any of the terms and conditions thereof.</w:t>
      </w:r>
    </w:p>
    <w:p>
      <w:pPr>
        <w:spacing w:after="0" w:line="17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b w:val="1"/>
          <w:bCs w:val="1"/>
          <w:u w:val="single" w:color="auto"/>
          <w:color w:val="auto"/>
        </w:rPr>
        <w:t>Maritime Representations and Covenants</w:t>
      </w:r>
      <w:r>
        <w:rPr>
          <w:rFonts w:ascii="Times New Roman" w:cs="Times New Roman" w:eastAsia="Times New Roman" w:hAnsi="Times New Roman"/>
          <w:sz w:val="22"/>
          <w:szCs w:val="22"/>
          <w:b w:val="1"/>
          <w:bCs w:val="1"/>
          <w:color w:val="auto"/>
        </w:rPr>
        <w:t>. Each Credit Party:</w:t>
      </w:r>
    </w:p>
    <w:p>
      <w:pPr>
        <w:spacing w:after="0" w:line="210" w:lineRule="exact"/>
        <w:rPr>
          <w:sz w:val="20"/>
          <w:szCs w:val="20"/>
          <w:color w:val="auto"/>
        </w:rPr>
      </w:pPr>
    </w:p>
    <w:p>
      <w:pPr>
        <w:jc w:val="both"/>
        <w:ind w:right="20" w:firstLine="1497"/>
        <w:spacing w:after="0" w:line="258" w:lineRule="auto"/>
        <w:rPr>
          <w:sz w:val="20"/>
          <w:szCs w:val="20"/>
          <w:color w:val="auto"/>
        </w:rPr>
      </w:pPr>
      <w:r>
        <w:rPr>
          <w:rFonts w:ascii="Times New Roman" w:cs="Times New Roman" w:eastAsia="Times New Roman" w:hAnsi="Times New Roman"/>
          <w:sz w:val="22"/>
          <w:szCs w:val="22"/>
          <w:color w:val="auto"/>
        </w:rPr>
        <w:t>represents and warrants that as of the Amendment No. 2 Closing Date all Fleet Assets flagged or located in the United States are listed on Schedule 1.3;</w:t>
      </w:r>
    </w:p>
    <w:p>
      <w:pPr>
        <w:spacing w:after="0" w:line="158" w:lineRule="exact"/>
        <w:rPr>
          <w:sz w:val="20"/>
          <w:szCs w:val="20"/>
          <w:color w:val="auto"/>
        </w:rPr>
      </w:pPr>
    </w:p>
    <w:p>
      <w:pPr>
        <w:jc w:val="both"/>
        <w:ind w:firstLine="1497"/>
        <w:spacing w:after="0" w:line="235" w:lineRule="auto"/>
        <w:rPr>
          <w:sz w:val="20"/>
          <w:szCs w:val="20"/>
          <w:color w:val="auto"/>
        </w:rPr>
      </w:pPr>
      <w:r>
        <w:rPr>
          <w:rFonts w:ascii="Times New Roman" w:cs="Times New Roman" w:eastAsia="Times New Roman" w:hAnsi="Times New Roman"/>
          <w:sz w:val="22"/>
          <w:szCs w:val="22"/>
          <w:color w:val="auto"/>
        </w:rPr>
        <w:t xml:space="preserve">will not transfer or change the flag of (other than reflagging to an Approved Flag Jurisdiction in accordance with the requirements of this Section 4.12), or change the name or vessel number of, any of the Documented Vessels that are U.S. flag vessels (or Documented Vessels that have been reflagged to an Approved Flag Jurisdiction in accordance with the requirements of this Section 4.12) without the prior written consent of Required Lenders;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that any such consent, once obtained shall not be construed to be a waiver of this provision with respect to any subsequent proposed transfer or change of flag, or change in the name or vessel number of such vessel, or any other Documented Vessels that are U.S. flag vessels (or Documented Vessels</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22"/>
          <w:szCs w:val="22"/>
          <w:color w:val="auto"/>
        </w:rPr>
        <w:t>that have been reflagged to an Approved Flag Jurisdiction in accordance with the requirements of this Section 4.12);</w:t>
      </w:r>
    </w:p>
    <w:p>
      <w:pPr>
        <w:spacing w:after="0" w:line="206"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will not permit any Documented Vessel that is an Eligible Fleet Asset to be flagged in any jurisdiction other than the United States or another Approved Flag Jurisdiction;</w:t>
      </w:r>
    </w:p>
    <w:p>
      <w:pPr>
        <w:spacing w:after="0" w:line="158" w:lineRule="exact"/>
        <w:rPr>
          <w:sz w:val="20"/>
          <w:szCs w:val="20"/>
          <w:color w:val="auto"/>
        </w:rPr>
      </w:pPr>
    </w:p>
    <w:p>
      <w:pPr>
        <w:jc w:val="both"/>
        <w:ind w:firstLine="1497"/>
        <w:spacing w:after="0" w:line="236" w:lineRule="auto"/>
        <w:rPr>
          <w:sz w:val="20"/>
          <w:szCs w:val="20"/>
          <w:color w:val="auto"/>
        </w:rPr>
      </w:pPr>
      <w:r>
        <w:rPr>
          <w:rFonts w:ascii="Times New Roman" w:cs="Times New Roman" w:eastAsia="Times New Roman" w:hAnsi="Times New Roman"/>
          <w:sz w:val="22"/>
          <w:szCs w:val="22"/>
          <w:color w:val="auto"/>
        </w:rPr>
        <w:t>will not (i) cause or permit any Documented Vessel to be operated in any manner contrary to law; (ii) engage in any unlawful trade or violate any law or expose any Documented Vessel to penalty or forfeiture, except where any such operation, engagement, violation or exposure could not reasonably be expected to have a Material Adverse Effect; or (iii) do, or suffer or permit to be done, anything which can or may injuriously affect, in any material respect, the registration, documentation or trade endorsement of a Documented Vessel under the laws and regulations of the United States or such other jurisdiction governing the documentation or registration of such Documented Vessel;</w:t>
      </w:r>
    </w:p>
    <w:p>
      <w:pPr>
        <w:spacing w:after="0" w:line="181"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color w:val="auto"/>
        </w:rPr>
        <w:t>shall promptly notify Agent in writing of any arrest or threatened arrest of any Documented Vessel in which any Lien is asserted against such Documented Vessel for loss, damage or expense which is covered by insurance required hereunder, and it is necessary for such Credit Party to obtain a bond or supply other security to prevent arrest of such Documented Vessel or to release the Documented Vessel from arrest on account of such claim or lien, and within thirty (30) days, cause such Documented Vessel to be released by posting security or otherwise;</w:t>
      </w:r>
    </w:p>
    <w:p>
      <w:pPr>
        <w:spacing w:after="0" w:line="177" w:lineRule="exact"/>
        <w:rPr>
          <w:sz w:val="20"/>
          <w:szCs w:val="20"/>
          <w:color w:val="auto"/>
        </w:rPr>
      </w:pPr>
    </w:p>
    <w:p>
      <w:pPr>
        <w:jc w:val="both"/>
        <w:ind w:firstLine="1497"/>
        <w:spacing w:after="0" w:line="255" w:lineRule="auto"/>
        <w:rPr>
          <w:sz w:val="20"/>
          <w:szCs w:val="20"/>
          <w:color w:val="auto"/>
        </w:rPr>
      </w:pPr>
      <w:r>
        <w:rPr>
          <w:rFonts w:ascii="Times New Roman" w:cs="Times New Roman" w:eastAsia="Times New Roman" w:hAnsi="Times New Roman"/>
          <w:sz w:val="21"/>
          <w:szCs w:val="21"/>
          <w:color w:val="auto"/>
        </w:rPr>
        <w:t>will not (i) do or permit or willingly allow to be done any act to cause any insurance required by the terms of this Agreement or any Ship Mortgage to be suspended, impaired or cancelled, and (ii) permit or allow any Documented Vessel to undertake any voyage or run any risk or transport any cargo or passengers which may not be permitted by the policies in force, without having first insured such Documented Vessel by additional coverage for such voyages, risks, passengers or cargos;</w:t>
      </w:r>
    </w:p>
    <w:p>
      <w:pPr>
        <w:spacing w:after="0" w:line="162"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shall promptly notify Agent of the actual or constructive total loss of a Documented Vessel or the agreed or compromised total loss of a Documented Vessel, or the arrest capture, condemnation, confiscation, registration, seizure or forfeiture of a Documented Vessel;</w:t>
      </w:r>
    </w:p>
    <w:p>
      <w:pPr>
        <w:spacing w:after="0" w:line="173"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color w:val="auto"/>
        </w:rPr>
        <w:t>shall cause each Documented Vessel that is a U.S. flag vessel to remain subject to a certificate of documentation or certificate of registry, official name and official number (or, with respect to any Documented Vessel flagged in an Approved Flag Jurisdiction, to remain subject to equivalent local law requirements), and prior to causing any Fleet Asset to be a Documented Vessel, Credit Parties shall provide at least thirty (30) day prior written notice to Agent;</w:t>
      </w:r>
    </w:p>
    <w:p>
      <w:pPr>
        <w:spacing w:after="0" w:line="180"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color w:val="auto"/>
        </w:rPr>
        <w:t>shall not move any Fleet Asset that is an Eligible Fleet Asset outside of the continental United States, unless (i) pursuant to a binding contract for a project, and (ii) having first delivered to Agent a certificate duly executed by a Responsible Officer of the Borrowing Agent that describes the intended geographic location of the Fleet Asset, which shall be an Approved Operating Jurisdiction, and duration of the project;</w:t>
      </w:r>
    </w:p>
    <w:p>
      <w:pPr>
        <w:spacing w:after="0" w:line="180"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shall, at the Credit Parties' sole expense, obtain all Consents from Governmental Bodies, including, without limitation, the U.S. Maritime Administration under 46 U.S.C. §56101, to re-flag any Documented Vessel in an Approved Flag Jurisdiction; and</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62" w:name="page163"/>
    <w:bookmarkEnd w:id="162"/>
    <w:p>
      <w:pPr>
        <w:jc w:val="both"/>
        <w:ind w:firstLine="1497"/>
        <w:spacing w:after="0" w:line="235" w:lineRule="auto"/>
        <w:rPr>
          <w:sz w:val="20"/>
          <w:szCs w:val="20"/>
          <w:color w:val="auto"/>
        </w:rPr>
      </w:pPr>
      <w:r>
        <w:rPr>
          <w:rFonts w:ascii="Times New Roman" w:cs="Times New Roman" w:eastAsia="Times New Roman" w:hAnsi="Times New Roman"/>
          <w:sz w:val="22"/>
          <w:szCs w:val="22"/>
          <w:color w:val="auto"/>
        </w:rPr>
        <w:t>agrees, in connection with any reflagging of any Eligible Fleet Asset to an Approved Flag Jurisdiction, to (i) contemporaneously with such reflagging grant a new first preferred ship mortgage or local-law equivalent thereof in favor of Agent under the laws of the Approved Flag Jurisdiction, in each case in form and substance reasonably satisfactory to Required Lenders, and (ii) provide Agent and Required Lenders with such ancillary security and related documentation, including the filing or recording of any of the foregoing, as reasonably requested by Agent or the Required Lenders in connection with such reflagging and first preferred ship mortgage (or local-law equivalent thereof) including, without limitation, legal opinions which shall cover such matters incident to such reflagging and mortgage as Agent may reasonably require, in each case in form and substance reasonably satisfactory to Required Lenders.</w:t>
      </w:r>
    </w:p>
    <w:p>
      <w:pPr>
        <w:spacing w:after="0" w:line="174" w:lineRule="exact"/>
        <w:rPr>
          <w:sz w:val="20"/>
          <w:szCs w:val="20"/>
          <w:color w:val="auto"/>
        </w:rPr>
      </w:pPr>
    </w:p>
    <w:p>
      <w:pPr>
        <w:jc w:val="both"/>
        <w:ind w:firstLine="1497"/>
        <w:spacing w:after="0" w:line="246" w:lineRule="auto"/>
        <w:rPr>
          <w:sz w:val="20"/>
          <w:szCs w:val="20"/>
          <w:color w:val="auto"/>
        </w:rPr>
      </w:pPr>
      <w:r>
        <w:rPr>
          <w:rFonts w:ascii="Times New Roman" w:cs="Times New Roman" w:eastAsia="Times New Roman" w:hAnsi="Times New Roman"/>
          <w:sz w:val="22"/>
          <w:szCs w:val="22"/>
          <w:b w:val="1"/>
          <w:bCs w:val="1"/>
          <w:u w:val="single" w:color="auto"/>
          <w:color w:val="auto"/>
        </w:rPr>
        <w:t>Release of Liens on Release Eligible Vessels</w:t>
      </w:r>
      <w:r>
        <w:rPr>
          <w:rFonts w:ascii="Times New Roman" w:cs="Times New Roman" w:eastAsia="Times New Roman" w:hAnsi="Times New Roman"/>
          <w:sz w:val="22"/>
          <w:szCs w:val="22"/>
          <w:b w:val="1"/>
          <w:bCs w:val="1"/>
          <w:color w:val="auto"/>
        </w:rPr>
        <w:t>. At the written request of Borrowing Agent, Agent shall release its Lien on any Release Eligible Vessel so long as the Release Conditions are satisfied after giving effect to such release.</w:t>
      </w:r>
    </w:p>
    <w:p>
      <w:pPr>
        <w:spacing w:after="0" w:line="16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b w:val="1"/>
          <w:bCs w:val="1"/>
          <w:color w:val="auto"/>
        </w:rPr>
        <w:t>REPRESENTATIONS AND WARRANTIES.</w:t>
      </w:r>
    </w:p>
    <w:p>
      <w:pPr>
        <w:spacing w:after="0" w:line="21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Each Credit Party represents and warrants, as to itself and each of its Subsidiaries (other than with respect to any</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Strategic Joint Venture), as follows:</w:t>
      </w:r>
    </w:p>
    <w:p>
      <w:pPr>
        <w:spacing w:after="0" w:line="201" w:lineRule="exact"/>
        <w:rPr>
          <w:sz w:val="20"/>
          <w:szCs w:val="20"/>
          <w:color w:val="auto"/>
        </w:rPr>
      </w:pPr>
    </w:p>
    <w:p>
      <w:pPr>
        <w:jc w:val="both"/>
        <w:ind w:firstLine="1497"/>
        <w:spacing w:after="0" w:line="232" w:lineRule="auto"/>
        <w:rPr>
          <w:sz w:val="20"/>
          <w:szCs w:val="20"/>
          <w:color w:val="auto"/>
        </w:rPr>
      </w:pPr>
      <w:r>
        <w:rPr>
          <w:rFonts w:ascii="Times New Roman" w:cs="Times New Roman" w:eastAsia="Times New Roman" w:hAnsi="Times New Roman"/>
          <w:sz w:val="22"/>
          <w:szCs w:val="22"/>
          <w:b w:val="1"/>
          <w:bCs w:val="1"/>
          <w:u w:val="single" w:color="auto"/>
          <w:color w:val="auto"/>
        </w:rPr>
        <w:t>Authority</w:t>
      </w:r>
      <w:r>
        <w:rPr>
          <w:rFonts w:ascii="Times New Roman" w:cs="Times New Roman" w:eastAsia="Times New Roman" w:hAnsi="Times New Roman"/>
          <w:sz w:val="22"/>
          <w:szCs w:val="22"/>
          <w:b w:val="1"/>
          <w:bCs w:val="1"/>
          <w:color w:val="auto"/>
        </w:rPr>
        <w:t>. Each Credit Party has full power, authority and legal right to enter into this Agreement and the Other Documents to which it is a party and to perform all its respective Obligations hereunder and thereunder. This Agreement and the Other Documents to which it is a party have been duly executed and delivered by each Credit Party, and this Agreement and the Other Documents to which it is a party constitute the legal, valid and binding obligation of such Credit Party enforceable in accordance with their terms, except as such enforceability may be limited by any applicable bankruptcy, insolvency, moratorium or similar laws affecting creditors' rights generally. The execution, delivery and performance of this Agreement and of the Other Documents to which it is a party (a) are within such Credit Party's corporate or company powers, as applicable, have been duly authorized by all necessary corporate or company action, as applicable, are not in contravention of law or the terms of such Credit Party's Organizational Documents or to the conduct of such Credit Party's business or of any Material Contract or undertaking to which such Credit Party is a party or by which such Credit Party is bound, (b) will not conflict with or violate any law or regulation, or any judgment, order or decree of any Governmental Body, (c) will not require the Consent of any Governmental Body, any party to a Material Contract or any other Person, except (i) those Consents set forth on Schedule 5.1 hereto, all of which will have been duly obtained, made or compiled prior to the Closing Date and which are in full force and effect, and (ii) where the failure to obtain such Consents would not reasonably be expected to result in a Material Adverse Effect, and (d) will not conflict with, nor result in any breach in any of the provisions of or constitute a default under or result in the creation of any Lien except Permitted Encumbrances upon any asset of such Credit Party under the provisions of any agreement, instrument, or other document to which such Credit Party is a party or by which it or its property is a party or by which it may be bound.</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63" w:name="page164"/>
    <w:bookmarkEnd w:id="163"/>
    <w:p>
      <w:pPr>
        <w:ind w:left="1500"/>
        <w:spacing w:after="0"/>
        <w:rPr>
          <w:sz w:val="20"/>
          <w:szCs w:val="20"/>
          <w:color w:val="auto"/>
        </w:rPr>
      </w:pPr>
      <w:r>
        <w:rPr>
          <w:rFonts w:ascii="Times New Roman" w:cs="Times New Roman" w:eastAsia="Times New Roman" w:hAnsi="Times New Roman"/>
          <w:sz w:val="22"/>
          <w:szCs w:val="22"/>
          <w:b w:val="1"/>
          <w:bCs w:val="1"/>
          <w:u w:val="single" w:color="auto"/>
          <w:color w:val="auto"/>
        </w:rPr>
        <w:t>Formation and Qualification</w:t>
      </w:r>
      <w:r>
        <w:rPr>
          <w:rFonts w:ascii="Times New Roman" w:cs="Times New Roman" w:eastAsia="Times New Roman" w:hAnsi="Times New Roman"/>
          <w:sz w:val="22"/>
          <w:szCs w:val="22"/>
          <w:b w:val="1"/>
          <w:bCs w:val="1"/>
          <w:color w:val="auto"/>
        </w:rPr>
        <w:t>.</w:t>
      </w:r>
    </w:p>
    <w:p>
      <w:pPr>
        <w:spacing w:after="0" w:line="210" w:lineRule="exact"/>
        <w:rPr>
          <w:sz w:val="20"/>
          <w:szCs w:val="20"/>
          <w:color w:val="auto"/>
        </w:rPr>
      </w:pPr>
    </w:p>
    <w:p>
      <w:pPr>
        <w:jc w:val="both"/>
        <w:ind w:firstLine="1497"/>
        <w:spacing w:after="0" w:line="236" w:lineRule="auto"/>
        <w:rPr>
          <w:sz w:val="20"/>
          <w:szCs w:val="20"/>
          <w:color w:val="auto"/>
        </w:rPr>
      </w:pPr>
      <w:r>
        <w:rPr>
          <w:rFonts w:ascii="Times New Roman" w:cs="Times New Roman" w:eastAsia="Times New Roman" w:hAnsi="Times New Roman"/>
          <w:sz w:val="22"/>
          <w:szCs w:val="22"/>
          <w:color w:val="auto"/>
        </w:rPr>
        <w:t>Each Credit Party is duly incorporated or formed, as applicable, and in good standing under the laws of the state listed on Schedule 5.2(a) and is qualified to do business and is in good standing in the states listed on Schedule 5.2(a) which constitute all states in which qualification and good standing are necessary for such Credit Party to conduct its business and own its property and where the failure to so qualify could reasonably be expected to have a Material Adverse Effect. Each Credit Party has delivered to Agent true and complete copies of its Organizational Documents as of the Closing Date and will promptly notify Agent of any amendment or changes thereto.</w:t>
      </w:r>
    </w:p>
    <w:p>
      <w:pPr>
        <w:spacing w:after="0" w:line="181"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The only Subsidiaries of GLDD and each other Credit Party as of the Amendment No. 2 Closing Date are listed on Schedule 5.2(b).</w:t>
      </w:r>
    </w:p>
    <w:p>
      <w:pPr>
        <w:spacing w:after="0" w:line="154" w:lineRule="exact"/>
        <w:rPr>
          <w:sz w:val="20"/>
          <w:szCs w:val="20"/>
          <w:color w:val="auto"/>
        </w:rPr>
      </w:pPr>
    </w:p>
    <w:p>
      <w:pPr>
        <w:jc w:val="both"/>
        <w:ind w:firstLine="1497"/>
        <w:spacing w:after="0" w:line="234" w:lineRule="auto"/>
        <w:rPr>
          <w:sz w:val="20"/>
          <w:szCs w:val="20"/>
          <w:color w:val="auto"/>
        </w:rPr>
      </w:pPr>
      <w:r>
        <w:rPr>
          <w:rFonts w:ascii="Times New Roman" w:cs="Times New Roman" w:eastAsia="Times New Roman" w:hAnsi="Times New Roman"/>
          <w:sz w:val="22"/>
          <w:szCs w:val="22"/>
          <w:b w:val="1"/>
          <w:bCs w:val="1"/>
          <w:u w:val="single" w:color="auto"/>
          <w:color w:val="auto"/>
        </w:rPr>
        <w:t>Survival of Representations and Warranties</w:t>
      </w:r>
      <w:r>
        <w:rPr>
          <w:rFonts w:ascii="Times New Roman" w:cs="Times New Roman" w:eastAsia="Times New Roman" w:hAnsi="Times New Roman"/>
          <w:sz w:val="22"/>
          <w:szCs w:val="22"/>
          <w:b w:val="1"/>
          <w:bCs w:val="1"/>
          <w:color w:val="auto"/>
        </w:rPr>
        <w:t>. All representations and warranties of such Credit Party contained in this Agreement and the Other Documents to which it is a party shall be true and correct in all material respects (except that such materiality qualifier shall not be applicable to any representations and warranties that already are qualified or modified by materiality in the text thereof) at the time of such Credit Party's execution of this Agreement and the Other Documents to which it is a party and true and correct in all in all material respects (except that such materiality qualifier shall not be applicable to any representations and warranties that already are qualified or modified by materiality in the text thereof) as of the time of any request for an Advance (except to the extent such representations and warranties expressly relate to an earlier date, in which case they shall be true and correct in all material respects (except that such materiality qualifier shall not be applicable to any representations and warranties that already are qualified or modified by materiality in the text thereof) as of such earlier date).</w:t>
      </w:r>
    </w:p>
    <w:p>
      <w:pPr>
        <w:spacing w:after="0" w:line="179" w:lineRule="exact"/>
        <w:rPr>
          <w:sz w:val="20"/>
          <w:szCs w:val="20"/>
          <w:color w:val="auto"/>
        </w:rPr>
      </w:pPr>
    </w:p>
    <w:p>
      <w:pPr>
        <w:jc w:val="both"/>
        <w:ind w:firstLine="1497"/>
        <w:spacing w:after="0" w:line="237" w:lineRule="auto"/>
        <w:rPr>
          <w:sz w:val="20"/>
          <w:szCs w:val="20"/>
          <w:color w:val="auto"/>
        </w:rPr>
      </w:pPr>
      <w:r>
        <w:rPr>
          <w:rFonts w:ascii="Times New Roman" w:cs="Times New Roman" w:eastAsia="Times New Roman" w:hAnsi="Times New Roman"/>
          <w:sz w:val="22"/>
          <w:szCs w:val="22"/>
          <w:b w:val="1"/>
          <w:bCs w:val="1"/>
          <w:u w:val="single" w:color="auto"/>
          <w:color w:val="auto"/>
        </w:rPr>
        <w:t>Tax Returns</w:t>
      </w:r>
      <w:r>
        <w:rPr>
          <w:rFonts w:ascii="Times New Roman" w:cs="Times New Roman" w:eastAsia="Times New Roman" w:hAnsi="Times New Roman"/>
          <w:sz w:val="22"/>
          <w:szCs w:val="22"/>
          <w:b w:val="1"/>
          <w:bCs w:val="1"/>
          <w:color w:val="auto"/>
        </w:rPr>
        <w:t>. Each Credit Party's federal tax identification number is set forth on Schedule 5.4. Each Credit Party has filed all federal, state and local tax returns and other reports each is required by law to file and has paid all taxes, assessments, fees and other governmental charges that are due and payable, except to the extent that they are being Properly Contested. The provision for taxes on the books of each Credit Party is adequate for all years not closed by applicable statute, and for its current fiscal year, and no Credit Party has any knowledge of any deficiency or additional assessment in connection therewith not provided for on its books.</w:t>
      </w:r>
    </w:p>
    <w:p>
      <w:pPr>
        <w:spacing w:after="0" w:line="17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b w:val="1"/>
          <w:bCs w:val="1"/>
          <w:u w:val="single" w:color="auto"/>
          <w:color w:val="auto"/>
        </w:rPr>
        <w:t>Financial Statements; No Material Adverse Effect</w:t>
      </w:r>
      <w:r>
        <w:rPr>
          <w:rFonts w:ascii="Times New Roman" w:cs="Times New Roman" w:eastAsia="Times New Roman" w:hAnsi="Times New Roman"/>
          <w:sz w:val="22"/>
          <w:szCs w:val="22"/>
          <w:b w:val="1"/>
          <w:bCs w:val="1"/>
          <w:color w:val="auto"/>
        </w:rPr>
        <w:t>.</w:t>
      </w:r>
    </w:p>
    <w:p>
      <w:pPr>
        <w:spacing w:after="0" w:line="210" w:lineRule="exact"/>
        <w:rPr>
          <w:sz w:val="20"/>
          <w:szCs w:val="20"/>
          <w:color w:val="auto"/>
        </w:rPr>
      </w:pPr>
    </w:p>
    <w:p>
      <w:pPr>
        <w:ind w:left="760" w:hanging="752"/>
        <w:spacing w:after="0" w:line="235" w:lineRule="auto"/>
        <w:tabs>
          <w:tab w:leader="none" w:pos="443"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 forma balance sheet of GLDD on a Consolidated Basis (the "</w:t>
      </w:r>
      <w:r>
        <w:rPr>
          <w:rFonts w:ascii="Times New Roman" w:cs="Times New Roman" w:eastAsia="Times New Roman" w:hAnsi="Times New Roman"/>
          <w:sz w:val="22"/>
          <w:szCs w:val="22"/>
          <w:u w:val="single" w:color="auto"/>
          <w:color w:val="auto"/>
        </w:rPr>
        <w:t>Pro Forma Balance Sheet</w:t>
      </w:r>
      <w:r>
        <w:rPr>
          <w:rFonts w:ascii="Times New Roman" w:cs="Times New Roman" w:eastAsia="Times New Roman" w:hAnsi="Times New Roman"/>
          <w:sz w:val="22"/>
          <w:szCs w:val="22"/>
          <w:color w:val="auto"/>
        </w:rPr>
        <w:t>") furnished to Agent on the Closing Date reflects the consummation of the transactions contemplated under this Agreement (collectively, the "</w:t>
      </w:r>
      <w:r>
        <w:rPr>
          <w:rFonts w:ascii="Times New Roman" w:cs="Times New Roman" w:eastAsia="Times New Roman" w:hAnsi="Times New Roman"/>
          <w:sz w:val="22"/>
          <w:szCs w:val="22"/>
          <w:u w:val="single" w:color="auto"/>
          <w:color w:val="auto"/>
        </w:rPr>
        <w:t>Transactions</w:t>
      </w:r>
      <w:r>
        <w:rPr>
          <w:rFonts w:ascii="Times New Roman" w:cs="Times New Roman" w:eastAsia="Times New Roman" w:hAnsi="Times New Roman"/>
          <w:sz w:val="22"/>
          <w:szCs w:val="22"/>
          <w:color w:val="auto"/>
        </w:rPr>
        <w:t>") and is accurate, complete and correct and fairly reflects the financial condition of GLDD on a Consolidated Basis as of the Closing Date after giving effect to the Transactions, and has been prepared in accordance with GAAP, consistently applied. The Pro Forma Balance Sheet has been certified as accurate, complete and correct in all material respects by a Responsible Officer of Borrowing Agent. All financial statements referred to in this subsection 5.5(a), including the related schedules and notes thereto, have been prepared in accordance with GAAP, except as may be disclosed in such financial statements.</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64" w:name="page165"/>
    <w:bookmarkEnd w:id="164"/>
    <w:p>
      <w:pPr>
        <w:ind w:left="760" w:hanging="752"/>
        <w:spacing w:after="0" w:line="234" w:lineRule="auto"/>
        <w:tabs>
          <w:tab w:leader="none" w:pos="443"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twelve (12) month cash flow and balance sheet projections of GLDD on a Consolidated Basis, copies of which are annexed hereto as Exhibit 5.5(b) (the "</w:t>
      </w:r>
      <w:r>
        <w:rPr>
          <w:rFonts w:ascii="Times New Roman" w:cs="Times New Roman" w:eastAsia="Times New Roman" w:hAnsi="Times New Roman"/>
          <w:sz w:val="22"/>
          <w:szCs w:val="22"/>
          <w:u w:val="single" w:color="auto"/>
          <w:color w:val="auto"/>
        </w:rPr>
        <w:t>Projections</w:t>
      </w:r>
      <w:r>
        <w:rPr>
          <w:rFonts w:ascii="Times New Roman" w:cs="Times New Roman" w:eastAsia="Times New Roman" w:hAnsi="Times New Roman"/>
          <w:sz w:val="22"/>
          <w:szCs w:val="22"/>
          <w:color w:val="auto"/>
        </w:rPr>
        <w:t>") were approved by a Responsible Officer of GLDD, are based on underlying assumptions which provide a reasonable basis for the projections contained therein and reflect Borrowers' judgment based on present circumstances of the most likely set of conditions and course of action for the projected period (it being recognized by Agent and the Lenders that such projected financial information is not to be viewed as fact and is subject to significant uncertainties and contingencies many of which are beyond the Borrowers' control, that no assurance can be given that any particular financial projections will be realized, and that actual results may vary materially from such projected financial information). The cash flow Projections together with the Pro Forma Balance Sheet are referred to as the "</w:t>
      </w:r>
      <w:r>
        <w:rPr>
          <w:rFonts w:ascii="Times New Roman" w:cs="Times New Roman" w:eastAsia="Times New Roman" w:hAnsi="Times New Roman"/>
          <w:sz w:val="22"/>
          <w:szCs w:val="22"/>
          <w:u w:val="single" w:color="auto"/>
          <w:color w:val="auto"/>
        </w:rPr>
        <w:t>Pro Forma Financial Statements</w:t>
      </w:r>
      <w:r>
        <w:rPr>
          <w:rFonts w:ascii="Times New Roman" w:cs="Times New Roman" w:eastAsia="Times New Roman" w:hAnsi="Times New Roman"/>
          <w:sz w:val="22"/>
          <w:szCs w:val="22"/>
          <w:color w:val="auto"/>
        </w:rPr>
        <w:t>".</w:t>
      </w:r>
    </w:p>
    <w:p>
      <w:pPr>
        <w:spacing w:after="0" w:line="183" w:lineRule="exact"/>
        <w:rPr>
          <w:rFonts w:ascii="Times New Roman" w:cs="Times New Roman" w:eastAsia="Times New Roman" w:hAnsi="Times New Roman"/>
          <w:sz w:val="22"/>
          <w:szCs w:val="22"/>
          <w:color w:val="auto"/>
        </w:rPr>
      </w:pPr>
    </w:p>
    <w:p>
      <w:pPr>
        <w:ind w:left="760" w:hanging="752"/>
        <w:spacing w:after="0" w:line="236" w:lineRule="auto"/>
        <w:tabs>
          <w:tab w:leader="none" w:pos="443"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consolidated balance sheets of GLDD and its Subsidiaries, and such other Persons described therein, as of April 30, 2022, and the related statements of income, changes in stockholder's equity, and changes in cash flow for the period ended on such date, all accompanied by reports thereon containing opinions without qualification by independent certified public accountants, copies of which have been delivered to Agent, have been prepared in accordance with GAAP, consistently applied (except for changes in application to which such accountants concur) and present fairly the financial position of GLDD and its Subsidiaries at such date and the results of their operations for such period.</w:t>
      </w:r>
    </w:p>
    <w:p>
      <w:pPr>
        <w:spacing w:after="0" w:line="181" w:lineRule="exact"/>
        <w:rPr>
          <w:rFonts w:ascii="Times New Roman" w:cs="Times New Roman" w:eastAsia="Times New Roman" w:hAnsi="Times New Roman"/>
          <w:sz w:val="22"/>
          <w:szCs w:val="22"/>
          <w:color w:val="auto"/>
        </w:rPr>
      </w:pPr>
    </w:p>
    <w:p>
      <w:pPr>
        <w:ind w:left="760" w:right="40" w:hanging="752"/>
        <w:spacing w:after="0" w:line="258" w:lineRule="auto"/>
        <w:tabs>
          <w:tab w:leader="none" w:pos="443"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Since December 31, 2023, there has not occurred any event, condition or state of facts which has resulted in, or could reasonably be expected to result in, a Material Adverse Effect.</w:t>
      </w:r>
    </w:p>
    <w:p>
      <w:pPr>
        <w:spacing w:after="0" w:line="154"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b w:val="1"/>
          <w:bCs w:val="1"/>
          <w:u w:val="single" w:color="auto"/>
          <w:color w:val="auto"/>
        </w:rPr>
        <w:t>Entity Names</w:t>
      </w:r>
      <w:r>
        <w:rPr>
          <w:rFonts w:ascii="Times New Roman" w:cs="Times New Roman" w:eastAsia="Times New Roman" w:hAnsi="Times New Roman"/>
          <w:sz w:val="22"/>
          <w:szCs w:val="22"/>
          <w:b w:val="1"/>
          <w:bCs w:val="1"/>
          <w:color w:val="auto"/>
        </w:rPr>
        <w:t>. Except as set forth on Schedule 5.6, no Credit Party has been known by any other company or corporate name, as applicable, in the past five (5) years and has not provided services or sold Inventory under any other name, nor has any Credit Party been the surviving corporation or company, as applicable, of a merger or consolidation or acquired all or substantially all of the assets of any Person or a business of a Person during the preceding five (5) years.</w:t>
      </w:r>
    </w:p>
    <w:p>
      <w:pPr>
        <w:spacing w:after="0" w:line="17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b w:val="1"/>
          <w:bCs w:val="1"/>
          <w:u w:val="single" w:color="auto"/>
          <w:color w:val="auto"/>
        </w:rPr>
        <w:t>Environmental Compliance</w:t>
      </w:r>
      <w:r>
        <w:rPr>
          <w:rFonts w:ascii="Times New Roman" w:cs="Times New Roman" w:eastAsia="Times New Roman" w:hAnsi="Times New Roman"/>
          <w:sz w:val="22"/>
          <w:szCs w:val="22"/>
          <w:b w:val="1"/>
          <w:bCs w:val="1"/>
          <w:color w:val="auto"/>
        </w:rPr>
        <w:t>.</w:t>
      </w:r>
    </w:p>
    <w:p>
      <w:pPr>
        <w:spacing w:after="0" w:line="210"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color w:val="auto"/>
        </w:rPr>
        <w:t>The properties owned, leased or operated by each Credit Party and each Subsidiary thereof do not contain, and to their knowledge have not previously contained, any Hazardous Materials in quantities or conditions that could reasonably be expected to give rise to liability on the part of any Credit Party or any Subsidiary thereof or which constitute or constituted a violation of applicable Environmental Laws, except for such liability or violation that could not reasonably be expected to have, individually or in the aggregate, a Material Adverse Effect.</w:t>
      </w:r>
    </w:p>
    <w:p>
      <w:pPr>
        <w:spacing w:after="0" w:line="177"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All operations conducted by each Credit Party and each Subsidiary thereof are in compliance, and have been in compliance, with all applicable Environmental Laws, except for any noncompliance which could not reasonably be expected, individually or in the aggregate, to have a Material Adverse Effect.</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65" w:name="page166"/>
    <w:bookmarkEnd w:id="165"/>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No Credit Party nor any Subsidiary thereof has received any written notice of any Environmental Claim, nor does any Credit Party or any Subsidiary thereof have knowledge that any such notice will be received or is being threatened which, in either case, could reasonably be expected, individually or in the aggregate, to have a Material Adverse Effect.</w:t>
      </w:r>
    </w:p>
    <w:p>
      <w:pPr>
        <w:spacing w:after="0" w:line="173" w:lineRule="exact"/>
        <w:rPr>
          <w:sz w:val="20"/>
          <w:szCs w:val="20"/>
          <w:color w:val="auto"/>
        </w:rPr>
      </w:pPr>
    </w:p>
    <w:p>
      <w:pPr>
        <w:jc w:val="both"/>
        <w:ind w:firstLine="1497"/>
        <w:spacing w:after="0" w:line="236" w:lineRule="auto"/>
        <w:rPr>
          <w:sz w:val="20"/>
          <w:szCs w:val="20"/>
          <w:color w:val="auto"/>
        </w:rPr>
      </w:pPr>
      <w:r>
        <w:rPr>
          <w:rFonts w:ascii="Times New Roman" w:cs="Times New Roman" w:eastAsia="Times New Roman" w:hAnsi="Times New Roman"/>
          <w:sz w:val="22"/>
          <w:szCs w:val="22"/>
          <w:color w:val="auto"/>
        </w:rPr>
        <w:t>Hazardous Materials have not been transported off-site or disposed of at, on or from the properties owned, leased or operated by any Credit Party or any Subsidiary thereof in violation of, or which could give rise to liability under, Environmental Laws, nor have any Hazardous Materials been generated, treated, stored or disposed of at, on or under any of such properties in violation of, or in a manner that could give rise to liability under, any applicable Environmental Laws, except, in each case, for any liability or violation which could not reasonably be expected, individually or in the aggregate, to have a Material Adverse Effect.</w:t>
      </w:r>
    </w:p>
    <w:p>
      <w:pPr>
        <w:spacing w:after="0" w:line="181" w:lineRule="exact"/>
        <w:rPr>
          <w:sz w:val="20"/>
          <w:szCs w:val="20"/>
          <w:color w:val="auto"/>
        </w:rPr>
      </w:pPr>
    </w:p>
    <w:p>
      <w:pPr>
        <w:jc w:val="both"/>
        <w:ind w:firstLine="1497"/>
        <w:spacing w:after="0" w:line="236" w:lineRule="auto"/>
        <w:rPr>
          <w:sz w:val="20"/>
          <w:szCs w:val="20"/>
          <w:color w:val="auto"/>
        </w:rPr>
      </w:pPr>
      <w:r>
        <w:rPr>
          <w:rFonts w:ascii="Times New Roman" w:cs="Times New Roman" w:eastAsia="Times New Roman" w:hAnsi="Times New Roman"/>
          <w:sz w:val="22"/>
          <w:szCs w:val="22"/>
          <w:color w:val="auto"/>
        </w:rPr>
        <w:t>No Environmental Claim is pending, or, to the knowledge of any Credit Party or any Subsidiary thereof, threatened, under any Environmental Law to which any Credit Party or any Subsidiary thereof is or will be named as a potentially responsible party, nor are there any consent decrees or other decrees, consent orders, administrative orders or other orders, or other administrative or judicial requirements outstanding under any Environmental Law with respect to any Credit Party or any Subsidiary thereof that, in any such case, could reasonably be expected, individually or in the aggregate, to have a Material Adverse Effect.</w:t>
      </w:r>
    </w:p>
    <w:p>
      <w:pPr>
        <w:spacing w:after="0" w:line="17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b w:val="1"/>
          <w:bCs w:val="1"/>
          <w:u w:val="single" w:color="auto"/>
          <w:color w:val="auto"/>
        </w:rPr>
        <w:t>Solvency; No Litigation, Violation, Indebtedness or Default; ERISA Compliance</w:t>
      </w:r>
      <w:r>
        <w:rPr>
          <w:rFonts w:ascii="Times New Roman" w:cs="Times New Roman" w:eastAsia="Times New Roman" w:hAnsi="Times New Roman"/>
          <w:sz w:val="22"/>
          <w:szCs w:val="22"/>
          <w:b w:val="1"/>
          <w:bCs w:val="1"/>
          <w:color w:val="auto"/>
        </w:rPr>
        <w:t>.</w:t>
      </w:r>
    </w:p>
    <w:p>
      <w:pPr>
        <w:spacing w:after="0" w:line="210" w:lineRule="exact"/>
        <w:rPr>
          <w:sz w:val="20"/>
          <w:szCs w:val="20"/>
          <w:color w:val="auto"/>
        </w:rPr>
      </w:pPr>
    </w:p>
    <w:p>
      <w:pPr>
        <w:jc w:val="both"/>
        <w:ind w:firstLine="1505"/>
        <w:spacing w:after="0" w:line="238" w:lineRule="auto"/>
        <w:tabs>
          <w:tab w:leader="none" w:pos="1763"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After giving effect to the Transactions, each Credit Party is solvent, able to pay its debts as they mature, has capital sufficient to carry on its business and all businesses in which it is about to engage, (ii) as of the Closing Date, the fair present saleable value of its assets, calculated on a going concern basis, is in excess of the amount of its liabilities (actual, contingent or otherwise), and (iii) subsequent to the Closing Date, the fair saleable value of its assets (calculated on a going concern basis) will be in excess of the amount of its liabilities.</w:t>
      </w:r>
    </w:p>
    <w:p>
      <w:pPr>
        <w:spacing w:after="0" w:line="177"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color w:val="auto"/>
        </w:rPr>
        <w:t>Except as disclosed in Schedule 5.8(b), no Credit Party or any Subsidiary of a Credit Party has any pending or threatened litigation, arbitration, actions or proceedings that are not covered by third-party insurance as to which the insurer does not deny coverage and are in excess of $2,500,000. No Credit Party or any Subsidiary of a Credit Party has any outstanding Indebtedness other than Permitted Indebtedness.</w:t>
      </w:r>
    </w:p>
    <w:p>
      <w:pPr>
        <w:spacing w:after="0" w:line="180"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As of the Amendment No. 2 Closing Date, no Credit Party nor any ERISA Affiliate maintains or contributes to, or has any obligation under, pension or Multiemployer Plans other than those identified on Schedule 5.8(c).</w:t>
      </w:r>
    </w:p>
    <w:p>
      <w:pPr>
        <w:spacing w:after="0" w:line="158" w:lineRule="exact"/>
        <w:rPr>
          <w:sz w:val="20"/>
          <w:szCs w:val="20"/>
          <w:color w:val="auto"/>
        </w:rPr>
      </w:pPr>
    </w:p>
    <w:p>
      <w:pPr>
        <w:jc w:val="both"/>
        <w:ind w:firstLine="1497"/>
        <w:spacing w:after="0" w:line="236" w:lineRule="auto"/>
        <w:rPr>
          <w:sz w:val="20"/>
          <w:szCs w:val="20"/>
          <w:color w:val="auto"/>
        </w:rPr>
      </w:pPr>
      <w:r>
        <w:rPr>
          <w:rFonts w:ascii="Times New Roman" w:cs="Times New Roman" w:eastAsia="Times New Roman" w:hAnsi="Times New Roman"/>
          <w:sz w:val="22"/>
          <w:szCs w:val="22"/>
          <w:color w:val="auto"/>
        </w:rPr>
        <w:t>Each Credit Party and each ERISA Affiliate is in compliance with all applicable provisions of ERISA, the Code and the regulations and published interpretations thereunder with respect to all Employee Benefit Plans except for any required amendments for which the remedial amendment period as defined in Section 401(b) of the Code has not yet expired and except where a failure to so comply could not reasonably be expected to have a Material Adverse Effect. Each Employee Benefit Plan that is intended to be qualified under Section 401(a) of the Code has been determined by the IRS to be so qualified, and each trust related to such plan has been determined</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66" w:name="page167"/>
    <w:bookmarkEnd w:id="166"/>
    <w:p>
      <w:pPr>
        <w:jc w:val="both"/>
        <w:spacing w:after="0" w:line="238" w:lineRule="auto"/>
        <w:rPr>
          <w:sz w:val="20"/>
          <w:szCs w:val="20"/>
          <w:color w:val="auto"/>
        </w:rPr>
      </w:pPr>
      <w:r>
        <w:rPr>
          <w:rFonts w:ascii="Times New Roman" w:cs="Times New Roman" w:eastAsia="Times New Roman" w:hAnsi="Times New Roman"/>
          <w:sz w:val="22"/>
          <w:szCs w:val="22"/>
          <w:color w:val="auto"/>
        </w:rPr>
        <w:t>to be exempt under Section 501(a) of the Code except for such plans that have not yet received determination letters but for which the remedial amendment period for submitting a determination letter has not yet expired. No liability has been incurred by any Credit Party or any ERISA Affiliate which remains unsatisfied for any taxes or penalties assessed with respect to any Employee Benefit Plan or any Multiemployer Plan except for a liability that could not reasonably be expected to have a Material Adverse Effect.</w:t>
      </w:r>
    </w:p>
    <w:p>
      <w:pPr>
        <w:spacing w:after="0" w:line="177"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color w:val="auto"/>
        </w:rPr>
        <w:t>As of the Closing Date, no funding waiver from the IRS been received or requested with respect to any Pension Plan, nor has any Credit Party or any ERISA Affiliate failed to make any contributions or to pay any amounts due and owing as required by Sections 412 or 430 of the Code, Section 302 of ERISA or the terms of any Pension Plan prior to the due dates of such contributions under Sections 412 or 430 of the Code or Section 302 of ERISA, nor has there been any event requiring any disclosure under Section 4041(c)(3)(C) or 4063(a) of ERISA with respect to any Pension Plan.</w:t>
      </w:r>
    </w:p>
    <w:p>
      <w:pPr>
        <w:spacing w:after="0" w:line="177" w:lineRule="exact"/>
        <w:rPr>
          <w:sz w:val="20"/>
          <w:szCs w:val="20"/>
          <w:color w:val="auto"/>
        </w:rPr>
      </w:pPr>
    </w:p>
    <w:p>
      <w:pPr>
        <w:jc w:val="both"/>
        <w:ind w:firstLine="1497"/>
        <w:spacing w:after="0" w:line="236" w:lineRule="auto"/>
        <w:rPr>
          <w:sz w:val="20"/>
          <w:szCs w:val="20"/>
          <w:color w:val="auto"/>
        </w:rPr>
      </w:pPr>
      <w:r>
        <w:rPr>
          <w:rFonts w:ascii="Times New Roman" w:cs="Times New Roman" w:eastAsia="Times New Roman" w:hAnsi="Times New Roman"/>
          <w:sz w:val="22"/>
          <w:szCs w:val="22"/>
          <w:color w:val="auto"/>
        </w:rPr>
        <w:t>Except where the failure of any of the following representations to be correct could not reasonably be expected to have a Material Adverse Effect, no Credit Party nor any ERISA Affiliate has: (i) engaged in a nonexempt prohibited transaction described in Section 406 of the ERISA or Section 4975 of the Code, (ii) incurred any liability to the PBGC which remains outstanding other than the payment of premiums and there are no premium payments which are due and unpaid, (iii) failed to make a required contribution or payment to a Multiemployer Plan, or (iv) failed to make a required installment or other required payment under Sections 412 or 430 of the Code.</w:t>
      </w:r>
    </w:p>
    <w:p>
      <w:pPr>
        <w:spacing w:after="0" w:line="18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No Termination Event has occurred or is reasonably expected to occur.</w:t>
      </w:r>
    </w:p>
    <w:p>
      <w:pPr>
        <w:spacing w:after="0" w:line="202" w:lineRule="exact"/>
        <w:rPr>
          <w:sz w:val="20"/>
          <w:szCs w:val="20"/>
          <w:color w:val="auto"/>
        </w:rPr>
      </w:pPr>
    </w:p>
    <w:p>
      <w:pPr>
        <w:jc w:val="both"/>
        <w:ind w:firstLine="1497"/>
        <w:spacing w:after="0" w:line="245" w:lineRule="auto"/>
        <w:rPr>
          <w:sz w:val="20"/>
          <w:szCs w:val="20"/>
          <w:color w:val="auto"/>
        </w:rPr>
      </w:pPr>
      <w:r>
        <w:rPr>
          <w:rFonts w:ascii="Times New Roman" w:cs="Times New Roman" w:eastAsia="Times New Roman" w:hAnsi="Times New Roman"/>
          <w:sz w:val="21"/>
          <w:szCs w:val="21"/>
          <w:b w:val="1"/>
          <w:bCs w:val="1"/>
          <w:u w:val="single" w:color="auto"/>
          <w:color w:val="auto"/>
        </w:rPr>
        <w:t>Patents, Trademarks, Copyrights and Licenses</w:t>
      </w:r>
      <w:r>
        <w:rPr>
          <w:rFonts w:ascii="Times New Roman" w:cs="Times New Roman" w:eastAsia="Times New Roman" w:hAnsi="Times New Roman"/>
          <w:sz w:val="21"/>
          <w:szCs w:val="21"/>
          <w:b w:val="1"/>
          <w:bCs w:val="1"/>
          <w:color w:val="auto"/>
        </w:rPr>
        <w:t>. All Intellectual Property owned or utilized by any Credit Party (other than off-the-shelf Intellectual Property that is generally commercially available which a Credit Party has a license to use): (i) [</w:t>
      </w:r>
      <w:r>
        <w:rPr>
          <w:rFonts w:ascii="Times New Roman" w:cs="Times New Roman" w:eastAsia="Times New Roman" w:hAnsi="Times New Roman"/>
          <w:sz w:val="21"/>
          <w:szCs w:val="21"/>
          <w:b w:val="1"/>
          <w:bCs w:val="1"/>
          <w:i w:val="1"/>
          <w:iCs w:val="1"/>
          <w:color w:val="auto"/>
        </w:rPr>
        <w:t>intentionally omitted</w:t>
      </w:r>
      <w:r>
        <w:rPr>
          <w:rFonts w:ascii="Times New Roman" w:cs="Times New Roman" w:eastAsia="Times New Roman" w:hAnsi="Times New Roman"/>
          <w:sz w:val="21"/>
          <w:szCs w:val="21"/>
          <w:b w:val="1"/>
          <w:bCs w:val="1"/>
          <w:color w:val="auto"/>
        </w:rPr>
        <w:t>]; (ii) if owned by a Credit Party, is valid and has been duly registered or filed with all appropriate Governmental Bodies; and (iii) constitutes all of the intellectual property rights which are reasonably necessary for the operation of its business. There is no objection to, pending challenge to the validity of, or proceeding by any Governmental Body to suspend, revoke, terminate or adversely modify, any such Intellectual Property and no Credit Party is aware of any challenge or proceedings. All Intellectual Property owned or held by any Credit Party consists of original material or property developed by such Credit Party or to the knowledge of such Credit Party was lawfully acquired by such Credit Party from the proper and lawful owner thereof. Each of such items has been maintained in a manner reasonably determined by such Credit Party so as to preserve the value thereof from the date of creation or acquisition thereof unless a Credit Party has determined that an item is no longer necessary for its business.</w:t>
      </w:r>
    </w:p>
    <w:p>
      <w:pPr>
        <w:spacing w:after="0" w:line="177"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b w:val="1"/>
          <w:bCs w:val="1"/>
          <w:u w:val="single" w:color="auto"/>
          <w:color w:val="auto"/>
        </w:rPr>
        <w:t>Licenses and Permits</w:t>
      </w:r>
      <w:r>
        <w:rPr>
          <w:rFonts w:ascii="Times New Roman" w:cs="Times New Roman" w:eastAsia="Times New Roman" w:hAnsi="Times New Roman"/>
          <w:sz w:val="22"/>
          <w:szCs w:val="22"/>
          <w:b w:val="1"/>
          <w:bCs w:val="1"/>
          <w:color w:val="auto"/>
        </w:rPr>
        <w:t>. Except as set forth in Schedule 5.10, each Credit Party (a) is in compliance with and (b) has procured and is now in possession of, all material licenses or permits required by any applicable federal, state or local law, rule or regulation and any international laws or conventions applicable to Documented Vessels either documented or operated outside of the United States for the operation of its business in each jurisdiction wherein it is now conducting or proposes to conduct business and where the failure to be so in compliance</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22"/>
          <w:szCs w:val="22"/>
          <w:b w:val="1"/>
          <w:bCs w:val="1"/>
          <w:color w:val="auto"/>
        </w:rPr>
        <w:t>or to procure such licenses or permits could reasonably be expected to have a Material Adverse Effect.</w:t>
      </w:r>
    </w:p>
    <w:p>
      <w:pPr>
        <w:spacing w:after="0" w:line="206"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b w:val="1"/>
          <w:bCs w:val="1"/>
          <w:u w:val="single" w:color="auto"/>
          <w:color w:val="auto"/>
        </w:rPr>
        <w:t>Default of Indebtedness</w:t>
      </w:r>
      <w:r>
        <w:rPr>
          <w:rFonts w:ascii="Times New Roman" w:cs="Times New Roman" w:eastAsia="Times New Roman" w:hAnsi="Times New Roman"/>
          <w:sz w:val="22"/>
          <w:szCs w:val="22"/>
          <w:b w:val="1"/>
          <w:bCs w:val="1"/>
          <w:color w:val="auto"/>
        </w:rPr>
        <w:t>. No Default or Event of Default exists as a result of (i) a Credit Party being in default in the payment of the principal of or interest on any Indebtedness or under any instrument or agreement under or subject to which any Indebtedness has been issued or (ii) an event that has occurred under the provisions of any such instrument or agreement which with or without the lapse of time or the giving of notice, or both, constitutes or would constitute an event of default thereunder.</w:t>
      </w:r>
    </w:p>
    <w:p>
      <w:pPr>
        <w:spacing w:after="0" w:line="17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b w:val="1"/>
          <w:bCs w:val="1"/>
          <w:u w:val="single" w:color="auto"/>
          <w:color w:val="auto"/>
        </w:rPr>
        <w:t>No Default</w:t>
      </w:r>
      <w:r>
        <w:rPr>
          <w:rFonts w:ascii="Times New Roman" w:cs="Times New Roman" w:eastAsia="Times New Roman" w:hAnsi="Times New Roman"/>
          <w:sz w:val="22"/>
          <w:szCs w:val="22"/>
          <w:b w:val="1"/>
          <w:bCs w:val="1"/>
          <w:color w:val="auto"/>
        </w:rPr>
        <w:t>. No Default or Event of Default has occurred and is continuing.</w:t>
      </w:r>
    </w:p>
    <w:p>
      <w:pPr>
        <w:spacing w:after="0" w:line="206" w:lineRule="exact"/>
        <w:rPr>
          <w:sz w:val="20"/>
          <w:szCs w:val="20"/>
          <w:color w:val="auto"/>
        </w:rPr>
      </w:pPr>
    </w:p>
    <w:p>
      <w:pPr>
        <w:jc w:val="both"/>
        <w:ind w:firstLine="1497"/>
        <w:spacing w:after="0" w:line="237" w:lineRule="auto"/>
        <w:rPr>
          <w:sz w:val="20"/>
          <w:szCs w:val="20"/>
          <w:color w:val="auto"/>
        </w:rPr>
      </w:pPr>
      <w:r>
        <w:rPr>
          <w:rFonts w:ascii="Times New Roman" w:cs="Times New Roman" w:eastAsia="Times New Roman" w:hAnsi="Times New Roman"/>
          <w:sz w:val="22"/>
          <w:szCs w:val="22"/>
          <w:b w:val="1"/>
          <w:bCs w:val="1"/>
          <w:u w:val="single" w:color="auto"/>
          <w:color w:val="auto"/>
        </w:rPr>
        <w:t>No Burdensome Restrictions</w:t>
      </w:r>
      <w:r>
        <w:rPr>
          <w:rFonts w:ascii="Times New Roman" w:cs="Times New Roman" w:eastAsia="Times New Roman" w:hAnsi="Times New Roman"/>
          <w:sz w:val="22"/>
          <w:szCs w:val="22"/>
          <w:b w:val="1"/>
          <w:bCs w:val="1"/>
          <w:color w:val="auto"/>
        </w:rPr>
        <w:t>. No Credit Party is party to any contract or agreement the performance of which could reasonably be expected to have a Material Adverse Effect. Each Credit Party has heretofore delivered to Agent true and complete copies of all Material Contracts to which it is a party or to which it or any of its properties is subject. No Credit Party has agreed or consented to cause or permit in the future (upon the happening of a contingency or otherwise) any of its property, whether now owned or hereafter acquired, to be subject to a Lien which is not a Permitted Encumbrance.</w:t>
      </w:r>
    </w:p>
    <w:p>
      <w:pPr>
        <w:spacing w:after="0" w:line="175" w:lineRule="exact"/>
        <w:rPr>
          <w:sz w:val="20"/>
          <w:szCs w:val="20"/>
          <w:color w:val="auto"/>
        </w:rPr>
      </w:pPr>
    </w:p>
    <w:p>
      <w:pPr>
        <w:jc w:val="both"/>
        <w:ind w:firstLine="1497"/>
        <w:spacing w:after="0" w:line="246" w:lineRule="auto"/>
        <w:rPr>
          <w:sz w:val="20"/>
          <w:szCs w:val="20"/>
          <w:color w:val="auto"/>
        </w:rPr>
      </w:pPr>
      <w:r>
        <w:rPr>
          <w:rFonts w:ascii="Times New Roman" w:cs="Times New Roman" w:eastAsia="Times New Roman" w:hAnsi="Times New Roman"/>
          <w:sz w:val="22"/>
          <w:szCs w:val="22"/>
          <w:b w:val="1"/>
          <w:bCs w:val="1"/>
          <w:u w:val="single" w:color="auto"/>
          <w:color w:val="auto"/>
        </w:rPr>
        <w:t>No Labor Disputes</w:t>
      </w:r>
      <w:r>
        <w:rPr>
          <w:rFonts w:ascii="Times New Roman" w:cs="Times New Roman" w:eastAsia="Times New Roman" w:hAnsi="Times New Roman"/>
          <w:sz w:val="22"/>
          <w:szCs w:val="22"/>
          <w:b w:val="1"/>
          <w:bCs w:val="1"/>
          <w:color w:val="auto"/>
        </w:rPr>
        <w:t>. No Credit Party is involved in any labor dispute; there are no strikes or walkouts or union organization of any Credit Party's employees threatened or in existence and no labor contract is scheduled to expire during the Term other than as set forth on Schedule 5.14 hereto.</w:t>
      </w:r>
    </w:p>
    <w:p>
      <w:pPr>
        <w:spacing w:after="0" w:line="167"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b w:val="1"/>
          <w:bCs w:val="1"/>
          <w:u w:val="single" w:color="auto"/>
          <w:color w:val="auto"/>
        </w:rPr>
        <w:t>Margin Regulations</w:t>
      </w:r>
      <w:r>
        <w:rPr>
          <w:rFonts w:ascii="Times New Roman" w:cs="Times New Roman" w:eastAsia="Times New Roman" w:hAnsi="Times New Roman"/>
          <w:sz w:val="22"/>
          <w:szCs w:val="22"/>
          <w:b w:val="1"/>
          <w:bCs w:val="1"/>
          <w:color w:val="auto"/>
        </w:rPr>
        <w:t>. No Credit Party is engaged, nor will it engage, principally or as one of its important activities, in the business of extending credit for the purpose of "purchasing" or "carrying" any "margin stock" within the respective meanings of each of the quoted terms under Regulation U of the Board of Governors of the Federal Reserve System as now and from time to time hereafter in effect. No part of the proceeds of any Advance will be used for "purchasing" or "carrying" "margin stock" as defined in Regulation U of such Board of Governors.</w:t>
      </w:r>
    </w:p>
    <w:p>
      <w:pPr>
        <w:spacing w:after="0" w:line="177" w:lineRule="exact"/>
        <w:rPr>
          <w:sz w:val="20"/>
          <w:szCs w:val="20"/>
          <w:color w:val="auto"/>
        </w:rPr>
      </w:pPr>
    </w:p>
    <w:p>
      <w:pPr>
        <w:jc w:val="both"/>
        <w:ind w:firstLine="1497"/>
        <w:spacing w:after="0" w:line="262" w:lineRule="auto"/>
        <w:rPr>
          <w:sz w:val="20"/>
          <w:szCs w:val="20"/>
          <w:color w:val="auto"/>
        </w:rPr>
      </w:pPr>
      <w:r>
        <w:rPr>
          <w:rFonts w:ascii="Times New Roman" w:cs="Times New Roman" w:eastAsia="Times New Roman" w:hAnsi="Times New Roman"/>
          <w:sz w:val="22"/>
          <w:szCs w:val="22"/>
          <w:b w:val="1"/>
          <w:bCs w:val="1"/>
          <w:u w:val="single" w:color="auto"/>
          <w:color w:val="auto"/>
        </w:rPr>
        <w:t>Investment Company Act</w:t>
      </w:r>
      <w:r>
        <w:rPr>
          <w:rFonts w:ascii="Times New Roman" w:cs="Times New Roman" w:eastAsia="Times New Roman" w:hAnsi="Times New Roman"/>
          <w:sz w:val="22"/>
          <w:szCs w:val="22"/>
          <w:b w:val="1"/>
          <w:bCs w:val="1"/>
          <w:color w:val="auto"/>
        </w:rPr>
        <w:t>. No Credit Party is an "investment company" registered or required to be registered under the Investment Company Act of 1940, as amended, nor is it controlled by such a company.</w:t>
      </w:r>
    </w:p>
    <w:p>
      <w:pPr>
        <w:spacing w:after="0" w:line="150" w:lineRule="exact"/>
        <w:rPr>
          <w:sz w:val="20"/>
          <w:szCs w:val="20"/>
          <w:color w:val="auto"/>
        </w:rPr>
      </w:pPr>
    </w:p>
    <w:p>
      <w:pPr>
        <w:jc w:val="both"/>
        <w:ind w:firstLine="1497"/>
        <w:spacing w:after="0" w:line="236" w:lineRule="auto"/>
        <w:rPr>
          <w:sz w:val="20"/>
          <w:szCs w:val="20"/>
          <w:color w:val="auto"/>
        </w:rPr>
      </w:pPr>
      <w:r>
        <w:rPr>
          <w:rFonts w:ascii="Times New Roman" w:cs="Times New Roman" w:eastAsia="Times New Roman" w:hAnsi="Times New Roman"/>
          <w:sz w:val="22"/>
          <w:szCs w:val="22"/>
          <w:b w:val="1"/>
          <w:bCs w:val="1"/>
          <w:u w:val="single" w:color="auto"/>
          <w:color w:val="auto"/>
        </w:rPr>
        <w:t>Disclosure</w:t>
      </w:r>
      <w:r>
        <w:rPr>
          <w:rFonts w:ascii="Times New Roman" w:cs="Times New Roman" w:eastAsia="Times New Roman" w:hAnsi="Times New Roman"/>
          <w:sz w:val="22"/>
          <w:szCs w:val="22"/>
          <w:b w:val="1"/>
          <w:bCs w:val="1"/>
          <w:color w:val="auto"/>
        </w:rPr>
        <w:t>. No representation or warranty made by any Credit Party in this Agreement, the Second Lien Loan Documents, or in any financial statement, report, certificate or any other document furnished in connection herewith contains any untrue statement of a material fact or omits to state any material fact necessary to make the statements herein or therein, in light of the circumstances in which it is made, not misleading. There is no fact known to any Credit Party or which reasonably should be known to such Credit Party which such Credit Party has not disclosed to Agent in writing with respect to the transactions contemplated by the Second Lien Loan Documents or this Agreement which could reasonably be expected to have a Material Adverse Effect.</w:t>
      </w:r>
    </w:p>
    <w:p>
      <w:pPr>
        <w:spacing w:after="0" w:line="176" w:lineRule="exact"/>
        <w:rPr>
          <w:sz w:val="20"/>
          <w:szCs w:val="20"/>
          <w:color w:val="auto"/>
        </w:rPr>
      </w:pPr>
    </w:p>
    <w:p>
      <w:pPr>
        <w:jc w:val="both"/>
        <w:ind w:right="20" w:firstLine="1497"/>
        <w:spacing w:after="0" w:line="262" w:lineRule="auto"/>
        <w:rPr>
          <w:sz w:val="20"/>
          <w:szCs w:val="20"/>
          <w:color w:val="auto"/>
        </w:rPr>
      </w:pPr>
      <w:r>
        <w:rPr>
          <w:rFonts w:ascii="Times New Roman" w:cs="Times New Roman" w:eastAsia="Times New Roman" w:hAnsi="Times New Roman"/>
          <w:sz w:val="22"/>
          <w:szCs w:val="22"/>
          <w:b w:val="1"/>
          <w:bCs w:val="1"/>
          <w:u w:val="single" w:color="auto"/>
          <w:color w:val="auto"/>
        </w:rPr>
        <w:t>Immaterial Subsidiaries</w:t>
      </w:r>
      <w:r>
        <w:rPr>
          <w:rFonts w:ascii="Times New Roman" w:cs="Times New Roman" w:eastAsia="Times New Roman" w:hAnsi="Times New Roman"/>
          <w:sz w:val="22"/>
          <w:szCs w:val="22"/>
          <w:b w:val="1"/>
          <w:bCs w:val="1"/>
          <w:color w:val="auto"/>
        </w:rPr>
        <w:t>. No Immaterial Subsidiary (a) owns any assets (other than assets of a de minimis value and nature and not used in the operation of the business of the Credit</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22"/>
          <w:szCs w:val="22"/>
          <w:b w:val="1"/>
          <w:bCs w:val="1"/>
          <w:color w:val="auto"/>
        </w:rPr>
        <w:t>Parties), (b) has any liabilities (other than liabilities of a de minimis nature), or (c) engages in any business activity.</w:t>
      </w:r>
    </w:p>
    <w:p>
      <w:pPr>
        <w:spacing w:after="0" w:line="206" w:lineRule="exact"/>
        <w:rPr>
          <w:sz w:val="20"/>
          <w:szCs w:val="20"/>
          <w:color w:val="auto"/>
        </w:rPr>
      </w:pPr>
    </w:p>
    <w:p>
      <w:pPr>
        <w:jc w:val="both"/>
        <w:ind w:firstLine="1497"/>
        <w:spacing w:after="0" w:line="246" w:lineRule="auto"/>
        <w:rPr>
          <w:sz w:val="20"/>
          <w:szCs w:val="20"/>
          <w:color w:val="auto"/>
        </w:rPr>
      </w:pPr>
      <w:r>
        <w:rPr>
          <w:rFonts w:ascii="Times New Roman" w:cs="Times New Roman" w:eastAsia="Times New Roman" w:hAnsi="Times New Roman"/>
          <w:sz w:val="22"/>
          <w:szCs w:val="22"/>
          <w:b w:val="1"/>
          <w:bCs w:val="1"/>
          <w:u w:val="single" w:color="auto"/>
          <w:color w:val="auto"/>
        </w:rPr>
        <w:t>Charters</w:t>
      </w:r>
      <w:r>
        <w:rPr>
          <w:rFonts w:ascii="Times New Roman" w:cs="Times New Roman" w:eastAsia="Times New Roman" w:hAnsi="Times New Roman"/>
          <w:sz w:val="22"/>
          <w:szCs w:val="22"/>
          <w:b w:val="1"/>
          <w:bCs w:val="1"/>
          <w:color w:val="auto"/>
        </w:rPr>
        <w:t>. As of the Closing Date, other than that certain charter hire agreement between Fleet, as owner, and GLDD LLC, as charterer, with respect to the ATB, no Fleet Asset owned by a Credit Party is subject to a bareboat charter or a time charter.</w:t>
      </w:r>
    </w:p>
    <w:p>
      <w:pPr>
        <w:spacing w:after="0" w:line="167" w:lineRule="exact"/>
        <w:rPr>
          <w:sz w:val="20"/>
          <w:szCs w:val="20"/>
          <w:color w:val="auto"/>
        </w:rPr>
      </w:pPr>
    </w:p>
    <w:p>
      <w:pPr>
        <w:jc w:val="both"/>
        <w:ind w:firstLine="1497"/>
        <w:spacing w:after="0" w:line="237" w:lineRule="auto"/>
        <w:rPr>
          <w:sz w:val="20"/>
          <w:szCs w:val="20"/>
          <w:color w:val="auto"/>
        </w:rPr>
      </w:pPr>
      <w:r>
        <w:rPr>
          <w:rFonts w:ascii="Times New Roman" w:cs="Times New Roman" w:eastAsia="Times New Roman" w:hAnsi="Times New Roman"/>
          <w:sz w:val="22"/>
          <w:szCs w:val="22"/>
          <w:b w:val="1"/>
          <w:bCs w:val="1"/>
          <w:u w:val="single" w:color="auto"/>
          <w:color w:val="auto"/>
        </w:rPr>
        <w:t>Delivery of Second Lien Loan Documents</w:t>
      </w:r>
      <w:r>
        <w:rPr>
          <w:rFonts w:ascii="Times New Roman" w:cs="Times New Roman" w:eastAsia="Times New Roman" w:hAnsi="Times New Roman"/>
          <w:sz w:val="22"/>
          <w:szCs w:val="22"/>
          <w:b w:val="1"/>
          <w:bCs w:val="1"/>
          <w:color w:val="auto"/>
        </w:rPr>
        <w:t>. As of the Amendment No. 2 Closing Date, Agent has received complete copies of the Second Lien Loan Documents and related documents (including all exhibits, schedules and disclosure letters referred to therein or delivered pursuant thereto, if any) and all amendments thereto, waivers relating thereto and other side letters or agreements affecting the terms thereof. None of such documents and agreements has been amended or supplemented, nor have any of the provisions thereof been waived, except pursuant to a written agreement or instrument which has heretofore been delivered to Agent.</w:t>
      </w:r>
    </w:p>
    <w:p>
      <w:pPr>
        <w:spacing w:after="0" w:line="175" w:lineRule="exact"/>
        <w:rPr>
          <w:sz w:val="20"/>
          <w:szCs w:val="20"/>
          <w:color w:val="auto"/>
        </w:rPr>
      </w:pPr>
    </w:p>
    <w:p>
      <w:pPr>
        <w:jc w:val="both"/>
        <w:ind w:firstLine="1497"/>
        <w:spacing w:after="0" w:line="256" w:lineRule="auto"/>
        <w:rPr>
          <w:sz w:val="20"/>
          <w:szCs w:val="20"/>
          <w:color w:val="auto"/>
        </w:rPr>
      </w:pPr>
      <w:r>
        <w:rPr>
          <w:rFonts w:ascii="Times New Roman" w:cs="Times New Roman" w:eastAsia="Times New Roman" w:hAnsi="Times New Roman"/>
          <w:sz w:val="21"/>
          <w:szCs w:val="21"/>
          <w:b w:val="1"/>
          <w:bCs w:val="1"/>
          <w:u w:val="single" w:color="auto"/>
          <w:color w:val="auto"/>
        </w:rPr>
        <w:t>Business and Property of Credit Parties</w:t>
      </w:r>
      <w:r>
        <w:rPr>
          <w:rFonts w:ascii="Times New Roman" w:cs="Times New Roman" w:eastAsia="Times New Roman" w:hAnsi="Times New Roman"/>
          <w:sz w:val="21"/>
          <w:szCs w:val="21"/>
          <w:b w:val="1"/>
          <w:bCs w:val="1"/>
          <w:color w:val="auto"/>
        </w:rPr>
        <w:t>. Upon and after the Closing Date, Credit Parties do not propose to engage in any business other than the business described in the Borrower's most recently filed Form 10K as of the Closing Date and any business activities related or incidental thereto. On the Closing Date, each Credit Party will own all the property and possess all of the rights and Consents necessary for the conduct of the business of such Credit Party.</w:t>
      </w:r>
    </w:p>
    <w:p>
      <w:pPr>
        <w:spacing w:after="0" w:line="158" w:lineRule="exact"/>
        <w:rPr>
          <w:sz w:val="20"/>
          <w:szCs w:val="20"/>
          <w:color w:val="auto"/>
        </w:rPr>
      </w:pPr>
    </w:p>
    <w:p>
      <w:pPr>
        <w:jc w:val="both"/>
        <w:ind w:firstLine="1497"/>
        <w:spacing w:after="0" w:line="246" w:lineRule="auto"/>
        <w:rPr>
          <w:sz w:val="20"/>
          <w:szCs w:val="20"/>
          <w:color w:val="auto"/>
        </w:rPr>
      </w:pPr>
      <w:r>
        <w:rPr>
          <w:rFonts w:ascii="Times New Roman" w:cs="Times New Roman" w:eastAsia="Times New Roman" w:hAnsi="Times New Roman"/>
          <w:sz w:val="22"/>
          <w:szCs w:val="22"/>
          <w:b w:val="1"/>
          <w:bCs w:val="1"/>
          <w:u w:val="single" w:color="auto"/>
          <w:color w:val="auto"/>
        </w:rPr>
        <w:t>Ineligible Securities</w:t>
      </w:r>
      <w:r>
        <w:rPr>
          <w:rFonts w:ascii="Times New Roman" w:cs="Times New Roman" w:eastAsia="Times New Roman" w:hAnsi="Times New Roman"/>
          <w:sz w:val="22"/>
          <w:szCs w:val="22"/>
          <w:b w:val="1"/>
          <w:bCs w:val="1"/>
          <w:color w:val="auto"/>
        </w:rPr>
        <w:t>. Borrowers do not intend to use and shall not use any portion of the proceeds of the Advances, directly or indirectly, to purchase during the underwriting period, or for thirty (30) days thereafter, Ineligible Securities being underwritten by a securities Affiliate of Agent or any Lender.</w:t>
      </w:r>
    </w:p>
    <w:p>
      <w:pPr>
        <w:spacing w:after="0" w:line="16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i w:val="1"/>
          <w:iCs w:val="1"/>
          <w:color w:val="auto"/>
        </w:rPr>
        <w:t>Intentionally Omitted</w:t>
      </w:r>
      <w:r>
        <w:rPr>
          <w:rFonts w:ascii="Times New Roman" w:cs="Times New Roman" w:eastAsia="Times New Roman" w:hAnsi="Times New Roman"/>
          <w:sz w:val="22"/>
          <w:szCs w:val="22"/>
          <w:b w:val="1"/>
          <w:bCs w:val="1"/>
          <w:color w:val="auto"/>
        </w:rPr>
        <w:t>].</w:t>
      </w:r>
    </w:p>
    <w:p>
      <w:pPr>
        <w:spacing w:after="0" w:line="208" w:lineRule="exact"/>
        <w:rPr>
          <w:sz w:val="20"/>
          <w:szCs w:val="20"/>
          <w:color w:val="auto"/>
        </w:rPr>
      </w:pPr>
    </w:p>
    <w:p>
      <w:pPr>
        <w:jc w:val="both"/>
        <w:ind w:firstLine="1497"/>
        <w:spacing w:after="0" w:line="233" w:lineRule="auto"/>
        <w:rPr>
          <w:sz w:val="20"/>
          <w:szCs w:val="20"/>
          <w:color w:val="auto"/>
        </w:rPr>
      </w:pPr>
      <w:r>
        <w:rPr>
          <w:rFonts w:ascii="Times New Roman" w:cs="Times New Roman" w:eastAsia="Times New Roman" w:hAnsi="Times New Roman"/>
          <w:sz w:val="22"/>
          <w:szCs w:val="22"/>
          <w:b w:val="1"/>
          <w:bCs w:val="1"/>
          <w:u w:val="single" w:color="auto"/>
          <w:color w:val="auto"/>
        </w:rPr>
        <w:t>Equity Interests</w:t>
      </w:r>
      <w:r>
        <w:rPr>
          <w:rFonts w:ascii="Times New Roman" w:cs="Times New Roman" w:eastAsia="Times New Roman" w:hAnsi="Times New Roman"/>
          <w:sz w:val="22"/>
          <w:szCs w:val="22"/>
          <w:b w:val="1"/>
          <w:bCs w:val="1"/>
          <w:color w:val="auto"/>
        </w:rPr>
        <w:t>. The authorized and outstanding Equity Interests of each Credit Party, and each legal and beneficial holder thereof as of the Amendment No. 2 Closing Date (other than with respect to GLDD), are as set forth on Schedule 5.24(a) hereto. All of the Equity Interests of each Credit Party have been duly and validly authorized and issued and are fully paid and non-assessable and have been sold and delivered to the holders hereof in compliance with, or under valid exemption from, all federal and state laws and the rules and regulations of each Governmental Body governing the sale and delivery of securities. Except for the rights and obligations set forth on Schedule 5.24(b), there are no subscriptions, warrants, options, calls, commitments, rights or agreement by which any Credit Party or any of the shareholders of any Credit Party is bound relating to the issuance, transfer, voting or redemption of shares of its Equity Interests or any pre-emptive rights held by any Person with respect to the Equity Interests of Credit Parties. Except as set forth on Schedule 5.24(c), Credit Parties have not issued any securities convertible into or exchangeable for shares of its Equity Interests or any options, warrants or other rights to acquire such shares or securities convertible into or exchangeable for such shares.</w:t>
      </w:r>
    </w:p>
    <w:p>
      <w:pPr>
        <w:spacing w:after="0" w:line="185" w:lineRule="exact"/>
        <w:rPr>
          <w:sz w:val="20"/>
          <w:szCs w:val="20"/>
          <w:color w:val="auto"/>
        </w:rPr>
      </w:pPr>
    </w:p>
    <w:p>
      <w:pPr>
        <w:jc w:val="both"/>
        <w:ind w:firstLine="1497"/>
        <w:spacing w:after="0" w:line="246" w:lineRule="auto"/>
        <w:rPr>
          <w:sz w:val="20"/>
          <w:szCs w:val="20"/>
          <w:color w:val="auto"/>
        </w:rPr>
      </w:pPr>
      <w:r>
        <w:rPr>
          <w:rFonts w:ascii="Times New Roman" w:cs="Times New Roman" w:eastAsia="Times New Roman" w:hAnsi="Times New Roman"/>
          <w:sz w:val="22"/>
          <w:szCs w:val="22"/>
          <w:b w:val="1"/>
          <w:bCs w:val="1"/>
          <w:u w:val="single" w:color="auto"/>
          <w:color w:val="auto"/>
        </w:rPr>
        <w:t>Commercial Tort Claims</w:t>
      </w:r>
      <w:r>
        <w:rPr>
          <w:rFonts w:ascii="Times New Roman" w:cs="Times New Roman" w:eastAsia="Times New Roman" w:hAnsi="Times New Roman"/>
          <w:sz w:val="22"/>
          <w:szCs w:val="22"/>
          <w:b w:val="1"/>
          <w:bCs w:val="1"/>
          <w:color w:val="auto"/>
        </w:rPr>
        <w:t>. No Credit Party has any commercial tort claims for which such claim has been asserted in judicial proceedings, mediation, arbitration or other formal or informal dispute resolution forums and for which the amount of damages sought exceeds $500,000 except as set forth on Schedule 5.25 hereto.</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69" w:name="page170"/>
    <w:bookmarkEnd w:id="169"/>
    <w:p>
      <w:pPr>
        <w:ind w:left="1500"/>
        <w:spacing w:after="0"/>
        <w:rPr>
          <w:sz w:val="20"/>
          <w:szCs w:val="20"/>
          <w:color w:val="auto"/>
        </w:rPr>
      </w:pPr>
      <w:r>
        <w:rPr>
          <w:rFonts w:ascii="Times New Roman" w:cs="Times New Roman" w:eastAsia="Times New Roman" w:hAnsi="Times New Roman"/>
          <w:sz w:val="22"/>
          <w:szCs w:val="22"/>
          <w:b w:val="1"/>
          <w:bCs w:val="1"/>
          <w:u w:val="single" w:color="auto"/>
          <w:color w:val="auto"/>
        </w:rPr>
        <w:t>Letter of Credit Rights</w:t>
      </w:r>
      <w:r>
        <w:rPr>
          <w:rFonts w:ascii="Times New Roman" w:cs="Times New Roman" w:eastAsia="Times New Roman" w:hAnsi="Times New Roman"/>
          <w:sz w:val="22"/>
          <w:szCs w:val="22"/>
          <w:b w:val="1"/>
          <w:bCs w:val="1"/>
          <w:color w:val="auto"/>
        </w:rPr>
        <w:t>. No Credit Party has any letter of credit rights except as set forth on Schedule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5.26 hereto.</w:t>
      </w:r>
    </w:p>
    <w:p>
      <w:pPr>
        <w:spacing w:after="0" w:line="178" w:lineRule="exact"/>
        <w:rPr>
          <w:sz w:val="20"/>
          <w:szCs w:val="20"/>
          <w:color w:val="auto"/>
        </w:rPr>
      </w:pPr>
    </w:p>
    <w:p>
      <w:pPr>
        <w:jc w:val="both"/>
        <w:ind w:firstLine="1497"/>
        <w:spacing w:after="0" w:line="262" w:lineRule="auto"/>
        <w:rPr>
          <w:sz w:val="20"/>
          <w:szCs w:val="20"/>
          <w:color w:val="auto"/>
        </w:rPr>
      </w:pPr>
      <w:r>
        <w:rPr>
          <w:rFonts w:ascii="Times New Roman" w:cs="Times New Roman" w:eastAsia="Times New Roman" w:hAnsi="Times New Roman"/>
          <w:sz w:val="22"/>
          <w:szCs w:val="22"/>
          <w:b w:val="1"/>
          <w:bCs w:val="1"/>
          <w:u w:val="single" w:color="auto"/>
          <w:color w:val="auto"/>
        </w:rPr>
        <w:t>Material Contracts</w:t>
      </w:r>
      <w:r>
        <w:rPr>
          <w:rFonts w:ascii="Times New Roman" w:cs="Times New Roman" w:eastAsia="Times New Roman" w:hAnsi="Times New Roman"/>
          <w:sz w:val="22"/>
          <w:szCs w:val="22"/>
          <w:b w:val="1"/>
          <w:bCs w:val="1"/>
          <w:color w:val="auto"/>
        </w:rPr>
        <w:t>. All Material Contracts are in full force and effect and, to the knowledge of any Credit Party, there are no material defaults currently existing thereunder.</w:t>
      </w:r>
    </w:p>
    <w:p>
      <w:pPr>
        <w:spacing w:after="0" w:line="150"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b w:val="1"/>
          <w:bCs w:val="1"/>
          <w:u w:val="single" w:color="auto"/>
          <w:color w:val="auto"/>
        </w:rPr>
        <w:t>Certificate of Beneficial Ownership</w:t>
      </w:r>
      <w:r>
        <w:rPr>
          <w:rFonts w:ascii="Times New Roman" w:cs="Times New Roman" w:eastAsia="Times New Roman" w:hAnsi="Times New Roman"/>
          <w:sz w:val="22"/>
          <w:szCs w:val="22"/>
          <w:b w:val="1"/>
          <w:bCs w:val="1"/>
          <w:color w:val="auto"/>
        </w:rPr>
        <w:t>. The Certificate of Beneficial Ownership, if any, executed and delivered to Agent and Lenders for each Borrower on or prior to the date of this Agreement, as updated from time to time in accordance with this Agreement, is accurate, complete and correct as of the date hereof and as of the date any such update is delivered. The Borrower acknowledges and agrees that the Certificate of Beneficial Ownership is one of the Other Documents.</w:t>
      </w:r>
    </w:p>
    <w:p>
      <w:pPr>
        <w:spacing w:after="0" w:line="17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b w:val="1"/>
          <w:bCs w:val="1"/>
          <w:color w:val="auto"/>
        </w:rPr>
        <w:t>AFFIRMATIVE COVENANTS.</w:t>
      </w:r>
    </w:p>
    <w:p>
      <w:pPr>
        <w:spacing w:after="0" w:line="214" w:lineRule="exact"/>
        <w:rPr>
          <w:sz w:val="20"/>
          <w:szCs w:val="20"/>
          <w:color w:val="auto"/>
        </w:rPr>
      </w:pPr>
    </w:p>
    <w:p>
      <w:pPr>
        <w:jc w:val="both"/>
        <w:ind w:firstLine="749"/>
        <w:spacing w:after="0" w:line="295" w:lineRule="auto"/>
        <w:rPr>
          <w:sz w:val="20"/>
          <w:szCs w:val="20"/>
          <w:color w:val="auto"/>
        </w:rPr>
      </w:pPr>
      <w:r>
        <w:rPr>
          <w:rFonts w:ascii="Times New Roman" w:cs="Times New Roman" w:eastAsia="Times New Roman" w:hAnsi="Times New Roman"/>
          <w:sz w:val="22"/>
          <w:szCs w:val="22"/>
          <w:color w:val="auto"/>
        </w:rPr>
        <w:t>Each Credit Party shall, and shall cause each of its Subsidiaries (other than with respect to any Strategic Joint Venture) to, until payment in full of the Obligations and termination of this Agreement:</w:t>
      </w:r>
    </w:p>
    <w:p>
      <w:pPr>
        <w:spacing w:after="0" w:line="127" w:lineRule="exact"/>
        <w:rPr>
          <w:sz w:val="20"/>
          <w:szCs w:val="20"/>
          <w:color w:val="auto"/>
        </w:rPr>
      </w:pPr>
    </w:p>
    <w:p>
      <w:pPr>
        <w:jc w:val="both"/>
        <w:ind w:firstLine="1497"/>
        <w:spacing w:after="0" w:line="241" w:lineRule="auto"/>
        <w:rPr>
          <w:sz w:val="20"/>
          <w:szCs w:val="20"/>
          <w:color w:val="auto"/>
        </w:rPr>
      </w:pPr>
      <w:r>
        <w:rPr>
          <w:rFonts w:ascii="Times New Roman" w:cs="Times New Roman" w:eastAsia="Times New Roman" w:hAnsi="Times New Roman"/>
          <w:sz w:val="22"/>
          <w:szCs w:val="22"/>
          <w:b w:val="1"/>
          <w:bCs w:val="1"/>
          <w:u w:val="single" w:color="auto"/>
          <w:color w:val="auto"/>
        </w:rPr>
        <w:t>Compliance with Laws</w:t>
      </w:r>
      <w:r>
        <w:rPr>
          <w:rFonts w:ascii="Times New Roman" w:cs="Times New Roman" w:eastAsia="Times New Roman" w:hAnsi="Times New Roman"/>
          <w:sz w:val="22"/>
          <w:szCs w:val="22"/>
          <w:b w:val="1"/>
          <w:bCs w:val="1"/>
          <w:color w:val="auto"/>
        </w:rPr>
        <w:t>. Comply in all material respects with all Applicable Laws with respect to the Collateral or any part thereof or to the operation of such Credit Party's business the non-compliance with which could reasonably be expected to have a Material Adverse Effect (except to the extent any separate provision of this Agreement shall expressly require compliance with any particular Applicable Law(s) pursuant to another standard).</w:t>
      </w:r>
    </w:p>
    <w:p>
      <w:pPr>
        <w:spacing w:after="0" w:line="172" w:lineRule="exact"/>
        <w:rPr>
          <w:sz w:val="20"/>
          <w:szCs w:val="20"/>
          <w:color w:val="auto"/>
        </w:rPr>
      </w:pPr>
    </w:p>
    <w:p>
      <w:pPr>
        <w:jc w:val="both"/>
        <w:ind w:firstLine="1497"/>
        <w:spacing w:after="0" w:line="234" w:lineRule="auto"/>
        <w:rPr>
          <w:sz w:val="20"/>
          <w:szCs w:val="20"/>
          <w:color w:val="auto"/>
        </w:rPr>
      </w:pPr>
      <w:r>
        <w:rPr>
          <w:rFonts w:ascii="Times New Roman" w:cs="Times New Roman" w:eastAsia="Times New Roman" w:hAnsi="Times New Roman"/>
          <w:sz w:val="22"/>
          <w:szCs w:val="22"/>
          <w:b w:val="1"/>
          <w:bCs w:val="1"/>
          <w:u w:val="single" w:color="auto"/>
          <w:color w:val="auto"/>
        </w:rPr>
        <w:t>Conduct of Business and Maintenance of Existence and Assets</w:t>
      </w:r>
      <w:r>
        <w:rPr>
          <w:rFonts w:ascii="Times New Roman" w:cs="Times New Roman" w:eastAsia="Times New Roman" w:hAnsi="Times New Roman"/>
          <w:sz w:val="22"/>
          <w:szCs w:val="22"/>
          <w:b w:val="1"/>
          <w:bCs w:val="1"/>
          <w:color w:val="auto"/>
        </w:rPr>
        <w:t>. (a) Conduct continuously and operate actively its business according to good business practices and maintain all of its properties useful or necessary in its business in good working order and condition (reasonable wear and tear excepted and except as may be disposed of in accordance with the terms of this Agreement), including all Intellectual Property and take all actions necessary to enforce and protect the validity of any right included in the Collateral; (b) keep in full force and effect its existence; and comply in all material respects with the laws and regulations governing the conduct of its business where the failure to do so could reasonably be expected to have a Material Adverse Effect; and (c) make all such reports and pay all such franchise and other taxes and license fees and do all such other acts and things as may be lawfully required to maintain its rights, licenses, leases, powers and franchises under the laws of the United States or any political subdivision thereof where the failure to do so could reasonably be expected to have a Material Adverse Effect.</w:t>
      </w:r>
    </w:p>
    <w:p>
      <w:pPr>
        <w:spacing w:after="0" w:line="179"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b w:val="1"/>
          <w:bCs w:val="1"/>
          <w:u w:val="single" w:color="auto"/>
          <w:color w:val="auto"/>
        </w:rPr>
        <w:t>Books and Records</w:t>
      </w:r>
      <w:r>
        <w:rPr>
          <w:rFonts w:ascii="Times New Roman" w:cs="Times New Roman" w:eastAsia="Times New Roman" w:hAnsi="Times New Roman"/>
          <w:sz w:val="22"/>
          <w:szCs w:val="22"/>
          <w:b w:val="1"/>
          <w:bCs w:val="1"/>
          <w:color w:val="auto"/>
        </w:rPr>
        <w:t>. Keep proper books of record and account in which full, true and correct entries will be made of all dealings or transactions of or in relation to its business and affairs (including without limitation accruals for taxes, assessments, charges, levies and claims, allowances against doubtful Receivables and accruals for depreciation, obsolescence or amortization of assets), all in accordance with, or as required by, GAAP consistently applied in the opinion of such independent public accountant as shall then be regularly engaged by Borrowers.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70" w:name="page171"/>
    <w:bookmarkEnd w:id="170"/>
    <w:p>
      <w:pPr>
        <w:jc w:val="both"/>
        <w:ind w:firstLine="1497"/>
        <w:spacing w:after="0" w:line="233" w:lineRule="auto"/>
        <w:rPr>
          <w:sz w:val="20"/>
          <w:szCs w:val="20"/>
          <w:color w:val="auto"/>
        </w:rPr>
      </w:pPr>
      <w:r>
        <w:rPr>
          <w:rFonts w:ascii="Times New Roman" w:cs="Times New Roman" w:eastAsia="Times New Roman" w:hAnsi="Times New Roman"/>
          <w:sz w:val="22"/>
          <w:szCs w:val="22"/>
          <w:b w:val="1"/>
          <w:bCs w:val="1"/>
          <w:u w:val="single" w:color="auto"/>
          <w:color w:val="auto"/>
        </w:rPr>
        <w:t>Payment of Taxes</w:t>
      </w:r>
      <w:r>
        <w:rPr>
          <w:rFonts w:ascii="Times New Roman" w:cs="Times New Roman" w:eastAsia="Times New Roman" w:hAnsi="Times New Roman"/>
          <w:sz w:val="22"/>
          <w:szCs w:val="22"/>
          <w:b w:val="1"/>
          <w:bCs w:val="1"/>
          <w:color w:val="auto"/>
        </w:rPr>
        <w:t>. Pay, when due, all taxes, assessments and other charges lawfully levied or assessed upon such Credit Party or any of the Collateral, including real and personal property taxes, assessments and charges and all franchise, income, employment, social security benefits, withholding, and sales taxes, except where the same are being Properly Contested or the failure to make such payment could not reasonably be expected to result in a liability to any Credit Party in excess of $500,000. If any tax by any Governmental Body is or may be imposed on or as a result of any transaction between any Credit Party and Agent or any Lender which Agent or any Lender may be required to withhold or pay (and for which a Credit Party is liable under Applicable Law) or if any taxes, assessments, or other charges of a Governmental Body (for which a Credit Party is liable under Applicable Law) remain unpaid after the date fixed for their payment, or if any claim shall be made which, in Agent's reasonable opinion, may possibly create a valid Lien on the Collateral, Agent may, without notice to the Credit Parties, make a Protective Advance as provided in Section 16.2(f) to pay the taxes, assessments or other charges and each Credit Party hereby indemnifies and holds Agent and each Lender harmless in respect thereof.</w:t>
      </w:r>
    </w:p>
    <w:p>
      <w:pPr>
        <w:spacing w:after="0" w:line="18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b w:val="1"/>
          <w:bCs w:val="1"/>
          <w:u w:val="single" w:color="auto"/>
          <w:color w:val="auto"/>
        </w:rPr>
        <w:t>Financial Covenants</w:t>
      </w:r>
      <w:r>
        <w:rPr>
          <w:rFonts w:ascii="Times New Roman" w:cs="Times New Roman" w:eastAsia="Times New Roman" w:hAnsi="Times New Roman"/>
          <w:sz w:val="22"/>
          <w:szCs w:val="22"/>
          <w:b w:val="1"/>
          <w:bCs w:val="1"/>
          <w:color w:val="auto"/>
        </w:rPr>
        <w:t>.</w:t>
      </w:r>
    </w:p>
    <w:p>
      <w:pPr>
        <w:spacing w:after="0" w:line="210"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u w:val="single" w:color="auto"/>
          <w:color w:val="auto"/>
        </w:rPr>
        <w:t>Fixed Charge Coverage Ratio</w:t>
      </w:r>
      <w:r>
        <w:rPr>
          <w:rFonts w:ascii="Times New Roman" w:cs="Times New Roman" w:eastAsia="Times New Roman" w:hAnsi="Times New Roman"/>
          <w:sz w:val="22"/>
          <w:szCs w:val="22"/>
          <w:color w:val="auto"/>
        </w:rPr>
        <w:t>. During a Covenant Testing Period (including the first and last day thereof), cause to be maintained as of the end of each fiscal month (commencing with the fiscal month ending June 30, 2022) for the 12 month period then ending, a Fixed Charge Coverage Ratio of not less than 1.10 to 1.00.</w:t>
      </w:r>
    </w:p>
    <w:p>
      <w:pPr>
        <w:spacing w:after="0" w:line="16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b w:val="1"/>
          <w:bCs w:val="1"/>
          <w:u w:val="single" w:color="auto"/>
          <w:color w:val="auto"/>
        </w:rPr>
        <w:t>Insurance</w:t>
      </w:r>
      <w:r>
        <w:rPr>
          <w:rFonts w:ascii="Times New Roman" w:cs="Times New Roman" w:eastAsia="Times New Roman" w:hAnsi="Times New Roman"/>
          <w:sz w:val="22"/>
          <w:szCs w:val="22"/>
          <w:b w:val="1"/>
          <w:bCs w:val="1"/>
          <w:color w:val="auto"/>
        </w:rPr>
        <w:t>.</w:t>
      </w:r>
    </w:p>
    <w:p>
      <w:pPr>
        <w:spacing w:after="0" w:line="210" w:lineRule="exact"/>
        <w:rPr>
          <w:sz w:val="20"/>
          <w:szCs w:val="20"/>
          <w:color w:val="auto"/>
        </w:rPr>
      </w:pPr>
    </w:p>
    <w:p>
      <w:pPr>
        <w:jc w:val="both"/>
        <w:ind w:firstLine="1505"/>
        <w:spacing w:after="0" w:line="239" w:lineRule="auto"/>
        <w:tabs>
          <w:tab w:leader="none" w:pos="1929"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Keep all its insurable properties and properties in which such Credit Party has an interest insured against the hazards of fire, flood, sprinkler leakage, those hazards covered by extended coverage insurance and such other hazards, and for such amounts, as is customary in the case of companies engaged in businesses similar to such Credit Party's; in the absence of more specific provisions in any Maritime Security Documents, such insurance to include, without limitation, the following:</w:t>
      </w:r>
    </w:p>
    <w:p>
      <w:pPr>
        <w:spacing w:after="0" w:line="180"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color w:val="auto"/>
        </w:rPr>
        <w:t>Marine General Liability (or Commercial General Liability) insurance (including coverage for bodily injury and property damage, products and completed operations, premises and operations, sudden and accidental pollution liability, contractual liability, and actions over indemnification) in an amount equal to a limit of not less than $1,000,000 per occurrence and an aggregate amount equal to a limit of not less than $2,000,000;</w:t>
      </w:r>
    </w:p>
    <w:p>
      <w:pPr>
        <w:spacing w:after="0" w:line="180"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color w:val="auto"/>
        </w:rPr>
        <w:t>Hull and Machinery insurance (including excess risks) with typical standard coverage covering the Fleet Assets in an amount equal to the aggregate value of all such Fleet Assets under such Hull and Machinery policy with a claim deductible of not more than $2,500,000 and, as of the Closing Date, an aggregate limit with respect to the Documented Vessels of an amount not less than $300,000,000;</w:t>
      </w:r>
    </w:p>
    <w:p>
      <w:pPr>
        <w:spacing w:after="0" w:line="180"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War Risk and Confiscation insurance with respect to each Documented Vessel operated in a country outside of the United States that is identified as a high risk area by Lloyd’s Market Association Joint War Committee or similar body, in an amount equal to the value of the</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71" w:name="page172"/>
    <w:bookmarkEnd w:id="171"/>
    <w:p>
      <w:pPr>
        <w:jc w:val="both"/>
        <w:spacing w:after="0" w:line="238" w:lineRule="auto"/>
        <w:rPr>
          <w:sz w:val="20"/>
          <w:szCs w:val="20"/>
          <w:color w:val="auto"/>
        </w:rPr>
      </w:pPr>
      <w:r>
        <w:rPr>
          <w:rFonts w:ascii="Times New Roman" w:cs="Times New Roman" w:eastAsia="Times New Roman" w:hAnsi="Times New Roman"/>
          <w:sz w:val="22"/>
          <w:szCs w:val="22"/>
          <w:color w:val="auto"/>
        </w:rPr>
        <w:t>assets under the Hull and Machinery policy unless (y) Borrowing Agent shall have notified Agent that it has determined, in good faith, that such insurance with respect to such contract is not available at a reasonable economic cost or not available from a reputable insurer, or the property or assets to be used in connection with such contract is not subject to a material risk of asset seizure in such country and (z) Agent shall have concurred with such conclusion in writing (which concurrence shall not be unreasonably withheld or delayed);</w:t>
      </w:r>
    </w:p>
    <w:p>
      <w:pPr>
        <w:spacing w:after="0" w:line="17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Vessel Pollution Liability insurance coverage in an amount equal to a limit of not less than $5,000,000; and</w:t>
      </w:r>
    </w:p>
    <w:p>
      <w:pPr>
        <w:spacing w:after="0" w:line="206"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Protection and Indemnity insurance and Umbrella Liability insurance in an amount of at least $75,000,000 in addition to the limits within the Marine General Liability (or Commercial General Liability), Employer's Liability, War Risk and Confiscation and Vessel Pollution Liability insurance policies listed above;</w:t>
      </w:r>
    </w:p>
    <w:p>
      <w:pPr>
        <w:spacing w:after="0" w:line="173" w:lineRule="exact"/>
        <w:rPr>
          <w:sz w:val="20"/>
          <w:szCs w:val="20"/>
          <w:color w:val="auto"/>
        </w:rPr>
      </w:pPr>
    </w:p>
    <w:p>
      <w:pPr>
        <w:ind w:left="1940" w:hanging="435"/>
        <w:spacing w:after="0"/>
        <w:tabs>
          <w:tab w:leader="none" w:pos="1940" w:val="left"/>
        </w:tabs>
        <w:numPr>
          <w:ilvl w:val="1"/>
          <w:numId w:val="10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cases of the Insurances referred to in sub-sections with respect to sub-sections (i)(B) and (C) above,</w:t>
      </w:r>
    </w:p>
    <w:p>
      <w:pPr>
        <w:spacing w:after="0" w:line="25" w:lineRule="exact"/>
        <w:rPr>
          <w:rFonts w:ascii="Times New Roman" w:cs="Times New Roman" w:eastAsia="Times New Roman" w:hAnsi="Times New Roman"/>
          <w:sz w:val="21"/>
          <w:szCs w:val="21"/>
          <w:color w:val="auto"/>
        </w:rPr>
      </w:pPr>
    </w:p>
    <w:p>
      <w:pPr>
        <w:jc w:val="both"/>
        <w:ind w:firstLine="8"/>
        <w:spacing w:after="0" w:line="231" w:lineRule="auto"/>
        <w:tabs>
          <w:tab w:leader="none" w:pos="340"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first class insurance companies or underwriters as shall from time to time be approved by Agent in the reasonable exercise of its judgment (hereinafter called the "</w:t>
      </w:r>
      <w:r>
        <w:rPr>
          <w:rFonts w:ascii="Times New Roman" w:cs="Times New Roman" w:eastAsia="Times New Roman" w:hAnsi="Times New Roman"/>
          <w:sz w:val="22"/>
          <w:szCs w:val="22"/>
          <w:u w:val="single" w:color="auto"/>
          <w:color w:val="auto"/>
        </w:rPr>
        <w:t>Hull and Machinery and War Risks Insurers</w:t>
      </w:r>
      <w:r>
        <w:rPr>
          <w:rFonts w:ascii="Times New Roman" w:cs="Times New Roman" w:eastAsia="Times New Roman" w:hAnsi="Times New Roman"/>
          <w:sz w:val="22"/>
          <w:szCs w:val="22"/>
          <w:color w:val="auto"/>
        </w:rPr>
        <w:t>"), (y) in such amounts as shall be at least equivalent to the market value of such Fleet Assets, but not less than one hundred twenty five percent (125%) of the unpaid principal amount of the indebtedness evidenced by the Note, multiplied by a fraction, the numerator of which is the fair market value of such Fleet Assets and the denominator of which is the aggregate fair market value of all the Fleet Assets then mortgaged to Agent pursuant to the Credit Agreement, and all such insurance shall be payable in lawful money of the United States of America, (iii) in the case of the protection and indemnity Insurances referred to in subsection (i)(E) above with a recognized protection and indemnity club that is a member of the International Group of P&amp;I Clubs or any insurer rated at least B++ by A.M. Best Company, or the equivalent thereof provided by a rating service whose ratings of insurance companies are internationally recognized or any insurer acceptable to Agent (together with the Hull and Machinery and War Risks Insurers, the "</w:t>
      </w:r>
      <w:r>
        <w:rPr>
          <w:rFonts w:ascii="Times New Roman" w:cs="Times New Roman" w:eastAsia="Times New Roman" w:hAnsi="Times New Roman"/>
          <w:sz w:val="22"/>
          <w:szCs w:val="22"/>
          <w:u w:val="single" w:color="auto"/>
          <w:color w:val="auto"/>
        </w:rPr>
        <w:t>Insurers</w:t>
      </w:r>
      <w:r>
        <w:rPr>
          <w:rFonts w:ascii="Times New Roman" w:cs="Times New Roman" w:eastAsia="Times New Roman" w:hAnsi="Times New Roman"/>
          <w:sz w:val="22"/>
          <w:szCs w:val="22"/>
          <w:color w:val="auto"/>
        </w:rPr>
        <w:t>") and payable in lawful money of the United States of America, (iv) maintain a bond in such amounts as is customary in the case of companies engaged in businesses similar to such Credit Party insuring against larceny, embezzlement or other criminal misappropriation by insured's officers and employees who may either singly or jointly with others at any time have access to the assets or funds of such Credit Party either directly or through authority to draw upon such funds or to direct generally the disposition of such assets; (v) maintain liability insurance against claims for personal injury, death or property damage suffered by others for such amounts, as is customary in the case of companies engaged in businesses similar to such Credit Party's; (vi) maintain all such worker's compensation or similar insurance as may be required under the laws of any state or jurisdiction in which such Credit Party is engaged in business; and (vii) furnish Agent with (A) confirmation of renewal of coverage within ten (10) days of any expiration date followed by copies of all policies and evidence of the maintenance and renewal thereof at least thirty (30) days after any expiration date (or such later date as agreed by the Agent in its sole discretion), and (B) appropriate endorsements (including loss payable endorsements) in form and substance reasonably satisfactory to Agent, naming Agent as an additional insured and Agent as mortgagee and/or lender loss payee (as applicable) as its interests may appear with respect to all insurance coverage referred to in clauses (i), and (v) above, and providing (I) that all proceeds thereunder shall be payable to Agent, except as provided in the</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72" w:name="page173"/>
    <w:bookmarkEnd w:id="172"/>
    <w:p>
      <w:pPr>
        <w:jc w:val="both"/>
        <w:spacing w:after="0" w:line="247" w:lineRule="auto"/>
        <w:rPr>
          <w:sz w:val="20"/>
          <w:szCs w:val="20"/>
          <w:color w:val="auto"/>
        </w:rPr>
      </w:pPr>
      <w:r>
        <w:rPr>
          <w:rFonts w:ascii="Times New Roman" w:cs="Times New Roman" w:eastAsia="Times New Roman" w:hAnsi="Times New Roman"/>
          <w:sz w:val="21"/>
          <w:szCs w:val="21"/>
          <w:color w:val="auto"/>
        </w:rPr>
        <w:t>Assignment of Insurances, (II) no such insurance shall be affected by any act or neglect of the insured or owner of the property described in such policy, and (III) that such policy and loss payable clauses may not be cancelled, amended or terminated unless at least thirty (30) days prior written notice is given to Agent (or in the case of non-payment, at least ten (10) days prior written notice) (except War Risks which shall be seven (7) days unless terminated automatically in accordance with the provisions of the Automatic Termination and Cancellation Clauses). In the event of any loss thereunder, the carriers named therein hereby are directed by Agent and the applicable Credit Party to make payment for such loss to Agent and not to such Credit Party and Agent jointly. If any insurance losses are paid by check, draft or other instrument payable to any Credit Party and Agent jointly, Agent may endorse such Credit Party's name thereon and do such other things as Agent may deem advisable to reduce the same to cash.</w:t>
      </w:r>
    </w:p>
    <w:p>
      <w:pPr>
        <w:spacing w:after="0" w:line="172" w:lineRule="exact"/>
        <w:rPr>
          <w:sz w:val="20"/>
          <w:szCs w:val="20"/>
          <w:color w:val="auto"/>
        </w:rPr>
      </w:pPr>
    </w:p>
    <w:p>
      <w:pPr>
        <w:jc w:val="both"/>
        <w:ind w:firstLine="1497"/>
        <w:spacing w:after="0" w:line="235" w:lineRule="auto"/>
        <w:rPr>
          <w:sz w:val="20"/>
          <w:szCs w:val="20"/>
          <w:color w:val="auto"/>
        </w:rPr>
      </w:pPr>
      <w:r>
        <w:rPr>
          <w:rFonts w:ascii="Times New Roman" w:cs="Times New Roman" w:eastAsia="Times New Roman" w:hAnsi="Times New Roman"/>
          <w:sz w:val="22"/>
          <w:szCs w:val="22"/>
          <w:color w:val="auto"/>
        </w:rPr>
        <w:t>If an Event of Default has occurred and is continuing, Agent is hereby authorized to adjust and compromise claims under insurance coverage referred to in Section 6.6(a) above. Except as provided in Section 2.20(c) all loss recoveries received by Agent under any such insurance may be applied to the Obligations in the manner provided in this Agreement. Any surplus shall be paid by Agent to Borrowers or applied as may be otherwise required by Applicable Law. Any deficiency thereon shall be paid by the Credit Parties to Agent, on demand. If any Credit Party fails to obtain insurance as hereinabove provided, or to keep the same in force, Agent, if Agent so elects, may obtain such insurance and pay the premium therefor on behalf of such Credit Party, which payments shall be charged to Borrowers' Account and constitute part of the obligations.</w:t>
      </w:r>
    </w:p>
    <w:p>
      <w:pPr>
        <w:spacing w:after="0" w:line="179" w:lineRule="exact"/>
        <w:rPr>
          <w:sz w:val="20"/>
          <w:szCs w:val="20"/>
          <w:color w:val="auto"/>
        </w:rPr>
      </w:pPr>
    </w:p>
    <w:p>
      <w:pPr>
        <w:jc w:val="both"/>
        <w:ind w:firstLine="1497"/>
        <w:spacing w:after="0" w:line="235" w:lineRule="auto"/>
        <w:rPr>
          <w:sz w:val="20"/>
          <w:szCs w:val="20"/>
          <w:color w:val="auto"/>
        </w:rPr>
      </w:pPr>
      <w:r>
        <w:rPr>
          <w:rFonts w:ascii="Times New Roman" w:cs="Times New Roman" w:eastAsia="Times New Roman" w:hAnsi="Times New Roman"/>
          <w:sz w:val="22"/>
          <w:szCs w:val="22"/>
          <w:b w:val="1"/>
          <w:bCs w:val="1"/>
          <w:u w:val="single" w:color="auto"/>
          <w:color w:val="auto"/>
        </w:rPr>
        <w:t>Payment of Indebtedness and Leasehold Obligations</w:t>
      </w:r>
      <w:r>
        <w:rPr>
          <w:rFonts w:ascii="Times New Roman" w:cs="Times New Roman" w:eastAsia="Times New Roman" w:hAnsi="Times New Roman"/>
          <w:sz w:val="22"/>
          <w:szCs w:val="22"/>
          <w:b w:val="1"/>
          <w:bCs w:val="1"/>
          <w:color w:val="auto"/>
        </w:rPr>
        <w:t>. Pay, discharge or otherwise satisfy (i) at or before maturity (subject, where applicable, to specified grace periods) all its Indebtedness, except when the failure to do so could not reasonably be expected to have a Material Adverse Effect or when the amount or validity thereof is currently being Properly Contested, subject at all times to any applicable subordination arrangement in favor of Lenders and (ii) when due its rental obligations under all leases under which it is a tenant, and shall otherwise comply, in all material respects, with all other terms of such leases and keep them in full force and effect except where failure to do so could not reasonably be expected to result in a Material Adverse Effect or when the amount or validity thereof is being Properly Contested.</w:t>
      </w:r>
    </w:p>
    <w:p>
      <w:pPr>
        <w:spacing w:after="0" w:line="178" w:lineRule="exact"/>
        <w:rPr>
          <w:sz w:val="20"/>
          <w:szCs w:val="20"/>
          <w:color w:val="auto"/>
        </w:rPr>
      </w:pPr>
    </w:p>
    <w:p>
      <w:pPr>
        <w:jc w:val="both"/>
        <w:ind w:firstLine="1497"/>
        <w:spacing w:after="0" w:line="233" w:lineRule="auto"/>
        <w:rPr>
          <w:sz w:val="20"/>
          <w:szCs w:val="20"/>
          <w:color w:val="auto"/>
        </w:rPr>
      </w:pPr>
      <w:r>
        <w:rPr>
          <w:rFonts w:ascii="Times New Roman" w:cs="Times New Roman" w:eastAsia="Times New Roman" w:hAnsi="Times New Roman"/>
          <w:sz w:val="22"/>
          <w:szCs w:val="22"/>
          <w:b w:val="1"/>
          <w:bCs w:val="1"/>
          <w:u w:val="single" w:color="auto"/>
          <w:color w:val="auto"/>
        </w:rPr>
        <w:t>Environmental Matters</w:t>
      </w:r>
      <w:r>
        <w:rPr>
          <w:rFonts w:ascii="Times New Roman" w:cs="Times New Roman" w:eastAsia="Times New Roman" w:hAnsi="Times New Roman"/>
          <w:sz w:val="22"/>
          <w:szCs w:val="22"/>
          <w:b w:val="1"/>
          <w:bCs w:val="1"/>
          <w:color w:val="auto"/>
        </w:rPr>
        <w:t>. In addition to and without limiting the generality of Section 6.1 and Section 16.5, (a) comply with all applicable Environmental Laws and obtain and comply with any and all licenses or permits required by applicable Environmental Laws, (b) complete all investigations, studies, sampling and testing and all remedial, removal and other actions required under Environmental Laws, and timely comply with all lawful orders and directives of any Governmental Body regarding Environmental Laws, and (c) defend, indemnify and hold harmless Agent and the Lenders, and their respective parents, Subsidiaries, Affiliates, employees, agents, officers and directors, from and against any claims, demands, penalties, fines, liabilities, settlements, damages, costs and expenses of whatever kind or nature known or unknown, contingent or otherwise, arising out of, or in any way relating to the presence of Hazardous Materials, or the violation of, noncompliance with or liability under any Environmental Laws applicable to the operations of GLDD or any such Subsidiary, or any orders, requirements or demands of Governmental Bodies related thereto, including, without limitation, reasonable attorney's and consultant's fees, investigation and laboratory fees, response costs, court costs and</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73" w:name="page174"/>
    <w:bookmarkEnd w:id="173"/>
    <w:p>
      <w:pPr>
        <w:jc w:val="both"/>
        <w:spacing w:after="0" w:line="246" w:lineRule="auto"/>
        <w:rPr>
          <w:sz w:val="20"/>
          <w:szCs w:val="20"/>
          <w:color w:val="auto"/>
        </w:rPr>
      </w:pPr>
      <w:r>
        <w:rPr>
          <w:rFonts w:ascii="Times New Roman" w:cs="Times New Roman" w:eastAsia="Times New Roman" w:hAnsi="Times New Roman"/>
          <w:sz w:val="22"/>
          <w:szCs w:val="22"/>
          <w:b w:val="1"/>
          <w:bCs w:val="1"/>
          <w:color w:val="auto"/>
        </w:rPr>
        <w:t>litigation expenses, except to the extent that any of the foregoing directly result from the gross negligence, bad faith or willful misconduct of the party seeking indemnification therefor, as determined by a court of competent jurisdiction by final nonappealable judgment.</w:t>
      </w:r>
    </w:p>
    <w:p>
      <w:pPr>
        <w:spacing w:after="0" w:line="167"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b w:val="1"/>
          <w:bCs w:val="1"/>
          <w:u w:val="single" w:color="auto"/>
          <w:color w:val="auto"/>
        </w:rPr>
        <w:t>Standards of Financial Statements</w:t>
      </w:r>
      <w:r>
        <w:rPr>
          <w:rFonts w:ascii="Times New Roman" w:cs="Times New Roman" w:eastAsia="Times New Roman" w:hAnsi="Times New Roman"/>
          <w:sz w:val="22"/>
          <w:szCs w:val="22"/>
          <w:b w:val="1"/>
          <w:bCs w:val="1"/>
          <w:color w:val="auto"/>
        </w:rPr>
        <w:t>. Cause all financial statements referred to in Sections 9.7, 9.8, 9.9, 9.10, 9.11, 9.12, and 9.13 as to which GAAP is applicable to be complete and correct in all material respects (subject, in the case of interim financial statements, to normal year-end audit adjustments) and to be prepared in reasonable detail and in accordance with GAAP applied consistently throughout the periods reflected therein (except as disclosed therein and agreed to by such reporting accountants or officer, as applicable).</w:t>
      </w:r>
    </w:p>
    <w:p>
      <w:pPr>
        <w:spacing w:after="0" w:line="17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i w:val="1"/>
          <w:iCs w:val="1"/>
          <w:color w:val="auto"/>
        </w:rPr>
        <w:t>Intentionally Omitted</w:t>
      </w:r>
      <w:r>
        <w:rPr>
          <w:rFonts w:ascii="Times New Roman" w:cs="Times New Roman" w:eastAsia="Times New Roman" w:hAnsi="Times New Roman"/>
          <w:sz w:val="22"/>
          <w:szCs w:val="22"/>
          <w:b w:val="1"/>
          <w:bCs w:val="1"/>
          <w:color w:val="auto"/>
        </w:rPr>
        <w:t>].</w:t>
      </w:r>
    </w:p>
    <w:p>
      <w:pPr>
        <w:spacing w:after="0" w:line="208" w:lineRule="exact"/>
        <w:rPr>
          <w:sz w:val="20"/>
          <w:szCs w:val="20"/>
          <w:color w:val="auto"/>
        </w:rPr>
      </w:pPr>
    </w:p>
    <w:p>
      <w:pPr>
        <w:jc w:val="both"/>
        <w:ind w:firstLine="1497"/>
        <w:spacing w:after="0" w:line="233" w:lineRule="auto"/>
        <w:rPr>
          <w:sz w:val="20"/>
          <w:szCs w:val="20"/>
          <w:color w:val="auto"/>
        </w:rPr>
      </w:pPr>
      <w:r>
        <w:rPr>
          <w:rFonts w:ascii="Times New Roman" w:cs="Times New Roman" w:eastAsia="Times New Roman" w:hAnsi="Times New Roman"/>
          <w:sz w:val="22"/>
          <w:szCs w:val="22"/>
          <w:b w:val="1"/>
          <w:bCs w:val="1"/>
          <w:u w:val="single" w:color="auto"/>
          <w:color w:val="auto"/>
        </w:rPr>
        <w:t>Execution of Supplemental Instruments</w:t>
      </w:r>
      <w:r>
        <w:rPr>
          <w:rFonts w:ascii="Times New Roman" w:cs="Times New Roman" w:eastAsia="Times New Roman" w:hAnsi="Times New Roman"/>
          <w:sz w:val="22"/>
          <w:szCs w:val="22"/>
          <w:b w:val="1"/>
          <w:bCs w:val="1"/>
          <w:color w:val="auto"/>
        </w:rPr>
        <w:t>. Execute and deliver to Agent from time to time, upon demand, such supplemental agreements, statements, assignments and transfers, or instructions or documents relating to the Collateral, and such other instruments as Agent may request, in order that the full intent of this Agreement may be carried into effect. Without limiting the foregoing, Credit Parties shall take such actions as Agent or the Required Lenders may reasonably request from time to time to ensure that the Obligations are secured by substantially all of the Collateral of Borrowers and each Credit Party and guaranteed by each Domestic Subsidiary (other than any Strategic Joint Venture and the Immaterial Subsidiaries), in each case as Agent may determine, including (i) the execution and delivery of guaranties, security agreements, pledge agreements, mortgages, financing statements and other documents, and the filing or recording of any of the foregoing, (ii) the delivery of opinions of counsel, and (iii) the delivery of certificated securities and other Collateral with respect to which perfection is obtained by possession. Notwithstanding the foregoing, for the sake of clarity, no Person shall be joined as a borrower to the Agreement after the Closing Date unless and until each Lender has completed its "know your customer" diligence, including without limitation in respect of the Beneficial Owner Regulation and the USA PATRIOT Act.</w:t>
      </w:r>
    </w:p>
    <w:p>
      <w:pPr>
        <w:spacing w:after="0" w:line="182" w:lineRule="exact"/>
        <w:rPr>
          <w:sz w:val="20"/>
          <w:szCs w:val="20"/>
          <w:color w:val="auto"/>
        </w:rPr>
      </w:pPr>
    </w:p>
    <w:p>
      <w:pPr>
        <w:jc w:val="both"/>
        <w:ind w:firstLine="1497"/>
        <w:spacing w:after="0" w:line="237" w:lineRule="auto"/>
        <w:rPr>
          <w:sz w:val="20"/>
          <w:szCs w:val="20"/>
          <w:color w:val="auto"/>
        </w:rPr>
      </w:pPr>
      <w:r>
        <w:rPr>
          <w:rFonts w:ascii="Times New Roman" w:cs="Times New Roman" w:eastAsia="Times New Roman" w:hAnsi="Times New Roman"/>
          <w:sz w:val="22"/>
          <w:szCs w:val="22"/>
          <w:b w:val="1"/>
          <w:bCs w:val="1"/>
          <w:u w:val="single" w:color="auto"/>
          <w:color w:val="auto"/>
        </w:rPr>
        <w:t>Compliance with ERISA</w:t>
      </w:r>
      <w:r>
        <w:rPr>
          <w:rFonts w:ascii="Times New Roman" w:cs="Times New Roman" w:eastAsia="Times New Roman" w:hAnsi="Times New Roman"/>
          <w:sz w:val="22"/>
          <w:szCs w:val="22"/>
          <w:b w:val="1"/>
          <w:bCs w:val="1"/>
          <w:color w:val="auto"/>
        </w:rPr>
        <w:t>. In addition to and without limiting the generality of Section 6.1, except where the failure to so comply would not, individually or in the aggregate, reasonably be expected to have a Material Adverse Effect, (a) comply with applicable provisions of ERISA, the Code and the regulations and published interpretations thereunder with respect to all Employee Benefit Plans, (b) not take any action or fail to take action the result of which could reasonably be expected to result in a liability to the PBGC or to a Multiemployer Plan, and (c) not participate in any prohibited transaction that could result in any civil penalty under ERISA or Tax under the Code.</w:t>
      </w:r>
    </w:p>
    <w:p>
      <w:pPr>
        <w:spacing w:after="0" w:line="175"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b w:val="1"/>
          <w:bCs w:val="1"/>
          <w:u w:val="single" w:color="auto"/>
          <w:color w:val="auto"/>
        </w:rPr>
        <w:t>Government Receivables</w:t>
      </w:r>
      <w:r>
        <w:rPr>
          <w:rFonts w:ascii="Times New Roman" w:cs="Times New Roman" w:eastAsia="Times New Roman" w:hAnsi="Times New Roman"/>
          <w:sz w:val="22"/>
          <w:szCs w:val="22"/>
          <w:b w:val="1"/>
          <w:bCs w:val="1"/>
          <w:color w:val="auto"/>
        </w:rPr>
        <w:t>. Take all steps necessary to protect Agent's interest in the Collateral under the Uniform Commercial Code and all other applicable state or local statutes or ordinances, and if an Event of Default exists, under the Assignment of Claims Act, and deliver to Agent appropriately endorsed, any instrument or chattel paper connected with any Receivable arising out of any contract between any Credit Party and the United States, any state or any department, agency or instrumentality of any of them.</w:t>
      </w:r>
    </w:p>
    <w:p>
      <w:pPr>
        <w:spacing w:after="0" w:line="17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i w:val="1"/>
          <w:iCs w:val="1"/>
          <w:color w:val="auto"/>
        </w:rPr>
        <w:t>Intentionally Omitted.</w:t>
      </w:r>
      <w:r>
        <w:rPr>
          <w:rFonts w:ascii="Times New Roman" w:cs="Times New Roman" w:eastAsia="Times New Roman" w:hAnsi="Times New Roman"/>
          <w:sz w:val="22"/>
          <w:szCs w:val="22"/>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74" w:name="page175"/>
    <w:bookmarkEnd w:id="174"/>
    <w:p>
      <w:pPr>
        <w:jc w:val="both"/>
        <w:ind w:firstLine="1497"/>
        <w:spacing w:after="0" w:line="247" w:lineRule="exact"/>
        <w:rPr>
          <w:sz w:val="20"/>
          <w:szCs w:val="20"/>
          <w:color w:val="auto"/>
        </w:rPr>
      </w:pPr>
      <w:r>
        <w:rPr>
          <w:rFonts w:ascii="Times New Roman" w:cs="Times New Roman" w:eastAsia="Times New Roman" w:hAnsi="Times New Roman"/>
          <w:sz w:val="21"/>
          <w:szCs w:val="21"/>
          <w:b w:val="1"/>
          <w:bCs w:val="1"/>
          <w:u w:val="single" w:color="auto"/>
          <w:color w:val="auto"/>
        </w:rPr>
        <w:t>Keepwell</w:t>
      </w:r>
      <w:r>
        <w:rPr>
          <w:rFonts w:ascii="Times New Roman" w:cs="Times New Roman" w:eastAsia="Times New Roman" w:hAnsi="Times New Roman"/>
          <w:sz w:val="21"/>
          <w:szCs w:val="21"/>
          <w:b w:val="1"/>
          <w:bCs w:val="1"/>
          <w:color w:val="auto"/>
        </w:rPr>
        <w:t>. If it is a Qualified ECP Loan Party, then jointly and severally, together with each other Qualified ECP Loan Party, hereby absolutely unconditionally and irrevocably (a) guarantees the prompt payment and performance of all Swap Obligations owing by each Non-Qualifying Party (it being understood and agreed that this guarantee is a guaranty of payment and not of collection), and (b) undertakes to provide such funds or other support as may be needed from time to time by any Non-Qualifying Party to honor all of such Non</w:t>
      </w:r>
      <w:r>
        <w:rPr>
          <w:rFonts w:ascii="MS PGothic" w:cs="MS PGothic" w:eastAsia="MS PGothic" w:hAnsi="MS PGothic"/>
          <w:sz w:val="21"/>
          <w:szCs w:val="21"/>
          <w:color w:val="auto"/>
          <w:strike w:val="1"/>
        </w:rPr>
        <w:t>‑</w:t>
      </w:r>
      <w:r>
        <w:rPr>
          <w:rFonts w:ascii="Times New Roman" w:cs="Times New Roman" w:eastAsia="Times New Roman" w:hAnsi="Times New Roman"/>
          <w:sz w:val="21"/>
          <w:szCs w:val="21"/>
          <w:b w:val="1"/>
          <w:bCs w:val="1"/>
          <w:color w:val="auto"/>
        </w:rPr>
        <w:t xml:space="preserve"> Qualifying Party's obligations under this Agreement or any Other Document in respect of Swap Obligations (provided, however, that each Qualified ECP Loan Party shall only be liable under this Section 6.15 for the maximum amount of such liability that can be hereby incurred without rendering its obligations under this Section 6.15, or otherwise under this Agreement or any Other Document, voidable under applicable law, including applicable law relating to fraudulent conveyance or fraudulent transfer, and not for any greater amount). The obligations of each Qualified ECP Loan Party under this Section 6.15 shall remain in full force and effect until payment in full of the Obligations and termination of this Agreement and the Other Documents. Each Qualified ECP Loan Party intends that this Section 6.15 constitute, and this Section 6.15 shall be deemed to constitute, a guarantee of the obligations of, and a "keepwell, support, or other agreement" for the benefit of each other Borrower and Guarantor for all purposes of Section 1a(18(A)(v)(II) of the CEA.</w:t>
      </w:r>
    </w:p>
    <w:p>
      <w:pPr>
        <w:spacing w:after="0" w:line="178" w:lineRule="exact"/>
        <w:rPr>
          <w:sz w:val="20"/>
          <w:szCs w:val="20"/>
          <w:color w:val="auto"/>
        </w:rPr>
      </w:pPr>
    </w:p>
    <w:p>
      <w:pPr>
        <w:jc w:val="both"/>
        <w:ind w:firstLine="1497"/>
        <w:spacing w:after="0" w:line="235" w:lineRule="auto"/>
        <w:rPr>
          <w:sz w:val="20"/>
          <w:szCs w:val="20"/>
          <w:color w:val="auto"/>
        </w:rPr>
      </w:pPr>
      <w:r>
        <w:rPr>
          <w:rFonts w:ascii="Times New Roman" w:cs="Times New Roman" w:eastAsia="Times New Roman" w:hAnsi="Times New Roman"/>
          <w:sz w:val="22"/>
          <w:szCs w:val="22"/>
          <w:b w:val="1"/>
          <w:bCs w:val="1"/>
          <w:u w:val="single" w:color="auto"/>
          <w:color w:val="auto"/>
        </w:rPr>
        <w:t>Certificate of Beneficial Ownership</w:t>
      </w:r>
      <w:r>
        <w:rPr>
          <w:rFonts w:ascii="Times New Roman" w:cs="Times New Roman" w:eastAsia="Times New Roman" w:hAnsi="Times New Roman"/>
          <w:sz w:val="22"/>
          <w:szCs w:val="22"/>
          <w:b w:val="1"/>
          <w:bCs w:val="1"/>
          <w:i w:val="1"/>
          <w:iCs w:val="1"/>
          <w:color w:val="auto"/>
        </w:rPr>
        <w:t>.</w:t>
      </w:r>
      <w:r>
        <w:rPr>
          <w:rFonts w:ascii="Times New Roman" w:cs="Times New Roman" w:eastAsia="Times New Roman" w:hAnsi="Times New Roman"/>
          <w:sz w:val="22"/>
          <w:szCs w:val="22"/>
          <w:b w:val="1"/>
          <w:bCs w:val="1"/>
          <w:color w:val="auto"/>
        </w:rPr>
        <w:t xml:space="preserve"> Provide to Agent and the Lenders: (i) upon request, confirmation of the accuracy of the information set forth in the most recent Certificate of Beneficial Ownership provided to the Agent and Lenders; (ii) a new Certificate of Beneficial Ownership, in form and substance acceptable to Agent and each Lenders, when the individual(s) to be identified as a Beneficial Owner have changed; and (iii) such other information and documentation as may reasonably be requested by Agent or any Lender from time to time for purposes of compliance by Agent or such Lender with applicable laws (including without limitation the Beneficial Owner Regulation, the USA PATRIOT Act and other "know your customer" and anti-money laundering rules and regulations), and any policy or procedure implemented by Agent or such Lender to comply therewith.</w:t>
      </w:r>
    </w:p>
    <w:p>
      <w:pPr>
        <w:spacing w:after="0" w:line="17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b w:val="1"/>
          <w:bCs w:val="1"/>
          <w:u w:val="single" w:color="auto"/>
          <w:color w:val="auto"/>
        </w:rPr>
        <w:t>Post-Closing Covenants</w:t>
      </w:r>
      <w:r>
        <w:rPr>
          <w:rFonts w:ascii="Times New Roman" w:cs="Times New Roman" w:eastAsia="Times New Roman" w:hAnsi="Times New Roman"/>
          <w:sz w:val="22"/>
          <w:szCs w:val="22"/>
          <w:b w:val="1"/>
          <w:bCs w:val="1"/>
          <w:i w:val="1"/>
          <w:iCs w:val="1"/>
          <w:color w:val="auto"/>
        </w:rPr>
        <w:t>.</w:t>
      </w:r>
      <w:r>
        <w:rPr>
          <w:rFonts w:ascii="Times New Roman" w:cs="Times New Roman" w:eastAsia="Times New Roman" w:hAnsi="Times New Roman"/>
          <w:sz w:val="22"/>
          <w:szCs w:val="22"/>
          <w:b w:val="1"/>
          <w:bCs w:val="1"/>
          <w:color w:val="auto"/>
        </w:rPr>
        <w:t xml:space="preserve"> Covenants and agrees to fulfill the obligations set forth on Schedule 6.17.</w:t>
      </w:r>
    </w:p>
    <w:p>
      <w:pPr>
        <w:spacing w:after="0" w:line="20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b w:val="1"/>
          <w:bCs w:val="1"/>
          <w:color w:val="auto"/>
        </w:rPr>
        <w:t>NEGATIVE COVENANTS.</w:t>
      </w:r>
    </w:p>
    <w:p>
      <w:pPr>
        <w:spacing w:after="0" w:line="214" w:lineRule="exact"/>
        <w:rPr>
          <w:sz w:val="20"/>
          <w:szCs w:val="20"/>
          <w:color w:val="auto"/>
        </w:rPr>
      </w:pPr>
    </w:p>
    <w:p>
      <w:pPr>
        <w:jc w:val="both"/>
        <w:ind w:firstLine="749"/>
        <w:spacing w:after="0" w:line="295" w:lineRule="auto"/>
        <w:rPr>
          <w:sz w:val="20"/>
          <w:szCs w:val="20"/>
          <w:color w:val="auto"/>
        </w:rPr>
      </w:pPr>
      <w:r>
        <w:rPr>
          <w:rFonts w:ascii="Times New Roman" w:cs="Times New Roman" w:eastAsia="Times New Roman" w:hAnsi="Times New Roman"/>
          <w:sz w:val="22"/>
          <w:szCs w:val="22"/>
          <w:color w:val="auto"/>
        </w:rPr>
        <w:t>No Credit Party shall, or shall permit any Subsidiary (other than with respect to any Strategic Joint Venture) to, until payment in full of the Obligations and termination of this Agreement:</w:t>
      </w:r>
    </w:p>
    <w:p>
      <w:pPr>
        <w:spacing w:after="0" w:line="12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b w:val="1"/>
          <w:bCs w:val="1"/>
          <w:u w:val="single" w:color="auto"/>
          <w:color w:val="auto"/>
        </w:rPr>
        <w:t>Merger, Consolidation, Acquisition and Sale of Assets</w:t>
      </w:r>
      <w:r>
        <w:rPr>
          <w:rFonts w:ascii="Times New Roman" w:cs="Times New Roman" w:eastAsia="Times New Roman" w:hAnsi="Times New Roman"/>
          <w:sz w:val="22"/>
          <w:szCs w:val="22"/>
          <w:b w:val="1"/>
          <w:bCs w:val="1"/>
          <w:color w:val="auto"/>
        </w:rPr>
        <w:t>.</w:t>
      </w:r>
    </w:p>
    <w:p>
      <w:pPr>
        <w:spacing w:after="0" w:line="210"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color w:val="auto"/>
        </w:rPr>
        <w:t>Enter into any merger, consolidation or other reorganization with or into any other Person or acquire all or a substantial portion of the assets or Equity Interests of any Person or permit any other Person to consolidate with or merge with it, except (i) any Borrower may merge, consolidate or reorganize with another Credit Party (provided that such Borrower is the surviving entity of such merger, consolidation or reorganization) or a Borrower may acquire the assets or Equity Interest of another Credit Party so long as such Borrower provides Agent with five (5)</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75" w:name="page176"/>
    <w:bookmarkEnd w:id="175"/>
    <w:p>
      <w:pPr>
        <w:jc w:val="both"/>
        <w:spacing w:after="0" w:line="236" w:lineRule="auto"/>
        <w:rPr>
          <w:sz w:val="20"/>
          <w:szCs w:val="20"/>
          <w:color w:val="auto"/>
        </w:rPr>
      </w:pPr>
      <w:r>
        <w:rPr>
          <w:rFonts w:ascii="Times New Roman" w:cs="Times New Roman" w:eastAsia="Times New Roman" w:hAnsi="Times New Roman"/>
          <w:sz w:val="22"/>
          <w:szCs w:val="22"/>
          <w:color w:val="auto"/>
        </w:rPr>
        <w:t>Business Days prior written notice of such merger, consolidation or reorganization and delivers all of the relevant documents evidencing such merger, consolidation or reorganization and takes all necessary actions to redocument the Documented Vessels if necessary as a result of such merger, consolidation or reorganization, (ii) any Subsidiary of a Borrower that is not a Credit Party may merge or consolidate with a Credit Party if such Credit Party is the surviving entity, (iii) Permitted Acquisitions, (iv) Permitted Dispositions, and (v) any Subsidiary of GLDD may be dissolved or liquidated in the Ordinary Course of Business if it is no longer used or useful in the business.</w:t>
      </w:r>
    </w:p>
    <w:p>
      <w:pPr>
        <w:spacing w:after="0" w:line="181" w:lineRule="exact"/>
        <w:rPr>
          <w:sz w:val="20"/>
          <w:szCs w:val="20"/>
          <w:color w:val="auto"/>
        </w:rPr>
      </w:pPr>
    </w:p>
    <w:p>
      <w:pPr>
        <w:jc w:val="both"/>
        <w:ind w:firstLine="1497"/>
        <w:spacing w:after="0" w:line="235" w:lineRule="auto"/>
        <w:rPr>
          <w:sz w:val="20"/>
          <w:szCs w:val="20"/>
          <w:color w:val="auto"/>
        </w:rPr>
      </w:pPr>
      <w:r>
        <w:rPr>
          <w:rFonts w:ascii="Times New Roman" w:cs="Times New Roman" w:eastAsia="Times New Roman" w:hAnsi="Times New Roman"/>
          <w:sz w:val="22"/>
          <w:szCs w:val="22"/>
          <w:color w:val="auto"/>
        </w:rPr>
        <w:t>Sell, lease, transfer or otherwise dispose of any of its properties or assets, except Permitted Dispositions and Permitted Investments. For purposes of clarification, each of the following shall constitute the disposition of the applicable assets: (a) the sale or other disposition for value of any contracts, (b) the early termination or modification of any contract resulting in the receipt by any Credit Party of a cash payment or other consideration in exchange for such event (other than payments in the ordinary course for accrued and unpaid amounts due through the date of termination or modification), or (c) any sale of merchant accounts (or any rights thereto, including, without limitation, any rights to any residual payment stream with respect thereto) by any Credit Party.</w:t>
      </w:r>
    </w:p>
    <w:p>
      <w:pPr>
        <w:spacing w:after="0" w:line="183" w:lineRule="exact"/>
        <w:rPr>
          <w:sz w:val="20"/>
          <w:szCs w:val="20"/>
          <w:color w:val="auto"/>
        </w:rPr>
      </w:pPr>
    </w:p>
    <w:p>
      <w:pPr>
        <w:jc w:val="both"/>
        <w:ind w:firstLine="1497"/>
        <w:spacing w:after="0" w:line="235" w:lineRule="auto"/>
        <w:rPr>
          <w:sz w:val="20"/>
          <w:szCs w:val="20"/>
          <w:color w:val="auto"/>
        </w:rPr>
      </w:pPr>
      <w:r>
        <w:rPr>
          <w:rFonts w:ascii="Times New Roman" w:cs="Times New Roman" w:eastAsia="Times New Roman" w:hAnsi="Times New Roman"/>
          <w:sz w:val="22"/>
          <w:szCs w:val="22"/>
          <w:color w:val="auto"/>
        </w:rPr>
        <w:t>Notwithstanding anything herein or any Other Document to the contrary, no Credit Party that is a limited liability company may divide itself into two or more limited liability companies (pursuant to a "plan of division" as contemplated under the Delaware Limited Liability Company Act or otherwise) without the prior written consent of Agent (such consent not to be unreasonably withheld), and in the event that any Credit Party that is a limited liability company divides itself into two or more limited liability companies (with or without the prior consent of Agent as required above), any limited liability companies formed as a result of such division shall be required to comply with the obligations set forth in Sections 6.11 and 7.12 and the other further assurances obligations set forth in the Other Documents and become a Borrower or Guarantor (as required by Agent) under this Agreement and the Other Documents.</w:t>
      </w:r>
    </w:p>
    <w:p>
      <w:pPr>
        <w:spacing w:after="0" w:line="174" w:lineRule="exact"/>
        <w:rPr>
          <w:sz w:val="20"/>
          <w:szCs w:val="20"/>
          <w:color w:val="auto"/>
        </w:rPr>
      </w:pPr>
    </w:p>
    <w:p>
      <w:pPr>
        <w:jc w:val="both"/>
        <w:ind w:firstLine="1497"/>
        <w:spacing w:after="0" w:line="262" w:lineRule="auto"/>
        <w:rPr>
          <w:sz w:val="20"/>
          <w:szCs w:val="20"/>
          <w:color w:val="auto"/>
        </w:rPr>
      </w:pPr>
      <w:r>
        <w:rPr>
          <w:rFonts w:ascii="Times New Roman" w:cs="Times New Roman" w:eastAsia="Times New Roman" w:hAnsi="Times New Roman"/>
          <w:sz w:val="22"/>
          <w:szCs w:val="22"/>
          <w:b w:val="1"/>
          <w:bCs w:val="1"/>
          <w:u w:val="single" w:color="auto"/>
          <w:color w:val="auto"/>
        </w:rPr>
        <w:t>Creation of Liens</w:t>
      </w:r>
      <w:r>
        <w:rPr>
          <w:rFonts w:ascii="Times New Roman" w:cs="Times New Roman" w:eastAsia="Times New Roman" w:hAnsi="Times New Roman"/>
          <w:sz w:val="22"/>
          <w:szCs w:val="22"/>
          <w:b w:val="1"/>
          <w:bCs w:val="1"/>
          <w:color w:val="auto"/>
        </w:rPr>
        <w:t>. Create or suffer to exist any Lien or transfer upon or against any of its property or assets now owned or hereafter created or acquired, except Permitted Encumbrances.</w:t>
      </w:r>
    </w:p>
    <w:p>
      <w:pPr>
        <w:spacing w:after="0" w:line="150" w:lineRule="exact"/>
        <w:rPr>
          <w:sz w:val="20"/>
          <w:szCs w:val="20"/>
          <w:color w:val="auto"/>
        </w:rPr>
      </w:pPr>
    </w:p>
    <w:p>
      <w:pPr>
        <w:jc w:val="both"/>
        <w:ind w:firstLine="1497"/>
        <w:spacing w:after="0" w:line="246" w:lineRule="auto"/>
        <w:rPr>
          <w:sz w:val="20"/>
          <w:szCs w:val="20"/>
          <w:color w:val="auto"/>
        </w:rPr>
      </w:pPr>
      <w:r>
        <w:rPr>
          <w:rFonts w:ascii="Times New Roman" w:cs="Times New Roman" w:eastAsia="Times New Roman" w:hAnsi="Times New Roman"/>
          <w:sz w:val="22"/>
          <w:szCs w:val="22"/>
          <w:b w:val="1"/>
          <w:bCs w:val="1"/>
          <w:u w:val="single" w:color="auto"/>
          <w:color w:val="auto"/>
        </w:rPr>
        <w:t>Immaterial Subsidiaries</w:t>
      </w:r>
      <w:r>
        <w:rPr>
          <w:rFonts w:ascii="Times New Roman" w:cs="Times New Roman" w:eastAsia="Times New Roman" w:hAnsi="Times New Roman"/>
          <w:sz w:val="22"/>
          <w:szCs w:val="22"/>
          <w:b w:val="1"/>
          <w:bCs w:val="1"/>
          <w:color w:val="auto"/>
        </w:rPr>
        <w:t>. Permit any Immaterial Subsidiary to (a) own any assets (other than assets of a de minimis value and nature and not used in the operation of the business of the Credit Parties), (b) have any liabilities (other than liabilities of a de minimis nature), or (c) engage in any business activity.</w:t>
      </w:r>
    </w:p>
    <w:p>
      <w:pPr>
        <w:spacing w:after="0" w:line="167" w:lineRule="exact"/>
        <w:rPr>
          <w:sz w:val="20"/>
          <w:szCs w:val="20"/>
          <w:color w:val="auto"/>
        </w:rPr>
      </w:pPr>
    </w:p>
    <w:p>
      <w:pPr>
        <w:jc w:val="both"/>
        <w:ind w:firstLine="1497"/>
        <w:spacing w:after="0" w:line="262" w:lineRule="auto"/>
        <w:rPr>
          <w:sz w:val="20"/>
          <w:szCs w:val="20"/>
          <w:color w:val="auto"/>
        </w:rPr>
      </w:pPr>
      <w:r>
        <w:rPr>
          <w:rFonts w:ascii="Times New Roman" w:cs="Times New Roman" w:eastAsia="Times New Roman" w:hAnsi="Times New Roman"/>
          <w:sz w:val="22"/>
          <w:szCs w:val="22"/>
          <w:b w:val="1"/>
          <w:bCs w:val="1"/>
          <w:u w:val="single" w:color="auto"/>
          <w:color w:val="auto"/>
        </w:rPr>
        <w:t>Investments</w:t>
      </w:r>
      <w:r>
        <w:rPr>
          <w:rFonts w:ascii="Times New Roman" w:cs="Times New Roman" w:eastAsia="Times New Roman" w:hAnsi="Times New Roman"/>
          <w:sz w:val="22"/>
          <w:szCs w:val="22"/>
          <w:b w:val="1"/>
          <w:bCs w:val="1"/>
          <w:color w:val="auto"/>
        </w:rPr>
        <w:t>. Purchase or acquire obligations or Equity Interests of, or any other interest in, any Person, other than Permitted Investments.</w:t>
      </w:r>
    </w:p>
    <w:p>
      <w:pPr>
        <w:spacing w:after="0" w:line="14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i w:val="1"/>
          <w:iCs w:val="1"/>
          <w:color w:val="auto"/>
        </w:rPr>
        <w:t>Intentionally Omitted</w:t>
      </w:r>
      <w:r>
        <w:rPr>
          <w:rFonts w:ascii="Times New Roman" w:cs="Times New Roman" w:eastAsia="Times New Roman" w:hAnsi="Times New Roman"/>
          <w:sz w:val="22"/>
          <w:szCs w:val="22"/>
          <w:b w:val="1"/>
          <w:bCs w:val="1"/>
          <w:color w:val="auto"/>
        </w:rPr>
        <w:t>].</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i w:val="1"/>
          <w:iCs w:val="1"/>
          <w:color w:val="auto"/>
        </w:rPr>
        <w:t>Intentionally Omitted</w:t>
      </w:r>
      <w:r>
        <w:rPr>
          <w:rFonts w:ascii="Times New Roman" w:cs="Times New Roman" w:eastAsia="Times New Roman" w:hAnsi="Times New Roman"/>
          <w:sz w:val="22"/>
          <w:szCs w:val="22"/>
          <w:b w:val="1"/>
          <w:bCs w:val="1"/>
          <w:color w:val="auto"/>
        </w:rPr>
        <w:t>].</w:t>
      </w:r>
    </w:p>
    <w:p>
      <w:pPr>
        <w:spacing w:after="0" w:line="208" w:lineRule="exact"/>
        <w:rPr>
          <w:sz w:val="20"/>
          <w:szCs w:val="20"/>
          <w:color w:val="auto"/>
        </w:rPr>
      </w:pPr>
    </w:p>
    <w:p>
      <w:pPr>
        <w:ind w:left="1500"/>
        <w:spacing w:after="0"/>
        <w:tabs>
          <w:tab w:leader="none" w:pos="3760" w:val="left"/>
        </w:tabs>
        <w:rPr>
          <w:sz w:val="20"/>
          <w:szCs w:val="20"/>
          <w:color w:val="auto"/>
        </w:rPr>
      </w:pPr>
      <w:r>
        <w:rPr>
          <w:rFonts w:ascii="Times New Roman" w:cs="Times New Roman" w:eastAsia="Times New Roman" w:hAnsi="Times New Roman"/>
          <w:sz w:val="22"/>
          <w:szCs w:val="22"/>
          <w:b w:val="1"/>
          <w:bCs w:val="1"/>
          <w:u w:val="single" w:color="auto"/>
          <w:color w:val="auto"/>
        </w:rPr>
        <w:t>Restricted Payments</w:t>
      </w:r>
      <w:r>
        <w:rPr>
          <w:rFonts w:ascii="Times New Roman" w:cs="Times New Roman" w:eastAsia="Times New Roman" w:hAnsi="Times New Roman"/>
          <w:sz w:val="22"/>
          <w:szCs w:val="22"/>
          <w:b w:val="1"/>
          <w:bCs w:val="1"/>
          <w:color w:val="auto"/>
        </w:rPr>
        <w:t>.</w:t>
      </w:r>
      <w:r>
        <w:rPr>
          <w:sz w:val="20"/>
          <w:szCs w:val="20"/>
          <w:color w:val="auto"/>
        </w:rPr>
        <w:tab/>
      </w:r>
      <w:r>
        <w:rPr>
          <w:rFonts w:ascii="Times New Roman" w:cs="Times New Roman" w:eastAsia="Times New Roman" w:hAnsi="Times New Roman"/>
          <w:sz w:val="22"/>
          <w:szCs w:val="22"/>
          <w:b w:val="1"/>
          <w:bCs w:val="1"/>
          <w:color w:val="auto"/>
        </w:rPr>
        <w:t>Declare, pay or make any Restricted Payment except Permitted Restricted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Payments.</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76" w:name="page177"/>
    <w:bookmarkEnd w:id="176"/>
    <w:p>
      <w:pPr>
        <w:ind w:left="1500"/>
        <w:spacing w:after="0"/>
        <w:tabs>
          <w:tab w:leader="none" w:pos="3040" w:val="left"/>
        </w:tabs>
        <w:rPr>
          <w:sz w:val="20"/>
          <w:szCs w:val="20"/>
          <w:color w:val="auto"/>
        </w:rPr>
      </w:pPr>
      <w:r>
        <w:rPr>
          <w:rFonts w:ascii="Times New Roman" w:cs="Times New Roman" w:eastAsia="Times New Roman" w:hAnsi="Times New Roman"/>
          <w:sz w:val="22"/>
          <w:szCs w:val="22"/>
          <w:b w:val="1"/>
          <w:bCs w:val="1"/>
          <w:u w:val="single" w:color="auto"/>
          <w:color w:val="auto"/>
        </w:rPr>
        <w:t>Indebtedness</w:t>
      </w:r>
      <w:r>
        <w:rPr>
          <w:rFonts w:ascii="Times New Roman" w:cs="Times New Roman" w:eastAsia="Times New Roman" w:hAnsi="Times New Roman"/>
          <w:sz w:val="22"/>
          <w:szCs w:val="22"/>
          <w:b w:val="1"/>
          <w:bCs w:val="1"/>
          <w:color w:val="auto"/>
        </w:rPr>
        <w:t>.</w:t>
      </w:r>
      <w:r>
        <w:rPr>
          <w:sz w:val="20"/>
          <w:szCs w:val="20"/>
          <w:color w:val="auto"/>
        </w:rPr>
        <w:tab/>
      </w:r>
      <w:r>
        <w:rPr>
          <w:rFonts w:ascii="Times New Roman" w:cs="Times New Roman" w:eastAsia="Times New Roman" w:hAnsi="Times New Roman"/>
          <w:sz w:val="22"/>
          <w:szCs w:val="22"/>
          <w:b w:val="1"/>
          <w:bCs w:val="1"/>
          <w:color w:val="auto"/>
        </w:rPr>
        <w:t>Create, incur, assume or suffer to exist any Indebtedness other than Permitted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Indebtedness.</w:t>
      </w:r>
    </w:p>
    <w:p>
      <w:pPr>
        <w:spacing w:after="0" w:line="178" w:lineRule="exact"/>
        <w:rPr>
          <w:sz w:val="20"/>
          <w:szCs w:val="20"/>
          <w:color w:val="auto"/>
        </w:rPr>
      </w:pPr>
    </w:p>
    <w:p>
      <w:pPr>
        <w:jc w:val="both"/>
        <w:ind w:firstLine="1497"/>
        <w:spacing w:after="0" w:line="241" w:lineRule="auto"/>
        <w:rPr>
          <w:sz w:val="20"/>
          <w:szCs w:val="20"/>
          <w:color w:val="auto"/>
        </w:rPr>
      </w:pPr>
      <w:r>
        <w:rPr>
          <w:rFonts w:ascii="Times New Roman" w:cs="Times New Roman" w:eastAsia="Times New Roman" w:hAnsi="Times New Roman"/>
          <w:sz w:val="22"/>
          <w:szCs w:val="22"/>
          <w:b w:val="1"/>
          <w:bCs w:val="1"/>
          <w:u w:val="single" w:color="auto"/>
          <w:color w:val="auto"/>
        </w:rPr>
        <w:t>Nature of Business</w:t>
      </w:r>
      <w:r>
        <w:rPr>
          <w:rFonts w:ascii="Times New Roman" w:cs="Times New Roman" w:eastAsia="Times New Roman" w:hAnsi="Times New Roman"/>
          <w:sz w:val="22"/>
          <w:szCs w:val="22"/>
          <w:b w:val="1"/>
          <w:bCs w:val="1"/>
          <w:color w:val="auto"/>
        </w:rPr>
        <w:t>. Substantially change the nature of the business in which it is presently engaged, nor except as specifically permitted hereby or businesses related or incidental thereto, purchase or invest, directly or indirectly, in any assets or property other than in the Ordinary Course of Business for assets or property which are useful in, necessary for and are to be used in its business as presently conducted.</w:t>
      </w:r>
    </w:p>
    <w:p>
      <w:pPr>
        <w:spacing w:after="0" w:line="172" w:lineRule="exact"/>
        <w:rPr>
          <w:sz w:val="20"/>
          <w:szCs w:val="20"/>
          <w:color w:val="auto"/>
        </w:rPr>
      </w:pPr>
    </w:p>
    <w:p>
      <w:pPr>
        <w:jc w:val="both"/>
        <w:ind w:firstLine="1497"/>
        <w:spacing w:after="0" w:line="263" w:lineRule="auto"/>
        <w:rPr>
          <w:sz w:val="20"/>
          <w:szCs w:val="20"/>
          <w:color w:val="auto"/>
        </w:rPr>
      </w:pPr>
      <w:r>
        <w:rPr>
          <w:rFonts w:ascii="Times New Roman" w:cs="Times New Roman" w:eastAsia="Times New Roman" w:hAnsi="Times New Roman"/>
          <w:sz w:val="21"/>
          <w:szCs w:val="21"/>
          <w:b w:val="1"/>
          <w:bCs w:val="1"/>
          <w:u w:val="single" w:color="auto"/>
          <w:color w:val="auto"/>
        </w:rPr>
        <w:t>Transactions with Affiliates</w:t>
      </w:r>
      <w:r>
        <w:rPr>
          <w:rFonts w:ascii="Times New Roman" w:cs="Times New Roman" w:eastAsia="Times New Roman" w:hAnsi="Times New Roman"/>
          <w:sz w:val="21"/>
          <w:szCs w:val="21"/>
          <w:b w:val="1"/>
          <w:bCs w:val="1"/>
          <w:color w:val="auto"/>
        </w:rPr>
        <w:t>. Directly or indirectly enter into any transaction, including, without limitation, any purchase, sale, lease or exchange of Property, the rendering of any service or the payment of any management, advisory or similar fees, with any officer or other Affiliate of, GLDD or any of its Subsidiaries, other than:</w:t>
      </w:r>
    </w:p>
    <w:p>
      <w:pPr>
        <w:spacing w:after="0" w:line="15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any transaction among the Credit Parties;</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transactions permitted by Sections 7.1, 7.4, 7.7, 7.8 and 7.11;</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transactions existing on the Amendment No. 2 Closing Date and described on Schedule 7.10;</w:t>
      </w:r>
    </w:p>
    <w:p>
      <w:pPr>
        <w:spacing w:after="0" w:line="206"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color w:val="auto"/>
        </w:rPr>
        <w:t xml:space="preserve">other transactions in the Ordinary Course of Business on terms as favorable as would be obtained by it on a comparable arm's-length transaction with an independent, unrelated third party;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in the case of any such transaction involving aggregate consideration or property having a fair market value in excess of the Threshold Amount, such transaction shall have been determined in good faith by the board of directors (or equivalent governing body) of GLDD as having satisfied the standard described in this clause (d);</w:t>
      </w:r>
    </w:p>
    <w:p>
      <w:pPr>
        <w:spacing w:after="0" w:line="177"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any employment or severance agreement, compensation, employee benefit arrangements and incentive arrangements or indemnification agreement or arrangement with any officer, director, member or employee entered into by GLDD or any of its Subsidiaries in the Ordinary Course of Business;</w:t>
      </w:r>
    </w:p>
    <w:p>
      <w:pPr>
        <w:spacing w:after="0" w:line="173"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payment of reasonable directors' fees and customary indemnification agreements with directors, members, officers and employees of GLDD and its Subsidiaries and reasonable out-of-pocket costs of such Persons may be reimbursed;</w:t>
      </w:r>
    </w:p>
    <w:p>
      <w:pPr>
        <w:spacing w:after="0" w:line="158" w:lineRule="exact"/>
        <w:rPr>
          <w:sz w:val="20"/>
          <w:szCs w:val="20"/>
          <w:color w:val="auto"/>
        </w:rPr>
      </w:pPr>
    </w:p>
    <w:p>
      <w:pPr>
        <w:jc w:val="both"/>
        <w:ind w:right="20" w:firstLine="1497"/>
        <w:spacing w:after="0" w:line="258" w:lineRule="auto"/>
        <w:rPr>
          <w:sz w:val="20"/>
          <w:szCs w:val="20"/>
          <w:color w:val="auto"/>
        </w:rPr>
      </w:pPr>
      <w:r>
        <w:rPr>
          <w:rFonts w:ascii="Times New Roman" w:cs="Times New Roman" w:eastAsia="Times New Roman" w:hAnsi="Times New Roman"/>
          <w:sz w:val="22"/>
          <w:szCs w:val="22"/>
          <w:color w:val="auto"/>
        </w:rPr>
        <w:t>loans and advances to officers, directors and employees of the GLDD any Subsidiary for travel, entertainment, moving and other relocation expenses, in each case made in the Ordinary Course of Business;</w:t>
      </w:r>
    </w:p>
    <w:p>
      <w:pPr>
        <w:spacing w:after="0" w:line="15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any transaction between Subsidiaries that are not Credit Parties;</w:t>
      </w:r>
    </w:p>
    <w:p>
      <w:pPr>
        <w:spacing w:after="0" w:line="206"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transactions between GLDD or any of its Subsidiaries and any Person that is an Affiliate solely due to the fact that a director of such Person is also a director of GLDD, provided that such director abstains from voting as a director of GLDD on any matter involving such other Person; and</w:t>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77" w:name="page178"/>
    <w:bookmarkEnd w:id="177"/>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transactions between GLDD or any of its Subsidiaries and a Strategic Joint Venture, in each case to the extent expressly permitted under this Agreement.</w:t>
      </w:r>
    </w:p>
    <w:p>
      <w:pPr>
        <w:spacing w:after="0" w:line="16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22"/>
          <w:szCs w:val="22"/>
          <w:color w:val="auto"/>
        </w:rPr>
        <w:t>Notwithstanding anything contained in this Agreement or any of the Other Documents to the contrary, no Credit Party shall make an Investment in, sell, lease, license, assign, contribute or otherwise transfer any assets to, make any distributions or payments to, or otherwise engage in, or enter into, any transaction with, any Immaterial Subsidiary, which involves in excess of $100,000 in any fiscal year for all such Investments, transfers, distributions, payments and transactions with all Immaterial Subsidiaries.</w:t>
      </w:r>
    </w:p>
    <w:p>
      <w:pPr>
        <w:spacing w:after="0" w:line="16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i w:val="1"/>
          <w:iCs w:val="1"/>
          <w:color w:val="auto"/>
        </w:rPr>
        <w:t>Intentionally Omitted</w:t>
      </w:r>
      <w:r>
        <w:rPr>
          <w:rFonts w:ascii="Times New Roman" w:cs="Times New Roman" w:eastAsia="Times New Roman" w:hAnsi="Times New Roman"/>
          <w:sz w:val="22"/>
          <w:szCs w:val="22"/>
          <w:b w:val="1"/>
          <w:bCs w:val="1"/>
          <w:color w:val="auto"/>
        </w:rPr>
        <w:t>].</w:t>
      </w:r>
    </w:p>
    <w:p>
      <w:pPr>
        <w:spacing w:after="0" w:line="208" w:lineRule="exact"/>
        <w:rPr>
          <w:sz w:val="20"/>
          <w:szCs w:val="20"/>
          <w:color w:val="auto"/>
        </w:rPr>
      </w:pPr>
    </w:p>
    <w:p>
      <w:pPr>
        <w:jc w:val="both"/>
        <w:ind w:firstLine="1497"/>
        <w:spacing w:after="0" w:line="234" w:lineRule="auto"/>
        <w:rPr>
          <w:sz w:val="20"/>
          <w:szCs w:val="20"/>
          <w:color w:val="auto"/>
        </w:rPr>
      </w:pPr>
      <w:r>
        <w:rPr>
          <w:rFonts w:ascii="Times New Roman" w:cs="Times New Roman" w:eastAsia="Times New Roman" w:hAnsi="Times New Roman"/>
          <w:sz w:val="22"/>
          <w:szCs w:val="22"/>
          <w:b w:val="1"/>
          <w:bCs w:val="1"/>
          <w:u w:val="single" w:color="auto"/>
          <w:color w:val="auto"/>
        </w:rPr>
        <w:t>Subsidiaries</w:t>
      </w:r>
      <w:r>
        <w:rPr>
          <w:rFonts w:ascii="Times New Roman" w:cs="Times New Roman" w:eastAsia="Times New Roman" w:hAnsi="Times New Roman"/>
          <w:sz w:val="22"/>
          <w:szCs w:val="22"/>
          <w:b w:val="1"/>
          <w:bCs w:val="1"/>
          <w:color w:val="auto"/>
        </w:rPr>
        <w:t>. Form any Domestic Subsidiary or acquire any Domestic Subsidiary unless (i) in the case of an acquisition, such acquisition is a Permitted Acquisition, and (ii) in each case, such Domestic Subsidiary (other than a Strategic Joint Venture) expressly joins in this Agreement as a borrower and becomes jointly and severally liable for the Obligations of Borrowers hereunder. Borrowers shall provide all documents, including without limitation, legal opinions and appraisals as Agent may reasonably require to establish compliance (1) with clause (b) of the definition of Permitted Acquisition or (2) concurrently with the delivery of financial statements for such fiscal quarter pursuant to Sections 9.7 or 9.8, with each of the foregoing conditions in connection therewith. Notwithstanding the foregoing, for the sake of clarity, no Person shall be joined as a borrower to the Agreement after the Closing Date unless and until each Lender has completed its "know your customer" diligence, including without limitation in respect of the Beneficial Owner Regulation and the USA PATRIOT Act.</w:t>
      </w:r>
    </w:p>
    <w:p>
      <w:pPr>
        <w:spacing w:after="0" w:line="179" w:lineRule="exact"/>
        <w:rPr>
          <w:sz w:val="20"/>
          <w:szCs w:val="20"/>
          <w:color w:val="auto"/>
        </w:rPr>
      </w:pPr>
    </w:p>
    <w:p>
      <w:pPr>
        <w:jc w:val="both"/>
        <w:ind w:right="20" w:firstLine="1497"/>
        <w:spacing w:after="0" w:line="246" w:lineRule="auto"/>
        <w:rPr>
          <w:sz w:val="20"/>
          <w:szCs w:val="20"/>
          <w:color w:val="auto"/>
        </w:rPr>
      </w:pPr>
      <w:r>
        <w:rPr>
          <w:rFonts w:ascii="Times New Roman" w:cs="Times New Roman" w:eastAsia="Times New Roman" w:hAnsi="Times New Roman"/>
          <w:sz w:val="22"/>
          <w:szCs w:val="22"/>
          <w:b w:val="1"/>
          <w:bCs w:val="1"/>
          <w:u w:val="single" w:color="auto"/>
          <w:color w:val="auto"/>
        </w:rPr>
        <w:t>Fiscal Year and Accounting Changes</w:t>
      </w:r>
      <w:r>
        <w:rPr>
          <w:rFonts w:ascii="Times New Roman" w:cs="Times New Roman" w:eastAsia="Times New Roman" w:hAnsi="Times New Roman"/>
          <w:sz w:val="22"/>
          <w:szCs w:val="22"/>
          <w:b w:val="1"/>
          <w:bCs w:val="1"/>
          <w:color w:val="auto"/>
        </w:rPr>
        <w:t>. Change its fiscal year from December 31 or make any significant change (i) in accounting treatment and reporting practices except as required or permitted by GAAP or (ii) in tax reporting treatment except as required by law.</w:t>
      </w:r>
    </w:p>
    <w:p>
      <w:pPr>
        <w:spacing w:after="0" w:line="167" w:lineRule="exact"/>
        <w:rPr>
          <w:sz w:val="20"/>
          <w:szCs w:val="20"/>
          <w:color w:val="auto"/>
        </w:rPr>
      </w:pPr>
    </w:p>
    <w:p>
      <w:pPr>
        <w:jc w:val="both"/>
        <w:ind w:firstLine="1497"/>
        <w:spacing w:after="0" w:line="246" w:lineRule="auto"/>
        <w:rPr>
          <w:sz w:val="20"/>
          <w:szCs w:val="20"/>
          <w:color w:val="auto"/>
        </w:rPr>
      </w:pPr>
      <w:r>
        <w:rPr>
          <w:rFonts w:ascii="Times New Roman" w:cs="Times New Roman" w:eastAsia="Times New Roman" w:hAnsi="Times New Roman"/>
          <w:sz w:val="22"/>
          <w:szCs w:val="22"/>
          <w:b w:val="1"/>
          <w:bCs w:val="1"/>
          <w:u w:val="single" w:color="auto"/>
          <w:color w:val="auto"/>
        </w:rPr>
        <w:t>Pledge of Credit</w:t>
      </w:r>
      <w:r>
        <w:rPr>
          <w:rFonts w:ascii="Times New Roman" w:cs="Times New Roman" w:eastAsia="Times New Roman" w:hAnsi="Times New Roman"/>
          <w:sz w:val="22"/>
          <w:szCs w:val="22"/>
          <w:b w:val="1"/>
          <w:bCs w:val="1"/>
          <w:color w:val="auto"/>
        </w:rPr>
        <w:t>. Now or hereafter pledge Agent's or any Lender's credit on any purchases, commitments or contracts or for any purpose whatsoever or use any portion of any Advance in or for any business other than such Credit Party's business operations as permitted by this Agreement.</w:t>
      </w:r>
    </w:p>
    <w:p>
      <w:pPr>
        <w:spacing w:after="0" w:line="167" w:lineRule="exact"/>
        <w:rPr>
          <w:sz w:val="20"/>
          <w:szCs w:val="20"/>
          <w:color w:val="auto"/>
        </w:rPr>
      </w:pPr>
    </w:p>
    <w:p>
      <w:pPr>
        <w:jc w:val="both"/>
        <w:ind w:firstLine="1497"/>
        <w:spacing w:after="0" w:line="234" w:lineRule="auto"/>
        <w:rPr>
          <w:sz w:val="20"/>
          <w:szCs w:val="20"/>
          <w:color w:val="auto"/>
        </w:rPr>
      </w:pPr>
      <w:r>
        <w:rPr>
          <w:rFonts w:ascii="Times New Roman" w:cs="Times New Roman" w:eastAsia="Times New Roman" w:hAnsi="Times New Roman"/>
          <w:sz w:val="22"/>
          <w:szCs w:val="22"/>
          <w:b w:val="1"/>
          <w:bCs w:val="1"/>
          <w:u w:val="single" w:color="auto"/>
          <w:color w:val="auto"/>
        </w:rPr>
        <w:t>Amendment of Organizational Documents</w:t>
      </w:r>
      <w:r>
        <w:rPr>
          <w:rFonts w:ascii="Times New Roman" w:cs="Times New Roman" w:eastAsia="Times New Roman" w:hAnsi="Times New Roman"/>
          <w:sz w:val="22"/>
          <w:szCs w:val="22"/>
          <w:b w:val="1"/>
          <w:bCs w:val="1"/>
          <w:color w:val="auto"/>
        </w:rPr>
        <w:t>. (i) Change its legal name, (ii) change its form of legal entity (e.g., converting from a corporation to a limited liability company or vice versa), (iii) change its jurisdiction of organization or become (or attempt or purport to become) organized in more than one jurisdiction, or (iv) otherwise amend, modify or waive any term or material provision of its Organizational Documents in a manner adverse to Lenders unless required by law, in any such case without (x) giving at least ten (10) days prior written notice of such intended change to Agent (which may be extended or waived in the sole discretion of the Agent), (y) having received from Agent confirmation that Agent has taken all steps necessary for Agent to continue the perfection of and protect the enforceability and priority of its Liens in the Collateral belonging to such Credit Party and in the Equity Interests of such Credit Party and (z) in any case under clause (iv), having received the prior written consent of Required Lenders to such amendment, modification or waiver.</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78" w:name="page179"/>
    <w:bookmarkEnd w:id="178"/>
    <w:p>
      <w:pPr>
        <w:jc w:val="both"/>
        <w:ind w:firstLine="1497"/>
        <w:spacing w:after="0" w:line="246" w:lineRule="auto"/>
        <w:rPr>
          <w:sz w:val="20"/>
          <w:szCs w:val="20"/>
          <w:color w:val="auto"/>
        </w:rPr>
      </w:pPr>
      <w:r>
        <w:rPr>
          <w:rFonts w:ascii="Times New Roman" w:cs="Times New Roman" w:eastAsia="Times New Roman" w:hAnsi="Times New Roman"/>
          <w:sz w:val="22"/>
          <w:szCs w:val="22"/>
          <w:b w:val="1"/>
          <w:bCs w:val="1"/>
          <w:u w:val="single" w:color="auto"/>
          <w:color w:val="auto"/>
        </w:rPr>
        <w:t>Deposit Accounts</w:t>
      </w:r>
      <w:r>
        <w:rPr>
          <w:rFonts w:ascii="Times New Roman" w:cs="Times New Roman" w:eastAsia="Times New Roman" w:hAnsi="Times New Roman"/>
          <w:sz w:val="22"/>
          <w:szCs w:val="22"/>
          <w:b w:val="1"/>
          <w:bCs w:val="1"/>
          <w:color w:val="auto"/>
        </w:rPr>
        <w:t xml:space="preserve">. Permit the aggregate balance in deposit accounts of the Credit Parties that are located outside of the United States to exceed $15,000,000 for more than five (5) consecutive Business Days; </w:t>
      </w:r>
      <w:r>
        <w:rPr>
          <w:rFonts w:ascii="Times New Roman" w:cs="Times New Roman" w:eastAsia="Times New Roman" w:hAnsi="Times New Roman"/>
          <w:sz w:val="22"/>
          <w:szCs w:val="22"/>
          <w:b w:val="1"/>
          <w:bCs w:val="1"/>
          <w:u w:val="single" w:color="auto"/>
          <w:color w:val="auto"/>
        </w:rPr>
        <w:t>provided</w:t>
      </w:r>
      <w:r>
        <w:rPr>
          <w:rFonts w:ascii="Times New Roman" w:cs="Times New Roman" w:eastAsia="Times New Roman" w:hAnsi="Times New Roman"/>
          <w:sz w:val="22"/>
          <w:szCs w:val="22"/>
          <w:b w:val="1"/>
          <w:bCs w:val="1"/>
          <w:color w:val="auto"/>
        </w:rPr>
        <w:t>, that such time may be extended in Agent's sole discretion for valid business purposes disclosed to Agent.</w:t>
      </w:r>
    </w:p>
    <w:p>
      <w:pPr>
        <w:spacing w:after="0" w:line="167" w:lineRule="exact"/>
        <w:rPr>
          <w:sz w:val="20"/>
          <w:szCs w:val="20"/>
          <w:color w:val="auto"/>
        </w:rPr>
      </w:pPr>
    </w:p>
    <w:p>
      <w:pPr>
        <w:jc w:val="both"/>
        <w:ind w:firstLine="1497"/>
        <w:spacing w:after="0" w:line="237" w:lineRule="auto"/>
        <w:rPr>
          <w:sz w:val="20"/>
          <w:szCs w:val="20"/>
          <w:color w:val="auto"/>
        </w:rPr>
      </w:pPr>
      <w:r>
        <w:rPr>
          <w:rFonts w:ascii="Times New Roman" w:cs="Times New Roman" w:eastAsia="Times New Roman" w:hAnsi="Times New Roman"/>
          <w:sz w:val="22"/>
          <w:szCs w:val="22"/>
          <w:b w:val="1"/>
          <w:bCs w:val="1"/>
          <w:u w:val="single" w:color="auto"/>
          <w:color w:val="auto"/>
        </w:rPr>
        <w:t>Prepayment of Indebtedness</w:t>
      </w:r>
      <w:r>
        <w:rPr>
          <w:rFonts w:ascii="Times New Roman" w:cs="Times New Roman" w:eastAsia="Times New Roman" w:hAnsi="Times New Roman"/>
          <w:sz w:val="22"/>
          <w:szCs w:val="22"/>
          <w:b w:val="1"/>
          <w:bCs w:val="1"/>
          <w:color w:val="auto"/>
        </w:rPr>
        <w:t xml:space="preserve">. At any time, directly or indirectly, prepay any Indebtedness (other than the Second Lien Loan), or repurchase, redeem, retire or otherwise acquire any Indebtedness of any Credit Party; </w:t>
      </w:r>
      <w:r>
        <w:rPr>
          <w:rFonts w:ascii="Times New Roman" w:cs="Times New Roman" w:eastAsia="Times New Roman" w:hAnsi="Times New Roman"/>
          <w:sz w:val="22"/>
          <w:szCs w:val="22"/>
          <w:b w:val="1"/>
          <w:bCs w:val="1"/>
          <w:u w:val="single" w:color="auto"/>
          <w:color w:val="auto"/>
        </w:rPr>
        <w:t>provided</w:t>
      </w:r>
      <w:r>
        <w:rPr>
          <w:rFonts w:ascii="Times New Roman" w:cs="Times New Roman" w:eastAsia="Times New Roman" w:hAnsi="Times New Roman"/>
          <w:sz w:val="22"/>
          <w:szCs w:val="22"/>
          <w:b w:val="1"/>
          <w:bCs w:val="1"/>
          <w:color w:val="auto"/>
        </w:rPr>
        <w:t xml:space="preserve">, that Credit Parties and their Subsidiaries may prepay any Indebtedness (other than the Second Lien Loan) so long as after giving effect thereto the Payment Conditions are satisfied; </w:t>
      </w:r>
      <w:r>
        <w:rPr>
          <w:rFonts w:ascii="Times New Roman" w:cs="Times New Roman" w:eastAsia="Times New Roman" w:hAnsi="Times New Roman"/>
          <w:sz w:val="22"/>
          <w:szCs w:val="22"/>
          <w:b w:val="1"/>
          <w:bCs w:val="1"/>
          <w:u w:val="single" w:color="auto"/>
          <w:color w:val="auto"/>
        </w:rPr>
        <w:t>provided</w:t>
      </w:r>
      <w:r>
        <w:rPr>
          <w:rFonts w:ascii="Times New Roman" w:cs="Times New Roman" w:eastAsia="Times New Roman" w:hAnsi="Times New Roman"/>
          <w:sz w:val="22"/>
          <w:szCs w:val="22"/>
          <w:b w:val="1"/>
          <w:bCs w:val="1"/>
          <w:color w:val="auto"/>
        </w:rPr>
        <w:t xml:space="preserve"> further, that Credit Parties and their Subsidiaries may prepay any Note Indenture Obligations in connection with a Permitted Note Refinancing so long as such prepayment does not constitute a Restricted Payment.</w:t>
      </w:r>
    </w:p>
    <w:p>
      <w:pPr>
        <w:spacing w:after="0" w:line="175" w:lineRule="exact"/>
        <w:rPr>
          <w:sz w:val="20"/>
          <w:szCs w:val="20"/>
          <w:color w:val="auto"/>
        </w:rPr>
      </w:pPr>
    </w:p>
    <w:p>
      <w:pPr>
        <w:jc w:val="both"/>
        <w:ind w:firstLine="1505"/>
        <w:spacing w:after="0" w:line="235" w:lineRule="auto"/>
        <w:tabs>
          <w:tab w:leader="none" w:pos="1943" w:val="left"/>
        </w:tabs>
        <w:numPr>
          <w:ilvl w:val="0"/>
          <w:numId w:val="11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Second Lien Loan</w:t>
      </w:r>
      <w:r>
        <w:rPr>
          <w:rFonts w:ascii="Times New Roman" w:cs="Times New Roman" w:eastAsia="Times New Roman" w:hAnsi="Times New Roman"/>
          <w:sz w:val="22"/>
          <w:szCs w:val="22"/>
          <w:b w:val="1"/>
          <w:bCs w:val="1"/>
          <w:color w:val="auto"/>
        </w:rPr>
        <w:t xml:space="preserve">. At any time, directly or indirectly, pay, prepay, repurchase, redeem, retire or otherwise acquire, or make any payment on account of any principal of, interest on or premium payable in connection with the repayment or redemption of the Second Lien Loan to the extent expressly prohibited by the Intercreditor Agreement (Second Lien); </w:t>
      </w:r>
      <w:r>
        <w:rPr>
          <w:rFonts w:ascii="Times New Roman" w:cs="Times New Roman" w:eastAsia="Times New Roman" w:hAnsi="Times New Roman"/>
          <w:sz w:val="22"/>
          <w:szCs w:val="22"/>
          <w:b w:val="1"/>
          <w:bCs w:val="1"/>
          <w:u w:val="single" w:color="auto"/>
          <w:color w:val="auto"/>
        </w:rPr>
        <w:t>provided</w:t>
      </w:r>
      <w:r>
        <w:rPr>
          <w:rFonts w:ascii="Times New Roman" w:cs="Times New Roman" w:eastAsia="Times New Roman" w:hAnsi="Times New Roman"/>
          <w:sz w:val="22"/>
          <w:szCs w:val="22"/>
          <w:b w:val="1"/>
          <w:bCs w:val="1"/>
          <w:color w:val="auto"/>
        </w:rPr>
        <w:t>, that, without limiting the foregoing, (i) neither GLDD nor any of its Subsidiaries shall make any voluntary prepayment in respect of the Second Lien Loan unless the Payment Conditions are satisfied after giving effect thereto and (ii) any mandatory prepayment in respect of the Second Lien Loan shall be subject to the application of proceeds, first, to the Obligations in accordance with Section 2.20 hereof and, second, to the Second Lien Loan, in each case in accordance with Section 2.13(j) of the Second Lien Credit Agreement (as in effect on the Amendment No. 1 Closing Date).</w:t>
      </w:r>
    </w:p>
    <w:p>
      <w:pPr>
        <w:spacing w:after="0" w:line="173" w:lineRule="exact"/>
        <w:rPr>
          <w:rFonts w:ascii="Times New Roman" w:cs="Times New Roman" w:eastAsia="Times New Roman" w:hAnsi="Times New Roman"/>
          <w:sz w:val="22"/>
          <w:szCs w:val="22"/>
          <w:b w:val="1"/>
          <w:bCs w:val="1"/>
          <w:color w:val="auto"/>
        </w:rPr>
      </w:pPr>
    </w:p>
    <w:p>
      <w:pPr>
        <w:jc w:val="both"/>
        <w:ind w:firstLine="1505"/>
        <w:spacing w:after="0" w:line="246" w:lineRule="auto"/>
        <w:tabs>
          <w:tab w:leader="none" w:pos="1956" w:val="left"/>
        </w:tabs>
        <w:numPr>
          <w:ilvl w:val="0"/>
          <w:numId w:val="11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Modifications to Second Lien Loan Documents</w:t>
      </w:r>
      <w:r>
        <w:rPr>
          <w:rFonts w:ascii="Times New Roman" w:cs="Times New Roman" w:eastAsia="Times New Roman" w:hAnsi="Times New Roman"/>
          <w:sz w:val="22"/>
          <w:szCs w:val="22"/>
          <w:b w:val="1"/>
          <w:bCs w:val="1"/>
          <w:color w:val="auto"/>
        </w:rPr>
        <w:t>. Enter into any material amendment, waiver or modification of the Second Lien Loan Documents or any related agreements to the extent expressly prohibited by the Intercreditor Agreement (Second Lien).</w:t>
      </w:r>
    </w:p>
    <w:p>
      <w:pPr>
        <w:spacing w:after="0" w:line="167" w:lineRule="exact"/>
        <w:rPr>
          <w:sz w:val="20"/>
          <w:szCs w:val="20"/>
          <w:color w:val="auto"/>
        </w:rPr>
      </w:pPr>
    </w:p>
    <w:p>
      <w:pPr>
        <w:jc w:val="both"/>
        <w:ind w:firstLine="1497"/>
        <w:spacing w:after="0" w:line="245" w:lineRule="auto"/>
        <w:rPr>
          <w:sz w:val="20"/>
          <w:szCs w:val="20"/>
          <w:color w:val="auto"/>
        </w:rPr>
      </w:pPr>
      <w:r>
        <w:rPr>
          <w:rFonts w:ascii="Times New Roman" w:cs="Times New Roman" w:eastAsia="Times New Roman" w:hAnsi="Times New Roman"/>
          <w:sz w:val="21"/>
          <w:szCs w:val="21"/>
          <w:b w:val="1"/>
          <w:bCs w:val="1"/>
          <w:u w:val="single" w:color="auto"/>
          <w:color w:val="auto"/>
        </w:rPr>
        <w:t>Minimum Consolidated Liquidity</w:t>
      </w:r>
      <w:r>
        <w:rPr>
          <w:rFonts w:ascii="Times New Roman" w:cs="Times New Roman" w:eastAsia="Times New Roman" w:hAnsi="Times New Roman"/>
          <w:sz w:val="21"/>
          <w:szCs w:val="21"/>
          <w:b w:val="1"/>
          <w:bCs w:val="1"/>
          <w:color w:val="auto"/>
        </w:rPr>
        <w:t xml:space="preserve">. At all times prior to the date that the Second Lien Loan has been paid in full (in accordance with the Second Lien Loan Agreement) and the Second Lien Loan Agreement has been terminated, for any period of three (3) consecutive Business Days, permit Consolidated Liquidity to be less than (a) $12,500,000, at any time that the Fixed Charge Coverage Ratio for the most recently ended four (4) fiscal quarter period for which financial statements were delivered (or were required to be delivered) pursuant to </w:t>
      </w:r>
      <w:r>
        <w:rPr>
          <w:rFonts w:ascii="Times New Roman" w:cs="Times New Roman" w:eastAsia="Times New Roman" w:hAnsi="Times New Roman"/>
          <w:sz w:val="21"/>
          <w:szCs w:val="21"/>
          <w:b w:val="1"/>
          <w:bCs w:val="1"/>
          <w:u w:val="single" w:color="auto"/>
          <w:color w:val="auto"/>
        </w:rPr>
        <w:t>Section 9.8</w:t>
      </w:r>
      <w:r>
        <w:rPr>
          <w:rFonts w:ascii="Times New Roman" w:cs="Times New Roman" w:eastAsia="Times New Roman" w:hAnsi="Times New Roman"/>
          <w:sz w:val="21"/>
          <w:szCs w:val="21"/>
          <w:b w:val="1"/>
          <w:bCs w:val="1"/>
          <w:color w:val="auto"/>
        </w:rPr>
        <w:t xml:space="preserve"> is less than 1.10 to 1.00 and (b) $50,000,000, at any time the Fixed Charge Coverage Ratio for the most recently ended four (4) fiscal quarter period for which financial statements were delivered (or were required to be delivered) pursuant to Section 5.01 is greater than 1.10 to 1.00; </w:t>
      </w:r>
      <w:r>
        <w:rPr>
          <w:rFonts w:ascii="Times New Roman" w:cs="Times New Roman" w:eastAsia="Times New Roman" w:hAnsi="Times New Roman"/>
          <w:sz w:val="21"/>
          <w:szCs w:val="21"/>
          <w:b w:val="1"/>
          <w:bCs w:val="1"/>
          <w:u w:val="single" w:color="auto"/>
          <w:color w:val="auto"/>
        </w:rPr>
        <w:t>provided</w:t>
      </w:r>
      <w:r>
        <w:rPr>
          <w:rFonts w:ascii="Times New Roman" w:cs="Times New Roman" w:eastAsia="Times New Roman" w:hAnsi="Times New Roman"/>
          <w:sz w:val="21"/>
          <w:szCs w:val="21"/>
          <w:b w:val="1"/>
          <w:bCs w:val="1"/>
          <w:color w:val="auto"/>
        </w:rPr>
        <w:t xml:space="preserve"> that, (i) the Borrowers shall give notice to the Agent within one (1) Business Day of any day on which Consolidated Liquidity is less than the amount specified in clause (a) or (b) above, as applicable, and (ii) to the extent that the Borrowers rely on such three (3) Business Day grace period in any fiscal month, such grace period shall not be available until the following fiscal month and any subsequent decline in Consolidated Liquidity within the same fiscal month below the applicable threshold shall be an immediate breach of this covenant.</w:t>
      </w:r>
    </w:p>
    <w:p>
      <w:pPr>
        <w:spacing w:after="0" w:line="17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b w:val="1"/>
          <w:bCs w:val="1"/>
          <w:color w:val="auto"/>
        </w:rPr>
        <w:t>CONDITIONS PRECEDENT.</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79" w:name="page180"/>
    <w:bookmarkEnd w:id="179"/>
    <w:p>
      <w:pPr>
        <w:jc w:val="both"/>
        <w:ind w:firstLine="1497"/>
        <w:spacing w:after="0" w:line="246" w:lineRule="auto"/>
        <w:rPr>
          <w:sz w:val="20"/>
          <w:szCs w:val="20"/>
          <w:color w:val="auto"/>
        </w:rPr>
      </w:pPr>
      <w:r>
        <w:rPr>
          <w:rFonts w:ascii="Times New Roman" w:cs="Times New Roman" w:eastAsia="Times New Roman" w:hAnsi="Times New Roman"/>
          <w:sz w:val="22"/>
          <w:szCs w:val="22"/>
          <w:b w:val="1"/>
          <w:bCs w:val="1"/>
          <w:u w:val="single" w:color="auto"/>
          <w:color w:val="auto"/>
        </w:rPr>
        <w:t>Conditions to Initial Advances</w:t>
      </w:r>
      <w:r>
        <w:rPr>
          <w:rFonts w:ascii="Times New Roman" w:cs="Times New Roman" w:eastAsia="Times New Roman" w:hAnsi="Times New Roman"/>
          <w:sz w:val="22"/>
          <w:szCs w:val="22"/>
          <w:b w:val="1"/>
          <w:bCs w:val="1"/>
          <w:color w:val="auto"/>
        </w:rPr>
        <w:t>. The agreement of Lenders to make the initial Advances requested to be made on the Closing Date is subject to the satisfaction, or waiver by Lenders, immediately prior to or concurrently with the making of such Advances, of the following conditions precedent:</w:t>
      </w:r>
    </w:p>
    <w:p>
      <w:pPr>
        <w:spacing w:after="0" w:line="171" w:lineRule="exact"/>
        <w:rPr>
          <w:sz w:val="20"/>
          <w:szCs w:val="20"/>
          <w:color w:val="auto"/>
        </w:rPr>
      </w:pPr>
    </w:p>
    <w:p>
      <w:pPr>
        <w:ind w:left="1500"/>
        <w:spacing w:after="0"/>
        <w:tabs>
          <w:tab w:leader="none" w:pos="2160" w:val="left"/>
        </w:tabs>
        <w:rPr>
          <w:sz w:val="20"/>
          <w:szCs w:val="20"/>
          <w:color w:val="auto"/>
        </w:rPr>
      </w:pPr>
      <w:r>
        <w:rPr>
          <w:rFonts w:ascii="Times New Roman" w:cs="Times New Roman" w:eastAsia="Times New Roman" w:hAnsi="Times New Roman"/>
          <w:sz w:val="22"/>
          <w:szCs w:val="22"/>
          <w:u w:val="single" w:color="auto"/>
          <w:color w:val="auto"/>
        </w:rPr>
        <w:t>Note</w:t>
      </w: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2"/>
          <w:szCs w:val="22"/>
          <w:color w:val="auto"/>
        </w:rPr>
        <w:t>Agent shall have received the Notes duly executed and delivered by an authorized officer of each</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Borrower;</w:t>
      </w:r>
    </w:p>
    <w:p>
      <w:pPr>
        <w:spacing w:after="0" w:line="182" w:lineRule="exact"/>
        <w:rPr>
          <w:sz w:val="20"/>
          <w:szCs w:val="20"/>
          <w:color w:val="auto"/>
        </w:rPr>
      </w:pPr>
    </w:p>
    <w:p>
      <w:pPr>
        <w:ind w:left="1500" w:right="1100"/>
        <w:spacing w:after="0" w:line="435" w:lineRule="auto"/>
        <w:rPr>
          <w:sz w:val="20"/>
          <w:szCs w:val="20"/>
          <w:color w:val="auto"/>
        </w:rPr>
      </w:pPr>
      <w:r>
        <w:rPr>
          <w:rFonts w:ascii="Times New Roman" w:cs="Times New Roman" w:eastAsia="Times New Roman" w:hAnsi="Times New Roman"/>
          <w:sz w:val="22"/>
          <w:szCs w:val="22"/>
          <w:u w:val="single" w:color="auto"/>
          <w:color w:val="auto"/>
        </w:rPr>
        <w:t>Other Documents</w:t>
      </w:r>
      <w:r>
        <w:rPr>
          <w:rFonts w:ascii="Times New Roman" w:cs="Times New Roman" w:eastAsia="Times New Roman" w:hAnsi="Times New Roman"/>
          <w:sz w:val="22"/>
          <w:szCs w:val="22"/>
          <w:color w:val="auto"/>
        </w:rPr>
        <w:t>. Agent shall have received each of the executed Other Documents, as applicable; [</w:t>
      </w:r>
      <w:r>
        <w:rPr>
          <w:rFonts w:ascii="Times New Roman" w:cs="Times New Roman" w:eastAsia="Times New Roman" w:hAnsi="Times New Roman"/>
          <w:sz w:val="22"/>
          <w:szCs w:val="22"/>
          <w:i w:val="1"/>
          <w:iCs w:val="1"/>
          <w:color w:val="auto"/>
        </w:rPr>
        <w:t>Intentionally Omitted</w:t>
      </w:r>
      <w:r>
        <w:rPr>
          <w:rFonts w:ascii="Times New Roman" w:cs="Times New Roman" w:eastAsia="Times New Roman" w:hAnsi="Times New Roman"/>
          <w:sz w:val="22"/>
          <w:szCs w:val="22"/>
          <w:color w:val="auto"/>
        </w:rPr>
        <w:t>];</w:t>
      </w:r>
    </w:p>
    <w:p>
      <w:pPr>
        <w:spacing w:after="0" w:line="1"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u w:val="single" w:color="auto"/>
          <w:color w:val="auto"/>
        </w:rPr>
        <w:t>Financial Condition Certificates</w:t>
      </w:r>
      <w:r>
        <w:rPr>
          <w:rFonts w:ascii="Times New Roman" w:cs="Times New Roman" w:eastAsia="Times New Roman" w:hAnsi="Times New Roman"/>
          <w:sz w:val="22"/>
          <w:szCs w:val="22"/>
          <w:color w:val="auto"/>
        </w:rPr>
        <w:t>. Agent shall have received an executed Financial Condition Certificate in the form of Exhibit 8.1(d).</w:t>
      </w:r>
    </w:p>
    <w:p>
      <w:pPr>
        <w:spacing w:after="0" w:line="158"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u w:val="single" w:color="auto"/>
          <w:color w:val="auto"/>
        </w:rPr>
        <w:t>Closing Certificate</w:t>
      </w:r>
      <w:r>
        <w:rPr>
          <w:rFonts w:ascii="Times New Roman" w:cs="Times New Roman" w:eastAsia="Times New Roman" w:hAnsi="Times New Roman"/>
          <w:sz w:val="22"/>
          <w:szCs w:val="22"/>
          <w:color w:val="auto"/>
        </w:rPr>
        <w:t>. Agent shall have received a closing certificate signed by a Responsible Officer of each Borrower dated as of the date hereof, stating that (i) all representations and warranties set forth in this Agreement and the Other Documents are true and correct on and as of such date, and (ii) on such date no Default or Event of Default has occurred or is continuing;</w:t>
      </w:r>
    </w:p>
    <w:p>
      <w:pPr>
        <w:spacing w:after="0" w:line="17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Intentionally Omitted</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Intentionally Omitted</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u w:val="single" w:color="auto"/>
          <w:color w:val="auto"/>
        </w:rPr>
        <w:t>Controlled Accounts</w:t>
      </w:r>
      <w:r>
        <w:rPr>
          <w:rFonts w:ascii="Times New Roman" w:cs="Times New Roman" w:eastAsia="Times New Roman" w:hAnsi="Times New Roman"/>
          <w:sz w:val="22"/>
          <w:szCs w:val="22"/>
          <w:color w:val="auto"/>
        </w:rPr>
        <w:t>. Agent shall have received duly executed deposit account control agreements with respect to the Controlled Accounts in form and substance satisfactory to Agent;</w:t>
      </w:r>
    </w:p>
    <w:p>
      <w:pPr>
        <w:spacing w:after="0" w:line="158"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u w:val="single" w:color="auto"/>
          <w:color w:val="auto"/>
        </w:rPr>
        <w:t>Filings, Registrations and Recordings</w:t>
      </w:r>
      <w:r>
        <w:rPr>
          <w:rFonts w:ascii="Times New Roman" w:cs="Times New Roman" w:eastAsia="Times New Roman" w:hAnsi="Times New Roman"/>
          <w:sz w:val="22"/>
          <w:szCs w:val="22"/>
          <w:color w:val="auto"/>
        </w:rPr>
        <w:t>. Each document (including any Uniform Commercial Code financing statement) required by this Agreement, any related agreement or under law or reasonably requested by Agent to be filed, registered or recorded in order to create, in favor of Agent, a perfected security interest in or lien upon the Collateral shall have been properly filed, registered or recorded (or authorized to file, register or record), or Agent has received authorization to file, register or record, in each jurisdiction in which the filing, registration or recordation thereof is so required or requested;</w:t>
      </w:r>
    </w:p>
    <w:p>
      <w:pPr>
        <w:spacing w:after="0" w:line="17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u w:val="single" w:color="auto"/>
          <w:color w:val="auto"/>
        </w:rPr>
        <w:t>Fleet Assets Deliveries</w:t>
      </w:r>
      <w:r>
        <w:rPr>
          <w:rFonts w:ascii="Times New Roman" w:cs="Times New Roman" w:eastAsia="Times New Roman" w:hAnsi="Times New Roman"/>
          <w:sz w:val="22"/>
          <w:szCs w:val="22"/>
          <w:color w:val="auto"/>
        </w:rPr>
        <w:t>. With respect to the Eligible Fleet Assets:</w:t>
      </w:r>
    </w:p>
    <w:p>
      <w:pPr>
        <w:spacing w:after="0" w:line="206"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color w:val="auto"/>
        </w:rPr>
        <w:t>Each Documented Vessel that is a U.S. flag vessel shall be duly registered with the U.S. Coast Guard, titled in the name of a Credit Party, and free of all liens of record other than Permitted Encumbrances, as evidenced by a certificate issued by the NVDC, such as a Certificate of Ownership (CG-1330) or Abstract of Title, each issued not more than twenty-five (25) days prior to the Closing Date;</w:t>
      </w:r>
    </w:p>
    <w:p>
      <w:pPr>
        <w:spacing w:after="0" w:line="180" w:lineRule="exact"/>
        <w:rPr>
          <w:sz w:val="20"/>
          <w:szCs w:val="20"/>
          <w:color w:val="auto"/>
        </w:rPr>
      </w:pPr>
    </w:p>
    <w:p>
      <w:pPr>
        <w:jc w:val="both"/>
        <w:ind w:right="20" w:firstLine="1497"/>
        <w:spacing w:after="0" w:line="258" w:lineRule="auto"/>
        <w:rPr>
          <w:sz w:val="20"/>
          <w:szCs w:val="20"/>
          <w:color w:val="auto"/>
        </w:rPr>
      </w:pPr>
      <w:r>
        <w:rPr>
          <w:rFonts w:ascii="Times New Roman" w:cs="Times New Roman" w:eastAsia="Times New Roman" w:hAnsi="Times New Roman"/>
          <w:sz w:val="22"/>
          <w:szCs w:val="22"/>
          <w:color w:val="auto"/>
        </w:rPr>
        <w:t>Each Documented Vessel that is a U.S. flag vessel and not Excluded Property shall be subject to a Ship Mortgage granted in favor of Agent and duly recorded with the NVDC;</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80" w:name="page181"/>
    <w:bookmarkEnd w:id="180"/>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Each Documented Vessel documented under the U.S. flag that is subject to Coast Guard inspection shall hold a valid U.S. Coast Guard Certificate of Inspection with no outstanding inspection requirements preventing the vessel from operating;</w:t>
      </w:r>
    </w:p>
    <w:p>
      <w:pPr>
        <w:spacing w:after="0" w:line="173" w:lineRule="exact"/>
        <w:rPr>
          <w:sz w:val="20"/>
          <w:szCs w:val="20"/>
          <w:color w:val="auto"/>
        </w:rPr>
      </w:pPr>
    </w:p>
    <w:p>
      <w:pPr>
        <w:jc w:val="both"/>
        <w:ind w:right="20" w:firstLine="1497"/>
        <w:spacing w:after="0" w:line="258" w:lineRule="auto"/>
        <w:rPr>
          <w:sz w:val="20"/>
          <w:szCs w:val="20"/>
          <w:color w:val="auto"/>
        </w:rPr>
      </w:pPr>
      <w:r>
        <w:rPr>
          <w:rFonts w:ascii="Times New Roman" w:cs="Times New Roman" w:eastAsia="Times New Roman" w:hAnsi="Times New Roman"/>
          <w:sz w:val="22"/>
          <w:szCs w:val="22"/>
          <w:color w:val="auto"/>
        </w:rPr>
        <w:t>Each Documented Vessel that is a U.S. flag vessel shall hold all certificates required by the U.S. Coast Guard, such certificates to be valid and in effect; and</w:t>
      </w:r>
    </w:p>
    <w:p>
      <w:pPr>
        <w:spacing w:after="0" w:line="158"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Each Documented Vessel subject to classification shall be classified at the highest level available for such Documented Vessel with no material outstanding recommendations as evidenced by a Confirmation of Class issued by the vessel's class society not more than twenty-one (21) days prior to the Closing Date.</w:t>
      </w:r>
    </w:p>
    <w:p>
      <w:pPr>
        <w:spacing w:after="0" w:line="173" w:lineRule="exact"/>
        <w:rPr>
          <w:sz w:val="20"/>
          <w:szCs w:val="20"/>
          <w:color w:val="auto"/>
        </w:rPr>
      </w:pPr>
    </w:p>
    <w:p>
      <w:pPr>
        <w:jc w:val="both"/>
        <w:ind w:firstLine="1497"/>
        <w:spacing w:after="0" w:line="232" w:lineRule="auto"/>
        <w:rPr>
          <w:sz w:val="20"/>
          <w:szCs w:val="20"/>
          <w:color w:val="auto"/>
        </w:rPr>
      </w:pPr>
      <w:r>
        <w:rPr>
          <w:rFonts w:ascii="Times New Roman" w:cs="Times New Roman" w:eastAsia="Times New Roman" w:hAnsi="Times New Roman"/>
          <w:sz w:val="22"/>
          <w:szCs w:val="22"/>
          <w:u w:val="single" w:color="auto"/>
          <w:color w:val="auto"/>
        </w:rPr>
        <w:t>Secretary's Certificates, Authorizing Resolutions and Good Standings of Borrowers</w:t>
      </w:r>
      <w:r>
        <w:rPr>
          <w:rFonts w:ascii="Times New Roman" w:cs="Times New Roman" w:eastAsia="Times New Roman" w:hAnsi="Times New Roman"/>
          <w:sz w:val="22"/>
          <w:szCs w:val="22"/>
          <w:color w:val="auto"/>
        </w:rPr>
        <w:t>. Agent shall have received a certificate of the Secretary or Assistant Secretary (or other equivalent officer, partner or manager) of each Borrower in form and substance satisfactory to Agent dated as of the Closing Date which shall certify (i) copies of resolutions in form and substance reasonably satisfactory to Agent, of the board of directors (or other equivalent governing body, member or partner) of such Borrower authorizing (x) the execution, delivery and performance of this Agreement, the Notes and each Other Document to which such Borrower is a party (including authorization of the incurrence of indebtedness, borrowing of Revolving Advances and Swing Loans and requesting of Letters of Credit on a joint and several basis with all Borrowers as provided for herein), and (y) the granting by such Borrower of the security interests in and liens upon the Collateral to secure all of the joint and several Obligations of Borrowers (and such certificate shall state that such resolutions have not been amended, modified, revoked or rescinded as of the date of such certificate), (ii) the incumbency and signature of the officers of such Borrower authorized to execute this Agreement and the Other Documents, (iii) copies of the Organizational Documents of such Borrower as in effect on such date, complete with all amendments thereto (or certification that Organizational Documents previously delivered to Agent remain in full force and effect), and (iv) the good standing (or equivalent status) of such Borrower in its jurisdiction of organization as evidenced by good standing certificate(s) (or the equivalent thereof issued by any applicable jurisdiction) dated not more than ten (10) Business Days prior to the Closing Date, issued by the Secretary of State or other appropriate official of each such jurisdiction;</w:t>
      </w:r>
    </w:p>
    <w:p>
      <w:pPr>
        <w:spacing w:after="0" w:line="18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u w:val="single" w:color="auto"/>
          <w:color w:val="auto"/>
        </w:rPr>
        <w:t>[</w:t>
      </w:r>
      <w:r>
        <w:rPr>
          <w:rFonts w:ascii="Times New Roman" w:cs="Times New Roman" w:eastAsia="Times New Roman" w:hAnsi="Times New Roman"/>
          <w:sz w:val="22"/>
          <w:szCs w:val="22"/>
          <w:i w:val="1"/>
          <w:iCs w:val="1"/>
          <w:color w:val="auto"/>
        </w:rPr>
        <w:t>Intentionally Omitted</w:t>
      </w:r>
      <w:r>
        <w:rPr>
          <w:rFonts w:ascii="Times New Roman" w:cs="Times New Roman" w:eastAsia="Times New Roman" w:hAnsi="Times New Roman"/>
          <w:sz w:val="22"/>
          <w:szCs w:val="22"/>
          <w:u w:val="single" w:color="auto"/>
          <w:color w:val="auto"/>
        </w:rPr>
        <w:t>]</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u w:val="single" w:color="auto"/>
          <w:color w:val="auto"/>
        </w:rPr>
        <w:t>Legal Opinion</w:t>
      </w:r>
      <w:r>
        <w:rPr>
          <w:rFonts w:ascii="Times New Roman" w:cs="Times New Roman" w:eastAsia="Times New Roman" w:hAnsi="Times New Roman"/>
          <w:sz w:val="22"/>
          <w:szCs w:val="22"/>
          <w:color w:val="auto"/>
        </w:rPr>
        <w:t>. Agent shall have received the executed legal opinion of Jones Walker LLP in form and substance satisfactory to Agent which shall cover such matters incident to the transactions contemplated by this Agreement, the Notes, the Other Documents, and related agreements as Agent may reasonably require and each Borrower hereby authorizes and directs such counsel to deliver such opinions to Agent and Lenders;</w:t>
      </w:r>
    </w:p>
    <w:p>
      <w:pPr>
        <w:spacing w:after="0" w:line="180"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u w:val="single" w:color="auto"/>
          <w:color w:val="auto"/>
        </w:rPr>
        <w:t>No Litigation</w:t>
      </w:r>
      <w:r>
        <w:rPr>
          <w:rFonts w:ascii="Times New Roman" w:cs="Times New Roman" w:eastAsia="Times New Roman" w:hAnsi="Times New Roman"/>
          <w:sz w:val="22"/>
          <w:szCs w:val="22"/>
          <w:color w:val="auto"/>
        </w:rPr>
        <w:t>. No litigation, investigation or proceeding before or by any arbitrator or Governmental Body that is not covered by third-party insurance as to which the insurer does not deny coverage shall be continuing or threatened against any Borrower or against the officers or directors of any Borrower (A) in connection with this Agreement, the Other Documents or any of the transactions contemplated thereby and which, in the reasonable opinion of Agent, is deemed</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81" w:name="page182"/>
    <w:bookmarkEnd w:id="181"/>
    <w:p>
      <w:pPr>
        <w:jc w:val="both"/>
        <w:ind w:right="20"/>
        <w:spacing w:after="0" w:line="244" w:lineRule="auto"/>
        <w:rPr>
          <w:sz w:val="20"/>
          <w:szCs w:val="20"/>
          <w:color w:val="auto"/>
        </w:rPr>
      </w:pPr>
      <w:r>
        <w:rPr>
          <w:rFonts w:ascii="Times New Roman" w:cs="Times New Roman" w:eastAsia="Times New Roman" w:hAnsi="Times New Roman"/>
          <w:sz w:val="22"/>
          <w:szCs w:val="22"/>
          <w:color w:val="auto"/>
        </w:rPr>
        <w:t>material or (B) which could, in the reasonable opinion of Agent, have a Material Adverse Effect; and (ii) no injunction, writ, restraining order or other order of any nature materially adverse to any Borrower or the conduct of its business or inconsistent with the due consummation of the Transactions shall have been issued by any Governmental Body;</w:t>
      </w:r>
    </w:p>
    <w:p>
      <w:pPr>
        <w:spacing w:after="0" w:line="173"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u w:val="single" w:color="auto"/>
          <w:color w:val="auto"/>
        </w:rPr>
        <w:t>Collateral Examination</w:t>
      </w:r>
      <w:r>
        <w:rPr>
          <w:rFonts w:ascii="Times New Roman" w:cs="Times New Roman" w:eastAsia="Times New Roman" w:hAnsi="Times New Roman"/>
          <w:sz w:val="22"/>
          <w:szCs w:val="22"/>
          <w:color w:val="auto"/>
        </w:rPr>
        <w:t>. Agent shall have completed Collateral examinations and received appraisals, the results of which shall be reasonably satisfactory in form and substance to Agent, of the Receivables, Inventory and Equipment of each Borrower and all books and records in connection therewith;</w:t>
      </w:r>
    </w:p>
    <w:p>
      <w:pPr>
        <w:spacing w:after="0" w:line="173" w:lineRule="exact"/>
        <w:rPr>
          <w:sz w:val="20"/>
          <w:szCs w:val="20"/>
          <w:color w:val="auto"/>
        </w:rPr>
      </w:pPr>
    </w:p>
    <w:p>
      <w:pPr>
        <w:jc w:val="both"/>
        <w:ind w:right="20" w:firstLine="1497"/>
        <w:spacing w:after="0" w:line="258" w:lineRule="auto"/>
        <w:rPr>
          <w:sz w:val="20"/>
          <w:szCs w:val="20"/>
          <w:color w:val="auto"/>
        </w:rPr>
      </w:pPr>
      <w:r>
        <w:rPr>
          <w:rFonts w:ascii="Times New Roman" w:cs="Times New Roman" w:eastAsia="Times New Roman" w:hAnsi="Times New Roman"/>
          <w:sz w:val="22"/>
          <w:szCs w:val="22"/>
          <w:u w:val="single" w:color="auto"/>
          <w:color w:val="auto"/>
        </w:rPr>
        <w:t>Fees</w:t>
      </w:r>
      <w:r>
        <w:rPr>
          <w:rFonts w:ascii="Times New Roman" w:cs="Times New Roman" w:eastAsia="Times New Roman" w:hAnsi="Times New Roman"/>
          <w:sz w:val="22"/>
          <w:szCs w:val="22"/>
          <w:color w:val="auto"/>
        </w:rPr>
        <w:t>. Agent shall have received all fees payable to Agent and Lenders on or prior to the Closing Date hereunder, including pursuant to Article III hereof and the Fee Letter;</w:t>
      </w:r>
    </w:p>
    <w:p>
      <w:pPr>
        <w:spacing w:after="0" w:line="158" w:lineRule="exact"/>
        <w:rPr>
          <w:sz w:val="20"/>
          <w:szCs w:val="20"/>
          <w:color w:val="auto"/>
        </w:rPr>
      </w:pPr>
    </w:p>
    <w:p>
      <w:pPr>
        <w:jc w:val="both"/>
        <w:ind w:right="20" w:firstLine="1497"/>
        <w:spacing w:after="0" w:line="258" w:lineRule="auto"/>
        <w:rPr>
          <w:sz w:val="20"/>
          <w:szCs w:val="20"/>
          <w:color w:val="auto"/>
        </w:rPr>
      </w:pPr>
      <w:r>
        <w:rPr>
          <w:rFonts w:ascii="Times New Roman" w:cs="Times New Roman" w:eastAsia="Times New Roman" w:hAnsi="Times New Roman"/>
          <w:sz w:val="22"/>
          <w:szCs w:val="22"/>
          <w:u w:val="single" w:color="auto"/>
          <w:color w:val="auto"/>
        </w:rPr>
        <w:t>Pro Forma Financial Statements</w:t>
      </w:r>
      <w:r>
        <w:rPr>
          <w:rFonts w:ascii="Times New Roman" w:cs="Times New Roman" w:eastAsia="Times New Roman" w:hAnsi="Times New Roman"/>
          <w:sz w:val="22"/>
          <w:szCs w:val="22"/>
          <w:color w:val="auto"/>
        </w:rPr>
        <w:t>. Agent shall have received a copy of the Pro Forma Financial Statements which shall be satisfactory in all respects to Agent;</w:t>
      </w:r>
    </w:p>
    <w:p>
      <w:pPr>
        <w:spacing w:after="0" w:line="158" w:lineRule="exact"/>
        <w:rPr>
          <w:sz w:val="20"/>
          <w:szCs w:val="20"/>
          <w:color w:val="auto"/>
        </w:rPr>
      </w:pPr>
    </w:p>
    <w:p>
      <w:pPr>
        <w:jc w:val="both"/>
        <w:ind w:firstLine="1497"/>
        <w:spacing w:after="0" w:line="236" w:lineRule="auto"/>
        <w:rPr>
          <w:sz w:val="20"/>
          <w:szCs w:val="20"/>
          <w:color w:val="auto"/>
        </w:rPr>
      </w:pPr>
      <w:r>
        <w:rPr>
          <w:rFonts w:ascii="Times New Roman" w:cs="Times New Roman" w:eastAsia="Times New Roman" w:hAnsi="Times New Roman"/>
          <w:sz w:val="22"/>
          <w:szCs w:val="22"/>
          <w:u w:val="single" w:color="auto"/>
          <w:color w:val="auto"/>
        </w:rPr>
        <w:t>Insurance</w:t>
      </w:r>
      <w:r>
        <w:rPr>
          <w:rFonts w:ascii="Times New Roman" w:cs="Times New Roman" w:eastAsia="Times New Roman" w:hAnsi="Times New Roman"/>
          <w:sz w:val="22"/>
          <w:szCs w:val="22"/>
          <w:color w:val="auto"/>
        </w:rPr>
        <w:t>. Agent shall have received in form and substance satisfactory to Agent, (i) evidence that adequate insurance, including without limitation, casualty and liability insurance, required to be maintained under this Agreement and the Ship Mortgage is in full force and effect, (ii) insurance certificates issued by Borrowers' insurance broker containing such information regarding Borrowers' casualty and liability insurance policies as Agent shall request and naming Agent as an additional insured, lenders loss payee and/or mortgagee, as applicable, and (iii) loss payable endorsements issued by Borrowers' insurer naming Agent as lenders loss payee and mortgagee, as applicable;</w:t>
      </w:r>
    </w:p>
    <w:p>
      <w:pPr>
        <w:spacing w:after="0" w:line="181" w:lineRule="exact"/>
        <w:rPr>
          <w:sz w:val="20"/>
          <w:szCs w:val="20"/>
          <w:color w:val="auto"/>
        </w:rPr>
      </w:pPr>
    </w:p>
    <w:p>
      <w:pPr>
        <w:jc w:val="both"/>
        <w:ind w:right="20" w:firstLine="1497"/>
        <w:spacing w:after="0" w:line="258" w:lineRule="auto"/>
        <w:rPr>
          <w:sz w:val="20"/>
          <w:szCs w:val="20"/>
          <w:color w:val="auto"/>
        </w:rPr>
      </w:pPr>
      <w:r>
        <w:rPr>
          <w:rFonts w:ascii="Times New Roman" w:cs="Times New Roman" w:eastAsia="Times New Roman" w:hAnsi="Times New Roman"/>
          <w:sz w:val="22"/>
          <w:szCs w:val="22"/>
          <w:u w:val="single" w:color="auto"/>
          <w:color w:val="auto"/>
        </w:rPr>
        <w:t>Payment Instructions</w:t>
      </w:r>
      <w:r>
        <w:rPr>
          <w:rFonts w:ascii="Times New Roman" w:cs="Times New Roman" w:eastAsia="Times New Roman" w:hAnsi="Times New Roman"/>
          <w:sz w:val="22"/>
          <w:szCs w:val="22"/>
          <w:color w:val="auto"/>
        </w:rPr>
        <w:t>. Agent shall have received written instructions from Borrowing Agent directing the application of proceeds of the initial Advances made pursuant to this Agreement;</w:t>
      </w:r>
    </w:p>
    <w:p>
      <w:pPr>
        <w:spacing w:after="0" w:line="158" w:lineRule="exact"/>
        <w:rPr>
          <w:sz w:val="20"/>
          <w:szCs w:val="20"/>
          <w:color w:val="auto"/>
        </w:rPr>
      </w:pPr>
    </w:p>
    <w:p>
      <w:pPr>
        <w:jc w:val="both"/>
        <w:ind w:firstLine="1497"/>
        <w:spacing w:after="0" w:line="261" w:lineRule="auto"/>
        <w:rPr>
          <w:sz w:val="20"/>
          <w:szCs w:val="20"/>
          <w:color w:val="auto"/>
        </w:rPr>
      </w:pPr>
      <w:r>
        <w:rPr>
          <w:rFonts w:ascii="Times New Roman" w:cs="Times New Roman" w:eastAsia="Times New Roman" w:hAnsi="Times New Roman"/>
          <w:sz w:val="21"/>
          <w:szCs w:val="21"/>
          <w:u w:val="single" w:color="auto"/>
          <w:color w:val="auto"/>
        </w:rPr>
        <w:t>Consents</w:t>
      </w:r>
      <w:r>
        <w:rPr>
          <w:rFonts w:ascii="Times New Roman" w:cs="Times New Roman" w:eastAsia="Times New Roman" w:hAnsi="Times New Roman"/>
          <w:sz w:val="21"/>
          <w:szCs w:val="21"/>
          <w:color w:val="auto"/>
        </w:rPr>
        <w:t>. Agent shall have received any and all Consents necessary to permit the effectuation of the transactions contemplated by this Agreement and the Other Documents; and, Agent shall have received such Consents and waivers of such third parties as might assert claims with respect to the Collateral, as Agent and its counsel shall deem necessary;</w:t>
      </w:r>
    </w:p>
    <w:p>
      <w:pPr>
        <w:spacing w:after="0" w:line="157"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u w:val="single" w:color="auto"/>
          <w:color w:val="auto"/>
        </w:rPr>
        <w:t>No Adverse Material Change</w:t>
      </w:r>
      <w:r>
        <w:rPr>
          <w:rFonts w:ascii="Times New Roman" w:cs="Times New Roman" w:eastAsia="Times New Roman" w:hAnsi="Times New Roman"/>
          <w:sz w:val="22"/>
          <w:szCs w:val="22"/>
          <w:color w:val="auto"/>
        </w:rPr>
        <w:t>. (i) Since December 31, 2021, there shall not have occurred any event, condition or state of facts which could reasonably be expected to have a Material Adverse Effect and (ii) no representations made or information supplied to Agent or Lenders shall have been proven to be inaccurate or misleading in any material respect;</w:t>
      </w:r>
    </w:p>
    <w:p>
      <w:pPr>
        <w:spacing w:after="0" w:line="173"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u w:val="single" w:color="auto"/>
          <w:color w:val="auto"/>
        </w:rPr>
        <w:t>Compliance with Laws</w:t>
      </w:r>
      <w:r>
        <w:rPr>
          <w:rFonts w:ascii="Times New Roman" w:cs="Times New Roman" w:eastAsia="Times New Roman" w:hAnsi="Times New Roman"/>
          <w:sz w:val="22"/>
          <w:szCs w:val="22"/>
          <w:color w:val="auto"/>
        </w:rPr>
        <w:t>. Agent shall be reasonably satisfied that each Borrower is in material compliance with all pertinent federal, state, local or territorial regulations, including those with respect to the Federal Occupational Safety and Health Act, the Environmental Protection Act, ERISA and the Anti-Terrorism Laws;</w:t>
      </w:r>
    </w:p>
    <w:p>
      <w:pPr>
        <w:spacing w:after="0" w:line="173"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u w:val="single" w:color="auto"/>
          <w:color w:val="auto"/>
        </w:rPr>
        <w:t>Certificate of Beneficial Owners; USA Patriot Act Diligence</w:t>
      </w:r>
      <w:r>
        <w:rPr>
          <w:rFonts w:ascii="Times New Roman" w:cs="Times New Roman" w:eastAsia="Times New Roman" w:hAnsi="Times New Roman"/>
          <w:sz w:val="22"/>
          <w:szCs w:val="22"/>
          <w:color w:val="auto"/>
        </w:rPr>
        <w:t>. Agent and each Lender shall have received, in form and substance acceptable to Agent and each Lender an executed Certificate of Beneficial Ownership and such other documentation and other information</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82" w:name="page183"/>
    <w:bookmarkEnd w:id="182"/>
    <w:p>
      <w:pPr>
        <w:jc w:val="both"/>
        <w:spacing w:after="0" w:line="258" w:lineRule="auto"/>
        <w:rPr>
          <w:sz w:val="20"/>
          <w:szCs w:val="20"/>
          <w:color w:val="auto"/>
        </w:rPr>
      </w:pPr>
      <w:r>
        <w:rPr>
          <w:rFonts w:ascii="Times New Roman" w:cs="Times New Roman" w:eastAsia="Times New Roman" w:hAnsi="Times New Roman"/>
          <w:sz w:val="22"/>
          <w:szCs w:val="22"/>
          <w:color w:val="auto"/>
        </w:rPr>
        <w:t>requested in connection with applicable "know your customer" and anti-money laundering rules and regulations, including the Beneficial Owner Regulation and the USA PATRIOT Act; and</w:t>
      </w:r>
    </w:p>
    <w:p>
      <w:pPr>
        <w:spacing w:after="0" w:line="158" w:lineRule="exact"/>
        <w:rPr>
          <w:sz w:val="20"/>
          <w:szCs w:val="20"/>
          <w:color w:val="auto"/>
        </w:rPr>
      </w:pPr>
    </w:p>
    <w:p>
      <w:pPr>
        <w:jc w:val="both"/>
        <w:ind w:right="20" w:firstLine="1497"/>
        <w:spacing w:after="0" w:line="258" w:lineRule="auto"/>
        <w:rPr>
          <w:sz w:val="20"/>
          <w:szCs w:val="20"/>
          <w:color w:val="auto"/>
        </w:rPr>
      </w:pPr>
      <w:r>
        <w:rPr>
          <w:rFonts w:ascii="Times New Roman" w:cs="Times New Roman" w:eastAsia="Times New Roman" w:hAnsi="Times New Roman"/>
          <w:sz w:val="22"/>
          <w:szCs w:val="22"/>
          <w:u w:val="single" w:color="auto"/>
          <w:color w:val="auto"/>
        </w:rPr>
        <w:t>Other</w:t>
      </w:r>
      <w:r>
        <w:rPr>
          <w:rFonts w:ascii="Times New Roman" w:cs="Times New Roman" w:eastAsia="Times New Roman" w:hAnsi="Times New Roman"/>
          <w:sz w:val="22"/>
          <w:szCs w:val="22"/>
          <w:color w:val="auto"/>
        </w:rPr>
        <w:t>. All corporate and other proceedings, and all documents, instruments and other legal matters in connection with the Transactions shall be satisfactory in form and substance to Agent and its counsel.</w:t>
      </w:r>
    </w:p>
    <w:p>
      <w:pPr>
        <w:spacing w:after="0" w:line="154" w:lineRule="exact"/>
        <w:rPr>
          <w:sz w:val="20"/>
          <w:szCs w:val="20"/>
          <w:color w:val="auto"/>
        </w:rPr>
      </w:pPr>
    </w:p>
    <w:p>
      <w:pPr>
        <w:jc w:val="both"/>
        <w:ind w:firstLine="1497"/>
        <w:spacing w:after="0" w:line="246" w:lineRule="auto"/>
        <w:rPr>
          <w:sz w:val="20"/>
          <w:szCs w:val="20"/>
          <w:color w:val="auto"/>
        </w:rPr>
      </w:pPr>
      <w:r>
        <w:rPr>
          <w:rFonts w:ascii="Times New Roman" w:cs="Times New Roman" w:eastAsia="Times New Roman" w:hAnsi="Times New Roman"/>
          <w:sz w:val="22"/>
          <w:szCs w:val="22"/>
          <w:b w:val="1"/>
          <w:bCs w:val="1"/>
          <w:u w:val="single" w:color="auto"/>
          <w:color w:val="auto"/>
        </w:rPr>
        <w:t>Conditions to Each Advance</w:t>
      </w:r>
      <w:r>
        <w:rPr>
          <w:rFonts w:ascii="Times New Roman" w:cs="Times New Roman" w:eastAsia="Times New Roman" w:hAnsi="Times New Roman"/>
          <w:sz w:val="22"/>
          <w:szCs w:val="22"/>
          <w:b w:val="1"/>
          <w:bCs w:val="1"/>
          <w:color w:val="auto"/>
        </w:rPr>
        <w:t>. The agreement of Lenders to make any Advance requested to be made on any date (including the initial Advance), is subject to the satisfaction of the following conditions precedent as of the date such Advance is made:</w:t>
      </w:r>
    </w:p>
    <w:p>
      <w:pPr>
        <w:spacing w:after="0" w:line="171" w:lineRule="exact"/>
        <w:rPr>
          <w:sz w:val="20"/>
          <w:szCs w:val="20"/>
          <w:color w:val="auto"/>
        </w:rPr>
      </w:pPr>
    </w:p>
    <w:p>
      <w:pPr>
        <w:jc w:val="both"/>
        <w:ind w:firstLine="1497"/>
        <w:spacing w:after="0" w:line="249" w:lineRule="auto"/>
        <w:rPr>
          <w:sz w:val="20"/>
          <w:szCs w:val="20"/>
          <w:color w:val="auto"/>
        </w:rPr>
      </w:pPr>
      <w:r>
        <w:rPr>
          <w:rFonts w:ascii="Times New Roman" w:cs="Times New Roman" w:eastAsia="Times New Roman" w:hAnsi="Times New Roman"/>
          <w:sz w:val="21"/>
          <w:szCs w:val="21"/>
          <w:u w:val="single" w:color="auto"/>
          <w:color w:val="auto"/>
        </w:rPr>
        <w:t>Representations and Warranties</w:t>
      </w:r>
      <w:r>
        <w:rPr>
          <w:rFonts w:ascii="Times New Roman" w:cs="Times New Roman" w:eastAsia="Times New Roman" w:hAnsi="Times New Roman"/>
          <w:sz w:val="21"/>
          <w:szCs w:val="21"/>
          <w:color w:val="auto"/>
        </w:rPr>
        <w:t>. Each of the representations and warranties made by any Credit Party in this Agreement and the Other Documents shall be true and correct in all material respects (except that such materiality qualifier shall not be applicable to any representations and warranties that already are qualified or modified by materiality in the text thereof) on and as of such date (except to the extent such representations and warranties expressly relate to an earlier date, in which case they shall be true and correct in all material respects (except that such materiality qualifier shall not be applicable to any representations and warranties that already are qualified or modified by materiality in the text thereof) as of such earlier date);</w:t>
      </w:r>
    </w:p>
    <w:p>
      <w:pPr>
        <w:spacing w:after="0" w:line="171"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u w:val="single" w:color="auto"/>
          <w:color w:val="auto"/>
        </w:rPr>
        <w:t>No Default</w:t>
      </w:r>
      <w:r>
        <w:rPr>
          <w:rFonts w:ascii="Times New Roman" w:cs="Times New Roman" w:eastAsia="Times New Roman" w:hAnsi="Times New Roman"/>
          <w:sz w:val="22"/>
          <w:szCs w:val="22"/>
          <w:color w:val="auto"/>
        </w:rPr>
        <w:t>. No Event of Default or Default shall have occurred and be continuing on such date, or would exist after giving effect to the Advances requested to be made, on such date; and</w:t>
      </w:r>
    </w:p>
    <w:p>
      <w:pPr>
        <w:spacing w:after="0" w:line="158"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u w:val="single" w:color="auto"/>
          <w:color w:val="auto"/>
        </w:rPr>
        <w:t>Maximum Advances</w:t>
      </w:r>
      <w:r>
        <w:rPr>
          <w:rFonts w:ascii="Times New Roman" w:cs="Times New Roman" w:eastAsia="Times New Roman" w:hAnsi="Times New Roman"/>
          <w:sz w:val="22"/>
          <w:szCs w:val="22"/>
          <w:color w:val="auto"/>
        </w:rPr>
        <w:t>. In the case of any type of Advance requested to be made, after giving effect thereto, the aggregate amount of such type of Advance shall not exceed the maximum amount of such type of Advance permitted under this Agreement.</w:t>
      </w:r>
    </w:p>
    <w:p>
      <w:pPr>
        <w:spacing w:after="0" w:line="173" w:lineRule="exact"/>
        <w:rPr>
          <w:sz w:val="20"/>
          <w:szCs w:val="20"/>
          <w:color w:val="auto"/>
        </w:rPr>
      </w:pPr>
    </w:p>
    <w:p>
      <w:pPr>
        <w:jc w:val="both"/>
        <w:ind w:firstLine="1497"/>
        <w:spacing w:after="0" w:line="236" w:lineRule="auto"/>
        <w:rPr>
          <w:sz w:val="20"/>
          <w:szCs w:val="20"/>
          <w:color w:val="auto"/>
        </w:rPr>
      </w:pPr>
      <w:r>
        <w:rPr>
          <w:rFonts w:ascii="Times New Roman" w:cs="Times New Roman" w:eastAsia="Times New Roman" w:hAnsi="Times New Roman"/>
          <w:sz w:val="22"/>
          <w:szCs w:val="22"/>
          <w:u w:val="single" w:color="auto"/>
          <w:color w:val="auto"/>
        </w:rPr>
        <w:t>Optional Currency</w:t>
      </w:r>
      <w:r>
        <w:rPr>
          <w:rFonts w:ascii="Times New Roman" w:cs="Times New Roman" w:eastAsia="Times New Roman" w:hAnsi="Times New Roman"/>
          <w:sz w:val="22"/>
          <w:szCs w:val="22"/>
          <w:color w:val="auto"/>
        </w:rPr>
        <w:t>. In the case of any Letter of Credit to be denominated in an Optional Currency, there shall not have occurred any change in national or international financial, political or economic conditions or currency exchange rates or exchange controls which in the reasonable opinion of the Agent, the Required Lenders (in the case of any Loans to be denominated in an Optional Currency) or the Issuer (in the case of any Letter of Credit to be denominated in an Optional Currency) would make unlawful or not administratively feasible for such Loan or Letter of Credit to be denominated in the relevant Optional Currency.</w:t>
      </w:r>
    </w:p>
    <w:p>
      <w:pPr>
        <w:spacing w:after="0" w:line="185"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22"/>
          <w:szCs w:val="22"/>
          <w:color w:val="auto"/>
        </w:rPr>
        <w:t>Each request for an Advance by any Borrower hereunder shall constitute a representation and warranty by each Borrower as of the date of such Advance that the conditions contained in this subsection shall have been satisfied.</w:t>
      </w:r>
    </w:p>
    <w:p>
      <w:pPr>
        <w:spacing w:after="0" w:line="134" w:lineRule="exact"/>
        <w:rPr>
          <w:sz w:val="20"/>
          <w:szCs w:val="20"/>
          <w:color w:val="auto"/>
        </w:rPr>
      </w:pPr>
    </w:p>
    <w:p>
      <w:pPr>
        <w:jc w:val="both"/>
        <w:ind w:firstLine="749"/>
        <w:spacing w:after="0" w:line="275" w:lineRule="auto"/>
        <w:rPr>
          <w:sz w:val="20"/>
          <w:szCs w:val="20"/>
          <w:color w:val="auto"/>
        </w:rPr>
      </w:pPr>
      <w:r>
        <w:rPr>
          <w:rFonts w:ascii="Times New Roman" w:cs="Times New Roman" w:eastAsia="Times New Roman" w:hAnsi="Times New Roman"/>
          <w:sz w:val="22"/>
          <w:szCs w:val="22"/>
          <w:color w:val="auto"/>
        </w:rPr>
        <w:t>Notwithstanding anything contained herein to the contrary, at the direction of Required Lenders, Lenders with a Revolving Commitment shall continue to make Revolving Advances notwithstanding whether the foregoing conditions precedent have been satisfied.</w:t>
      </w:r>
    </w:p>
    <w:p>
      <w:pPr>
        <w:spacing w:after="0" w:line="14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b w:val="1"/>
          <w:bCs w:val="1"/>
          <w:color w:val="auto"/>
        </w:rPr>
        <w:t>INFORMATION AS TO BORROWERS.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83" w:name="page184"/>
    <w:bookmarkEnd w:id="183"/>
    <w:p>
      <w:pPr>
        <w:jc w:val="both"/>
        <w:ind w:firstLine="749"/>
        <w:spacing w:after="0" w:line="295" w:lineRule="auto"/>
        <w:rPr>
          <w:sz w:val="20"/>
          <w:szCs w:val="20"/>
          <w:color w:val="auto"/>
        </w:rPr>
      </w:pPr>
      <w:r>
        <w:rPr>
          <w:rFonts w:ascii="Times New Roman" w:cs="Times New Roman" w:eastAsia="Times New Roman" w:hAnsi="Times New Roman"/>
          <w:sz w:val="22"/>
          <w:szCs w:val="22"/>
          <w:color w:val="auto"/>
        </w:rPr>
        <w:t>Each Borrower shall, or (except with respect to Section 9.11) shall cause Borrowing Agent on its behalf to, until satisfaction in full of the Obligations and the termination of this Agreement:</w:t>
      </w:r>
    </w:p>
    <w:p>
      <w:pPr>
        <w:spacing w:after="0" w:line="127" w:lineRule="exact"/>
        <w:rPr>
          <w:sz w:val="20"/>
          <w:szCs w:val="20"/>
          <w:color w:val="auto"/>
        </w:rPr>
      </w:pPr>
    </w:p>
    <w:p>
      <w:pPr>
        <w:jc w:val="both"/>
        <w:ind w:firstLine="1497"/>
        <w:spacing w:after="0" w:line="241" w:lineRule="auto"/>
        <w:rPr>
          <w:sz w:val="20"/>
          <w:szCs w:val="20"/>
          <w:color w:val="auto"/>
        </w:rPr>
      </w:pPr>
      <w:r>
        <w:rPr>
          <w:rFonts w:ascii="Times New Roman" w:cs="Times New Roman" w:eastAsia="Times New Roman" w:hAnsi="Times New Roman"/>
          <w:sz w:val="22"/>
          <w:szCs w:val="22"/>
          <w:b w:val="1"/>
          <w:bCs w:val="1"/>
          <w:u w:val="single" w:color="auto"/>
          <w:color w:val="auto"/>
        </w:rPr>
        <w:t>Disclosure of Material Matters</w:t>
      </w:r>
      <w:r>
        <w:rPr>
          <w:rFonts w:ascii="Times New Roman" w:cs="Times New Roman" w:eastAsia="Times New Roman" w:hAnsi="Times New Roman"/>
          <w:sz w:val="22"/>
          <w:szCs w:val="22"/>
          <w:b w:val="1"/>
          <w:bCs w:val="1"/>
          <w:color w:val="auto"/>
        </w:rPr>
        <w:t>. Promptly upon learning thereof, report to Agent all matters materially affecting the value, enforceability or collectability of any portion of the Collateral with an aggregate value in excess of $2,500,000, including any Borrower's reclamation or repossession of, or the return to any Borrower of, a material amount of goods or claims or disputes asserted by any Customer or other obligor, in each case in excess of $2,500,000.</w:t>
      </w:r>
    </w:p>
    <w:p>
      <w:pPr>
        <w:spacing w:after="0" w:line="172" w:lineRule="exact"/>
        <w:rPr>
          <w:sz w:val="20"/>
          <w:szCs w:val="20"/>
          <w:color w:val="auto"/>
        </w:rPr>
      </w:pPr>
    </w:p>
    <w:p>
      <w:pPr>
        <w:jc w:val="both"/>
        <w:ind w:firstLine="1497"/>
        <w:spacing w:after="0" w:line="232" w:lineRule="auto"/>
        <w:rPr>
          <w:sz w:val="20"/>
          <w:szCs w:val="20"/>
          <w:color w:val="auto"/>
        </w:rPr>
      </w:pPr>
      <w:r>
        <w:rPr>
          <w:rFonts w:ascii="Times New Roman" w:cs="Times New Roman" w:eastAsia="Times New Roman" w:hAnsi="Times New Roman"/>
          <w:sz w:val="22"/>
          <w:szCs w:val="22"/>
          <w:b w:val="1"/>
          <w:bCs w:val="1"/>
          <w:u w:val="single" w:color="auto"/>
          <w:color w:val="auto"/>
        </w:rPr>
        <w:t>Schedules</w:t>
      </w:r>
      <w:r>
        <w:rPr>
          <w:rFonts w:ascii="Times New Roman" w:cs="Times New Roman" w:eastAsia="Times New Roman" w:hAnsi="Times New Roman"/>
          <w:sz w:val="22"/>
          <w:szCs w:val="22"/>
          <w:b w:val="1"/>
          <w:bCs w:val="1"/>
          <w:color w:val="auto"/>
        </w:rPr>
        <w:t xml:space="preserve">. Deliver to Agent (for further delivery to each Lender) on or before the twenty-fifth (25th) day of each month that is the last day of a calendar quarter (or such later date as Agent shall agree to in its sole discretion) as and for the prior calendar quarter (or monthly on the twenty-fifth (25th) day of each month (or such later date (not to exceed five (5) days) as Agent shall agree to in its sole discretion) for the prior month, if, at any time during such month, either (i) there are any Revolving Advances or Swing Loans outstanding or (ii) the Dollar Equivalent of the Maximum Undrawn Amount of all outstanding Letters of Credit is greater than thirty-three percent (33.0%) of the Maximum Loan Amount), (a) accounts receivable ageings inclusive of reconciliations to the general ledger, (b) accounts payable schedules inclusive of reconciliations to the general ledger, (c) a list of Equipment acquired or disposed of, (d) a certificate of an officer of GLDD listing all Documented Vessels and the geographic location of such Documented Vessels of a recent date, and (e) a Borrowing Base Certificate in form and substance satisfactory to Agent (which shall be calculated as of the last day of the prior month and which shall not be binding upon Agent or restrictive of Agent's rights under this Agreement); </w:t>
      </w:r>
      <w:r>
        <w:rPr>
          <w:rFonts w:ascii="Times New Roman" w:cs="Times New Roman" w:eastAsia="Times New Roman" w:hAnsi="Times New Roman"/>
          <w:sz w:val="22"/>
          <w:szCs w:val="22"/>
          <w:b w:val="1"/>
          <w:bCs w:val="1"/>
          <w:u w:val="single" w:color="auto"/>
          <w:color w:val="auto"/>
        </w:rPr>
        <w:t>provided</w:t>
      </w:r>
      <w:r>
        <w:rPr>
          <w:rFonts w:ascii="Times New Roman" w:cs="Times New Roman" w:eastAsia="Times New Roman" w:hAnsi="Times New Roman"/>
          <w:sz w:val="22"/>
          <w:szCs w:val="22"/>
          <w:b w:val="1"/>
          <w:bCs w:val="1"/>
          <w:color w:val="auto"/>
        </w:rPr>
        <w:t>, that, (A) if Borrowers are reporting on a quarterly basis in accordance with this Section 9.2 (and have not, for the sake of clarity, delivered a monthly reporting package in accordance with this Section 9.2 for the most recently-ended month), Borrowing Agent shall deliver to Agent the foregoing schedules, information, and Borrowing Base Certificate, in each case for and as of the most-recently ended month, as a condition precedent to the Lenders making any Revolving Advances or Swing Loans available to Borrowers; and (B) solely to the extent that any Eligible Receivables are included in the Formula Amount, the foregoing reporting requirements under this Section 9.2 shall be delivered weekly, on Wednesday of each week (or such later date (not to exceed five (5) days) as Agent shall agree to in its sole discretion) for the prior week, if (A) an Event of Default exists and Agent elects to require weekly reporting or (B) at any time Undrawn Availability is less than ten percent (10.0%) of the Maximum Loan Amount for five (5) consecutive days, until Undrawn Availability exceeds ten percent (10.0%) of the Maximum Loan Amount for at least thirty (30) consecutive calendar days and no Event of Default exists).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 addition, each Borrower will deliver to Agent at such intervals as Agent may require: (i) confirmatory assignment schedules;</w:t>
      </w:r>
    </w:p>
    <w:p>
      <w:pPr>
        <w:spacing w:after="0" w:line="14" w:lineRule="exact"/>
        <w:rPr>
          <w:sz w:val="20"/>
          <w:szCs w:val="20"/>
          <w:color w:val="auto"/>
        </w:rPr>
      </w:pPr>
    </w:p>
    <w:p>
      <w:pPr>
        <w:jc w:val="both"/>
        <w:ind w:firstLine="8"/>
        <w:spacing w:after="0" w:line="232" w:lineRule="auto"/>
        <w:tabs>
          <w:tab w:leader="none" w:pos="351"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copies of Customer's invoices; (iii) evidence of shipment or delivery; and (iv) such further schedules, documents and/or information regarding the Collateral as Agent may require including trial balances and test verifications. In addition to the foregoing, within forty-five (45) days after the end of each fiscal quarter, Borrowing Agent shall furnish to Agent, (1) a backlog schedule and a schedule of all work-in-progress, identified by contract or project, of GLDD and its Subsidiaries for the performance of dredging, construction or other services as of the end of such calendar month, prepared in a manner consistent with past practices, and (2) a schedule of pending major United States projects of GLDD and its Subsidiaries as of the</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184" w:name="page185"/>
    <w:bookmarkEnd w:id="184"/>
    <w:p>
      <w:pPr>
        <w:jc w:val="both"/>
        <w:spacing w:after="0" w:line="238" w:lineRule="auto"/>
        <w:rPr>
          <w:sz w:val="20"/>
          <w:szCs w:val="20"/>
          <w:color w:val="auto"/>
        </w:rPr>
      </w:pPr>
      <w:r>
        <w:rPr>
          <w:rFonts w:ascii="Times New Roman" w:cs="Times New Roman" w:eastAsia="Times New Roman" w:hAnsi="Times New Roman"/>
          <w:sz w:val="22"/>
          <w:szCs w:val="22"/>
          <w:color w:val="auto"/>
        </w:rPr>
        <w:t>end of such fiscal quarter. In addition to the foregoing, within seventy-five (75) days after the end of each fiscal year, Borrowing Agent shall furnish to Agent, a schedule of (A) all Documented Vessels subject to an operating lease as of the end of such fiscal year, (B) the aggregate amount of rentals required to be paid by GLDD and its Subsidiaries under each such operating lease for the ensuing five (5) fiscal years, as reflected on a quarterly basis, and (C) the buy-out amount of each Documented Vessel subject to such operating lease as of the end of such fiscal year.</w:t>
      </w:r>
    </w:p>
    <w:p>
      <w:pPr>
        <w:spacing w:after="0" w:line="177"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As part of any field examination, Agent shall have the right to confirm and verify all Receivables by any manner and through any medium it considers advisable. The items to be provided under this Section are to be in form satisfactory to Agent and executed by each Borrower and delivered to Agent from time to time solely for Agent's convenience in maintaining records of the Collateral, and any Borrower's failure to deliver any of such items to Agent shall not affect, terminate, modify or otherwise limit Agent's Lien with respect to the Collateral. Unless otherwise agreed to by Agent, the items to be provided under this Section 9.2 shall be delivered to Agent by the specific method of Approved Electronic Communication designated by Agent.</w:t>
      </w:r>
    </w:p>
    <w:p>
      <w:pPr>
        <w:spacing w:after="0" w:line="17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b w:val="1"/>
          <w:bCs w:val="1"/>
          <w:u w:val="single" w:color="auto"/>
          <w:color w:val="auto"/>
        </w:rPr>
        <w:t>Environmental Reports</w:t>
      </w:r>
      <w:r>
        <w:rPr>
          <w:rFonts w:ascii="Times New Roman" w:cs="Times New Roman" w:eastAsia="Times New Roman" w:hAnsi="Times New Roman"/>
          <w:sz w:val="22"/>
          <w:szCs w:val="22"/>
          <w:b w:val="1"/>
          <w:bCs w:val="1"/>
          <w:color w:val="auto"/>
        </w:rPr>
        <w:t>.</w:t>
      </w:r>
    </w:p>
    <w:p>
      <w:pPr>
        <w:spacing w:after="0" w:line="210" w:lineRule="exact"/>
        <w:rPr>
          <w:sz w:val="20"/>
          <w:szCs w:val="20"/>
          <w:color w:val="auto"/>
        </w:rPr>
      </w:pPr>
    </w:p>
    <w:p>
      <w:pPr>
        <w:jc w:val="both"/>
        <w:ind w:firstLine="1497"/>
        <w:spacing w:after="0" w:line="235" w:lineRule="auto"/>
        <w:rPr>
          <w:sz w:val="20"/>
          <w:szCs w:val="20"/>
          <w:color w:val="auto"/>
        </w:rPr>
      </w:pPr>
      <w:r>
        <w:rPr>
          <w:rFonts w:ascii="Times New Roman" w:cs="Times New Roman" w:eastAsia="Times New Roman" w:hAnsi="Times New Roman"/>
          <w:sz w:val="22"/>
          <w:szCs w:val="22"/>
          <w:color w:val="auto"/>
        </w:rPr>
        <w:t>Furnish Agent, concurrently with the delivery of the financial statements referred to in Sections 9.7 and 9.8, with a certificate signed by a Responsible Officer of Borrowing Agent stating, to the best of his knowledge, that each Borrower is in compliance in all material respects with all applicable Environmental Laws, except for such non-compliance that could not reasonably be expected to have, individually or in the aggregate, a Material Adverse Effect. To the extent any Borrower is not in compliance with the foregoing laws, and such non-compliance is reasonably expected to have a Material Adverse Effect, the certificate shall set forth with specificity all areas of non-compliance and the proposed action such Borrower will implement in order to achieve full compliance.</w:t>
      </w:r>
    </w:p>
    <w:p>
      <w:pPr>
        <w:spacing w:after="0" w:line="183" w:lineRule="exact"/>
        <w:rPr>
          <w:sz w:val="20"/>
          <w:szCs w:val="20"/>
          <w:color w:val="auto"/>
        </w:rPr>
      </w:pPr>
    </w:p>
    <w:p>
      <w:pPr>
        <w:jc w:val="both"/>
        <w:ind w:firstLine="1497"/>
        <w:spacing w:after="0" w:line="234" w:lineRule="auto"/>
        <w:rPr>
          <w:sz w:val="20"/>
          <w:szCs w:val="20"/>
          <w:color w:val="auto"/>
        </w:rPr>
      </w:pPr>
      <w:r>
        <w:rPr>
          <w:rFonts w:ascii="Times New Roman" w:cs="Times New Roman" w:eastAsia="Times New Roman" w:hAnsi="Times New Roman"/>
          <w:sz w:val="22"/>
          <w:szCs w:val="22"/>
          <w:color w:val="auto"/>
        </w:rPr>
        <w:t>Furnish Agent, promptly after the assertion or occurrence thereof, notice of any Environmental Claim or of any filing or report made by any Credit Party or any Subsidiary thereof with any Governmental Body with respect to any violation of or liability under any Environmental Law that could reasonably be expected to have a Material Adverse Effect. Without limiting the foregoing, Borrowing Agent shall promptly forward to Agent copies of any material request for information, notification of potential liability, demand letter relating to potential responsibility with respect to the investigation or cleanup of Hazardous Materials at any other site owned, operated or used by any Credit Party to manage of Hazardous Materials and shall continue to forward copies of material correspondence between any Borrower and the Governmental Body regarding such claims to Agent until the claim is settled. Borrowing Agent shall promptly forward to Agent copies of all material documents and reports concerning any material Environmental Claim at the Real Property owned, leased or occupied by any Borrower, or operations or business that any Borrower is required to file under any Environmental Laws.</w:t>
      </w:r>
    </w:p>
    <w:p>
      <w:pPr>
        <w:spacing w:after="0" w:line="175" w:lineRule="exact"/>
        <w:rPr>
          <w:sz w:val="20"/>
          <w:szCs w:val="20"/>
          <w:color w:val="auto"/>
        </w:rPr>
      </w:pPr>
    </w:p>
    <w:p>
      <w:pPr>
        <w:jc w:val="both"/>
        <w:ind w:firstLine="1497"/>
        <w:spacing w:after="0" w:line="241" w:lineRule="auto"/>
        <w:rPr>
          <w:sz w:val="20"/>
          <w:szCs w:val="20"/>
          <w:color w:val="auto"/>
        </w:rPr>
      </w:pPr>
      <w:r>
        <w:rPr>
          <w:rFonts w:ascii="Times New Roman" w:cs="Times New Roman" w:eastAsia="Times New Roman" w:hAnsi="Times New Roman"/>
          <w:sz w:val="22"/>
          <w:szCs w:val="22"/>
          <w:b w:val="1"/>
          <w:bCs w:val="1"/>
          <w:u w:val="single" w:color="auto"/>
          <w:color w:val="auto"/>
        </w:rPr>
        <w:t>Litigation</w:t>
      </w:r>
      <w:r>
        <w:rPr>
          <w:rFonts w:ascii="Times New Roman" w:cs="Times New Roman" w:eastAsia="Times New Roman" w:hAnsi="Times New Roman"/>
          <w:sz w:val="22"/>
          <w:szCs w:val="22"/>
          <w:b w:val="1"/>
          <w:bCs w:val="1"/>
          <w:color w:val="auto"/>
        </w:rPr>
        <w:t>. Promptly notify Agent (for further delivery to each Lender) in writing of (i) any claim, litigation, suit or administrative proceeding affecting any Credit Party, whether or not the claim is covered by insurance, and (ii) any litigation, suit or administrative proceeding, which could, in the case of clauses (i) or (ii) of this Section 9.4, reasonably be expected to have a Material Adverse Effect.</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85" w:name="page186"/>
    <w:bookmarkEnd w:id="185"/>
    <w:p>
      <w:pPr>
        <w:ind w:left="1500"/>
        <w:spacing w:after="0"/>
        <w:rPr>
          <w:sz w:val="20"/>
          <w:szCs w:val="20"/>
          <w:color w:val="auto"/>
        </w:rPr>
      </w:pPr>
      <w:r>
        <w:rPr>
          <w:rFonts w:ascii="Times New Roman" w:cs="Times New Roman" w:eastAsia="Times New Roman" w:hAnsi="Times New Roman"/>
          <w:sz w:val="22"/>
          <w:szCs w:val="22"/>
          <w:b w:val="1"/>
          <w:bCs w:val="1"/>
          <w:u w:val="single" w:color="auto"/>
          <w:color w:val="auto"/>
        </w:rPr>
        <w:t>Material Occurrences</w:t>
      </w:r>
      <w:r>
        <w:rPr>
          <w:rFonts w:ascii="Times New Roman" w:cs="Times New Roman" w:eastAsia="Times New Roman" w:hAnsi="Times New Roman"/>
          <w:sz w:val="22"/>
          <w:szCs w:val="22"/>
          <w:b w:val="1"/>
          <w:bCs w:val="1"/>
          <w:color w:val="auto"/>
        </w:rPr>
        <w:t>. Promptly notify Agent (for further delivery to each Lender) in writing upon the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occurrence of: (a) any Event of Default or Default; (b) any event which with the giving of notice or lapse of time, or both,</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would constitute an event of default with respect to the Note Indenture Obligations; (c) any accumulated retirement plan</w:t>
      </w:r>
    </w:p>
    <w:p>
      <w:pPr>
        <w:spacing w:after="0" w:line="231" w:lineRule="auto"/>
        <w:rPr>
          <w:sz w:val="20"/>
          <w:szCs w:val="20"/>
          <w:color w:val="auto"/>
        </w:rPr>
      </w:pPr>
      <w:r>
        <w:rPr>
          <w:rFonts w:ascii="Times New Roman" w:cs="Times New Roman" w:eastAsia="Times New Roman" w:hAnsi="Times New Roman"/>
          <w:sz w:val="22"/>
          <w:szCs w:val="22"/>
          <w:b w:val="1"/>
          <w:bCs w:val="1"/>
          <w:color w:val="auto"/>
        </w:rPr>
        <w:t>funding deficiency which, if such deficiency continued for two plan years and was not corrected as provided in Section</w:t>
      </w:r>
    </w:p>
    <w:p>
      <w:pPr>
        <w:spacing w:after="0" w:line="231" w:lineRule="auto"/>
        <w:rPr>
          <w:sz w:val="20"/>
          <w:szCs w:val="20"/>
          <w:color w:val="auto"/>
        </w:rPr>
      </w:pPr>
      <w:r>
        <w:rPr>
          <w:rFonts w:ascii="Times New Roman" w:cs="Times New Roman" w:eastAsia="Times New Roman" w:hAnsi="Times New Roman"/>
          <w:sz w:val="22"/>
          <w:szCs w:val="22"/>
          <w:b w:val="1"/>
          <w:bCs w:val="1"/>
          <w:color w:val="auto"/>
        </w:rPr>
        <w:t>4971 of the Code, could subject any Borrower to a Tax imposed by Section 4971 of the Code; (d) copies of each notice 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other correspondence received from the SEC (or comparable agency in any applicable non-U.S. jurisdiction) concerning</w:t>
      </w:r>
    </w:p>
    <w:p>
      <w:pPr>
        <w:spacing w:after="0" w:line="231" w:lineRule="auto"/>
        <w:rPr>
          <w:sz w:val="20"/>
          <w:szCs w:val="20"/>
          <w:color w:val="auto"/>
        </w:rPr>
      </w:pPr>
      <w:r>
        <w:rPr>
          <w:rFonts w:ascii="Times New Roman" w:cs="Times New Roman" w:eastAsia="Times New Roman" w:hAnsi="Times New Roman"/>
          <w:sz w:val="22"/>
          <w:szCs w:val="22"/>
          <w:b w:val="1"/>
          <w:bCs w:val="1"/>
          <w:color w:val="auto"/>
        </w:rPr>
        <w:t>any material investigation or other material inquiry by such agency regarding financial or other operational results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any Credit Party or any Subsidiary thereof; (e) (i) any event of default (including an "Event of Default" as defined in the</w:t>
      </w:r>
    </w:p>
    <w:p>
      <w:pPr>
        <w:spacing w:after="0" w:line="231" w:lineRule="auto"/>
        <w:rPr>
          <w:sz w:val="20"/>
          <w:szCs w:val="20"/>
          <w:color w:val="auto"/>
        </w:rPr>
      </w:pPr>
      <w:r>
        <w:rPr>
          <w:rFonts w:ascii="Times New Roman" w:cs="Times New Roman" w:eastAsia="Times New Roman" w:hAnsi="Times New Roman"/>
          <w:sz w:val="22"/>
          <w:szCs w:val="22"/>
          <w:b w:val="1"/>
          <w:bCs w:val="1"/>
          <w:color w:val="auto"/>
        </w:rPr>
        <w:t>Second Lien Loan Agreement) under the Second Lien Loan Documents, and/or (ii) any event which with the giving of</w:t>
      </w:r>
    </w:p>
    <w:p>
      <w:pPr>
        <w:spacing w:after="0" w:line="231" w:lineRule="auto"/>
        <w:rPr>
          <w:sz w:val="20"/>
          <w:szCs w:val="20"/>
          <w:color w:val="auto"/>
        </w:rPr>
      </w:pPr>
      <w:r>
        <w:rPr>
          <w:rFonts w:ascii="Times New Roman" w:cs="Times New Roman" w:eastAsia="Times New Roman" w:hAnsi="Times New Roman"/>
          <w:sz w:val="22"/>
          <w:szCs w:val="22"/>
          <w:b w:val="1"/>
          <w:bCs w:val="1"/>
          <w:color w:val="auto"/>
        </w:rPr>
        <w:t>notice or lapse of time, or both, would constitute an event of default (including an "Event of Default" as defined in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Second Lien Loan Agreement) under the Second Lien Loan Documents; (f) any dispute or claim involving GLDD or any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of its Subsidiaries if such dispute or claim involves in excess of $1,000,000; and (g) any other development in the business</w:t>
      </w:r>
    </w:p>
    <w:p>
      <w:pPr>
        <w:spacing w:after="0" w:line="231" w:lineRule="auto"/>
        <w:rPr>
          <w:sz w:val="20"/>
          <w:szCs w:val="20"/>
          <w:color w:val="auto"/>
        </w:rPr>
      </w:pPr>
      <w:r>
        <w:rPr>
          <w:rFonts w:ascii="Times New Roman" w:cs="Times New Roman" w:eastAsia="Times New Roman" w:hAnsi="Times New Roman"/>
          <w:sz w:val="22"/>
          <w:szCs w:val="22"/>
          <w:b w:val="1"/>
          <w:bCs w:val="1"/>
          <w:color w:val="auto"/>
        </w:rPr>
        <w:t>or affairs of any Borrower or any Guarantor, which could reasonably be expected to have a Material Adverse Effect; in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each case describing the nature thereof and the action Borrowers propose to take with respect thereto.</w:t>
      </w:r>
    </w:p>
    <w:p>
      <w:pPr>
        <w:spacing w:after="0" w:line="17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i w:val="1"/>
          <w:iCs w:val="1"/>
          <w:color w:val="auto"/>
        </w:rPr>
        <w:t>Intentionally Omitted.</w:t>
      </w:r>
      <w:r>
        <w:rPr>
          <w:rFonts w:ascii="Times New Roman" w:cs="Times New Roman" w:eastAsia="Times New Roman" w:hAnsi="Times New Roman"/>
          <w:sz w:val="22"/>
          <w:szCs w:val="22"/>
          <w:b w:val="1"/>
          <w:bCs w:val="1"/>
          <w:color w:val="auto"/>
        </w:rPr>
        <w:t>].</w:t>
      </w:r>
    </w:p>
    <w:p>
      <w:pPr>
        <w:spacing w:after="0" w:line="208" w:lineRule="exact"/>
        <w:rPr>
          <w:sz w:val="20"/>
          <w:szCs w:val="20"/>
          <w:color w:val="auto"/>
        </w:rPr>
      </w:pPr>
    </w:p>
    <w:p>
      <w:pPr>
        <w:jc w:val="both"/>
        <w:ind w:firstLine="1497"/>
        <w:spacing w:after="0" w:line="235" w:lineRule="auto"/>
        <w:rPr>
          <w:sz w:val="20"/>
          <w:szCs w:val="20"/>
          <w:color w:val="auto"/>
        </w:rPr>
      </w:pPr>
      <w:r>
        <w:rPr>
          <w:rFonts w:ascii="Times New Roman" w:cs="Times New Roman" w:eastAsia="Times New Roman" w:hAnsi="Times New Roman"/>
          <w:sz w:val="22"/>
          <w:szCs w:val="22"/>
          <w:b w:val="1"/>
          <w:bCs w:val="1"/>
          <w:u w:val="single" w:color="auto"/>
          <w:color w:val="auto"/>
        </w:rPr>
        <w:t>Annual Financial Statements</w:t>
      </w:r>
      <w:r>
        <w:rPr>
          <w:rFonts w:ascii="Times New Roman" w:cs="Times New Roman" w:eastAsia="Times New Roman" w:hAnsi="Times New Roman"/>
          <w:sz w:val="22"/>
          <w:szCs w:val="22"/>
          <w:b w:val="1"/>
          <w:bCs w:val="1"/>
          <w:color w:val="auto"/>
        </w:rPr>
        <w:t>. Furnish Agent and Lenders within ninety (90) days after the end of each fiscal year of GLDD, financial statements of GLDD on a consolidated, and consolidating or similar basis with respect to any Strategic Joint Venture, basis including, but not limited to, statements of income and stockholders' equity and cash flow from the beginning of the current fiscal year to the end of such fiscal year and the balance sheet as at the end of such fiscal year, all prepared in accordance with GAAP applied on a basis consistent with prior practices, and in reasonable detail and reported upon without qualification (other than a "going concern" qualification resulting solely from the maturity of the Obligations within a year of such opinion) by an independent certified public accounting firm selected by Borrowers and satisfactory to Agent, it being understood that Deloitte &amp; Touche LLP is satisfactory to Agent (the "</w:t>
      </w:r>
      <w:r>
        <w:rPr>
          <w:rFonts w:ascii="Times New Roman" w:cs="Times New Roman" w:eastAsia="Times New Roman" w:hAnsi="Times New Roman"/>
          <w:sz w:val="22"/>
          <w:szCs w:val="22"/>
          <w:b w:val="1"/>
          <w:bCs w:val="1"/>
          <w:u w:val="single" w:color="auto"/>
          <w:color w:val="auto"/>
        </w:rPr>
        <w:t>Accountants</w:t>
      </w:r>
      <w:r>
        <w:rPr>
          <w:rFonts w:ascii="Times New Roman" w:cs="Times New Roman" w:eastAsia="Times New Roman" w:hAnsi="Times New Roman"/>
          <w:sz w:val="22"/>
          <w:szCs w:val="22"/>
          <w:b w:val="1"/>
          <w:bCs w:val="1"/>
          <w:color w:val="auto"/>
        </w:rPr>
        <w:t>").</w:t>
      </w:r>
    </w:p>
    <w:p>
      <w:pPr>
        <w:spacing w:after="0" w:line="174" w:lineRule="exact"/>
        <w:rPr>
          <w:sz w:val="20"/>
          <w:szCs w:val="20"/>
          <w:color w:val="auto"/>
        </w:rPr>
      </w:pPr>
    </w:p>
    <w:p>
      <w:pPr>
        <w:jc w:val="both"/>
        <w:ind w:firstLine="1497"/>
        <w:spacing w:after="0" w:line="234" w:lineRule="auto"/>
        <w:rPr>
          <w:sz w:val="20"/>
          <w:szCs w:val="20"/>
          <w:color w:val="auto"/>
        </w:rPr>
      </w:pPr>
      <w:r>
        <w:rPr>
          <w:rFonts w:ascii="Times New Roman" w:cs="Times New Roman" w:eastAsia="Times New Roman" w:hAnsi="Times New Roman"/>
          <w:sz w:val="22"/>
          <w:szCs w:val="22"/>
          <w:b w:val="1"/>
          <w:bCs w:val="1"/>
          <w:u w:val="single" w:color="auto"/>
          <w:color w:val="auto"/>
        </w:rPr>
        <w:t>Quarterly Financial Statements</w:t>
      </w:r>
      <w:r>
        <w:rPr>
          <w:rFonts w:ascii="Times New Roman" w:cs="Times New Roman" w:eastAsia="Times New Roman" w:hAnsi="Times New Roman"/>
          <w:sz w:val="22"/>
          <w:szCs w:val="22"/>
          <w:b w:val="1"/>
          <w:bCs w:val="1"/>
          <w:color w:val="auto"/>
        </w:rPr>
        <w:t xml:space="preserve"> . Furnish Agent and Lenders within forty-five (45) days after the end of each fiscal quarter (or such later date as Agent shall agree to in its sole discretion), an unaudited balance sheet of GLDD on a consolidated, and consolidating or similar basis with respect to any Strategic Joint Venture, basis and unaudited statements of income and stockholders' equity and cash flow of GLDD on a consolidated, and consolidating or similar basis with respect to any Strategic Joint Venture, basis reflecting results of operations from the beginning of the fiscal year to the end of such quarter and for such quarter, prepared on a basis consistent with prior practices and complete and correct in all material respects, subject to normal and recurring year-end adjustments that individually and in the aggregate are not material to Borrowers' business operations and setting forth in comparative form the respective financial statements for the corresponding date and period in the previous fiscal year. The reports shall be accompanied by a Compliance Certificate.</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86" w:name="page187"/>
    <w:bookmarkEnd w:id="186"/>
    <w:p>
      <w:pPr>
        <w:jc w:val="both"/>
        <w:spacing w:after="0" w:line="232" w:lineRule="auto"/>
        <w:rPr>
          <w:sz w:val="20"/>
          <w:szCs w:val="20"/>
          <w:color w:val="auto"/>
        </w:rPr>
      </w:pPr>
      <w:r>
        <w:rPr>
          <w:rFonts w:ascii="Times New Roman" w:cs="Times New Roman" w:eastAsia="Times New Roman" w:hAnsi="Times New Roman"/>
          <w:sz w:val="22"/>
          <w:szCs w:val="22"/>
          <w:color w:val="auto"/>
        </w:rPr>
        <w:t>Notwithstanding the foregoing, (i) in the event that the Borrowing Agent delivers to Agent an Annual Report for GLDD on Form 10-K for such fiscal year, as filed with the SEC, within ninety (90) days after the end of such fiscal year, such Form 10-K shall satisfy all requirements of Section 9.7 to the extent that it contains the information required by Section 9.7 and does not contain any qualification (other than a "going concern" qualification resulting solely from the maturity of the Obligations within a year of such opinion) and (ii) in the event that the Borrowing Agent delivers to Agent a Quarterly Report for GLDD on Form 10-Q for such fiscal quarter, as filed with the SEC, within forty-five (45) days after the end of such fiscal quarter, such Form 10-Q shall satisfy all requirements of Section 9.8 to the extent that it contains the information required by Section 9.8 (for the avoidance of doubt, notwithstanding the foregoing, Borrowing Agent will still be required to deliver comparative financial information and Compliance Certificates as required under Sections 9.7 and 9.8). Documents required to be delivered pursuant to Sections 9.7, 9.8, 9.10 or otherwise (to the extent any such documents are included in materials otherwise filed with the SEC) may be delivered electronically and if so delivered, shall be deemed to have been delivered on the date (i) on which GLDD posts such documents, or provides a link thereto on GLDD's website on the Internet at http://investor.gldd.com/sec.cfm; or (ii) on which such documents are posted on GLDD's behalf on an Internet or intranet website, if any, to which each Lender and Agent have access (whether a commercial, third-party website or whether sponsored by Agent); provided that upon written request by Agent, Borrowing Agent shall deliver paper copies of such documents to Agent or any Lender that requests Borrowing Agent to deliver such paper copies until a written request to cease delivering paper copies is given by Agent or such Lender. Agent shall have no obligation to request the delivery or to maintain copies of the documents referred to above, and in any event shall have no responsibility to monitor compliance by Borrowing Agent with any such request for delivery, and each Lender shall be solely responsible for requesting delivery to it or maintaining its copies of such documents.</w:t>
      </w:r>
    </w:p>
    <w:p>
      <w:pPr>
        <w:spacing w:after="0" w:line="183"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1"/>
          <w:szCs w:val="21"/>
          <w:b w:val="1"/>
          <w:bCs w:val="1"/>
          <w:u w:val="single" w:color="auto"/>
          <w:color w:val="auto"/>
        </w:rPr>
        <w:t>Monthly Financial Statements</w:t>
      </w:r>
      <w:r>
        <w:rPr>
          <w:rFonts w:ascii="Times New Roman" w:cs="Times New Roman" w:eastAsia="Times New Roman" w:hAnsi="Times New Roman"/>
          <w:sz w:val="21"/>
          <w:szCs w:val="21"/>
          <w:b w:val="1"/>
          <w:bCs w:val="1"/>
          <w:color w:val="auto"/>
        </w:rPr>
        <w:t xml:space="preserve">. Solely with respect to any month during which the aggregate amount of the outstanding amount of Revolving Advances, </w:t>
      </w:r>
      <w:r>
        <w:rPr>
          <w:rFonts w:ascii="Times New Roman" w:cs="Times New Roman" w:eastAsia="Times New Roman" w:hAnsi="Times New Roman"/>
          <w:sz w:val="21"/>
          <w:szCs w:val="21"/>
          <w:b w:val="1"/>
          <w:bCs w:val="1"/>
          <w:i w:val="1"/>
          <w:iCs w:val="1"/>
          <w:color w:val="auto"/>
        </w:rPr>
        <w:t>plus</w:t>
      </w:r>
      <w:r>
        <w:rPr>
          <w:rFonts w:ascii="Times New Roman" w:cs="Times New Roman" w:eastAsia="Times New Roman" w:hAnsi="Times New Roman"/>
          <w:sz w:val="21"/>
          <w:szCs w:val="21"/>
          <w:b w:val="1"/>
          <w:bCs w:val="1"/>
          <w:color w:val="auto"/>
        </w:rPr>
        <w:t xml:space="preserve"> the Dollar Equivalent of the Maximum Undrawn Amount of all outstanding Letters of Credit, </w:t>
      </w:r>
      <w:r>
        <w:rPr>
          <w:rFonts w:ascii="Times New Roman" w:cs="Times New Roman" w:eastAsia="Times New Roman" w:hAnsi="Times New Roman"/>
          <w:sz w:val="21"/>
          <w:szCs w:val="21"/>
          <w:b w:val="1"/>
          <w:bCs w:val="1"/>
          <w:i w:val="1"/>
          <w:iCs w:val="1"/>
          <w:color w:val="auto"/>
        </w:rPr>
        <w:t>plus</w:t>
      </w:r>
      <w:r>
        <w:rPr>
          <w:rFonts w:ascii="Times New Roman" w:cs="Times New Roman" w:eastAsia="Times New Roman" w:hAnsi="Times New Roman"/>
          <w:sz w:val="21"/>
          <w:szCs w:val="21"/>
          <w:b w:val="1"/>
          <w:bCs w:val="1"/>
          <w:color w:val="auto"/>
        </w:rPr>
        <w:t xml:space="preserve"> the outstanding amount of Swing Loans is greater than thirty-three percent (33.0%) of the Maximum Loan Amount, furnish Agent and Lenders within thirty (30) days after the end of each such month (or such later date as Agent shall agree to in its sole discretion), an unaudited balance sheet of GLDD on a consolidated, and consolidating or similar basis with respect to any Strategic Joint Venture, basis and unaudited statements of income and cash flow of GLDD on a consolidated, and consolidating or similar basis with respect to any Strategic Joint Venture, basis reflecting results of operations from the beginning of the fiscal year to the end of such month and for such month, prepared on a basis consistent with prior practices and complete and correct in all material respects, subject to normal and recurring year-end adjustments that individually and in the aggregate are not material to Borrowers' business operations and setting forth in comparative form the respective financial statements for the corresponding date and period in the previous fiscal year. To the extent required to be delivered under this Section 9.9, such reports shall be accompanied by a Compliance Certificate, including a calculation of each financial covenant ratio set forth in Section 6.5 as of the most recently ended fiscal month (regardless of whether a Covenant Testing Period is in effect).</w:t>
      </w:r>
    </w:p>
    <w:p>
      <w:pPr>
        <w:spacing w:after="0" w:line="181" w:lineRule="exact"/>
        <w:rPr>
          <w:sz w:val="20"/>
          <w:szCs w:val="20"/>
          <w:color w:val="auto"/>
        </w:rPr>
      </w:pPr>
    </w:p>
    <w:p>
      <w:pPr>
        <w:jc w:val="both"/>
        <w:ind w:firstLine="1497"/>
        <w:spacing w:after="0" w:line="246" w:lineRule="auto"/>
        <w:rPr>
          <w:sz w:val="20"/>
          <w:szCs w:val="20"/>
          <w:color w:val="auto"/>
        </w:rPr>
      </w:pPr>
      <w:r>
        <w:rPr>
          <w:rFonts w:ascii="Times New Roman" w:cs="Times New Roman" w:eastAsia="Times New Roman" w:hAnsi="Times New Roman"/>
          <w:sz w:val="22"/>
          <w:szCs w:val="22"/>
          <w:b w:val="1"/>
          <w:bCs w:val="1"/>
          <w:u w:val="single" w:color="auto"/>
          <w:color w:val="auto"/>
        </w:rPr>
        <w:t>Other Reports</w:t>
      </w:r>
      <w:r>
        <w:rPr>
          <w:rFonts w:ascii="Times New Roman" w:cs="Times New Roman" w:eastAsia="Times New Roman" w:hAnsi="Times New Roman"/>
          <w:sz w:val="22"/>
          <w:szCs w:val="22"/>
          <w:b w:val="1"/>
          <w:bCs w:val="1"/>
          <w:color w:val="auto"/>
        </w:rPr>
        <w:t>. Furnish Agent, upon reasonable request, copies of (i) such financial statements, reports and returns as each Borrower shall send to its stockholders, (ii) any notices, reports, financial statements and other materials sent pursuant to the Note Indenture, and (iii) any</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87" w:name="page188"/>
    <w:bookmarkEnd w:id="187"/>
    <w:p>
      <w:pPr>
        <w:jc w:val="both"/>
        <w:ind w:right="20"/>
        <w:spacing w:after="0" w:line="262" w:lineRule="auto"/>
        <w:rPr>
          <w:sz w:val="20"/>
          <w:szCs w:val="20"/>
          <w:color w:val="auto"/>
        </w:rPr>
      </w:pPr>
      <w:r>
        <w:rPr>
          <w:rFonts w:ascii="Times New Roman" w:cs="Times New Roman" w:eastAsia="Times New Roman" w:hAnsi="Times New Roman"/>
          <w:sz w:val="22"/>
          <w:szCs w:val="22"/>
          <w:b w:val="1"/>
          <w:bCs w:val="1"/>
          <w:color w:val="auto"/>
        </w:rPr>
        <w:t>notices, reports and financial statements (other than administrative notices or documents and ordinary course interest-related documentation) sent pursuant to the Second Lien Loan Documents.</w:t>
      </w:r>
    </w:p>
    <w:p>
      <w:pPr>
        <w:spacing w:after="0" w:line="150" w:lineRule="exact"/>
        <w:rPr>
          <w:sz w:val="20"/>
          <w:szCs w:val="20"/>
          <w:color w:val="auto"/>
        </w:rPr>
      </w:pPr>
    </w:p>
    <w:p>
      <w:pPr>
        <w:jc w:val="both"/>
        <w:ind w:firstLine="1497"/>
        <w:spacing w:after="0" w:line="235" w:lineRule="auto"/>
        <w:rPr>
          <w:sz w:val="20"/>
          <w:szCs w:val="20"/>
          <w:color w:val="auto"/>
        </w:rPr>
      </w:pPr>
      <w:r>
        <w:rPr>
          <w:rFonts w:ascii="Times New Roman" w:cs="Times New Roman" w:eastAsia="Times New Roman" w:hAnsi="Times New Roman"/>
          <w:sz w:val="22"/>
          <w:szCs w:val="22"/>
          <w:b w:val="1"/>
          <w:bCs w:val="1"/>
          <w:u w:val="single" w:color="auto"/>
          <w:color w:val="auto"/>
        </w:rPr>
        <w:t>Additional Information</w:t>
      </w:r>
      <w:r>
        <w:rPr>
          <w:rFonts w:ascii="Times New Roman" w:cs="Times New Roman" w:eastAsia="Times New Roman" w:hAnsi="Times New Roman"/>
          <w:sz w:val="22"/>
          <w:szCs w:val="22"/>
          <w:b w:val="1"/>
          <w:bCs w:val="1"/>
          <w:color w:val="auto"/>
        </w:rPr>
        <w:t>. Furnish Agent with such additional information as Agent or any Lender shall reasonably request in order to enable Agent or such Lender to determine whether the terms, covenants, provisions and conditions of this Agreement and the Notes have been complied with by Borrowers including, without the necessity of any request by Agent or any Lender, (a) at least ten (10) days after the end of each fiscal quarter, notice of any Borrower's opening of any material new office or place of business or any Borrower's closing of any material existing office or place of business, and (b) promptly upon any Borrower's learning thereof, notice of any labor dispute to which any Borrower may become a party, any strikes or walkouts relating to any of its plants or other facilities, and the expiration of any labor contract to which any Borrower is a party or by which any Borrower is bound, in each case, which could reasonably be expected to result in a Material Adverse Effect.</w:t>
      </w:r>
    </w:p>
    <w:p>
      <w:pPr>
        <w:spacing w:after="0" w:line="174" w:lineRule="exact"/>
        <w:rPr>
          <w:sz w:val="20"/>
          <w:szCs w:val="20"/>
          <w:color w:val="auto"/>
        </w:rPr>
      </w:pPr>
    </w:p>
    <w:p>
      <w:pPr>
        <w:jc w:val="both"/>
        <w:ind w:firstLine="1497"/>
        <w:spacing w:after="0" w:line="248" w:lineRule="auto"/>
        <w:rPr>
          <w:sz w:val="20"/>
          <w:szCs w:val="20"/>
          <w:color w:val="auto"/>
        </w:rPr>
      </w:pPr>
      <w:r>
        <w:rPr>
          <w:rFonts w:ascii="Times New Roman" w:cs="Times New Roman" w:eastAsia="Times New Roman" w:hAnsi="Times New Roman"/>
          <w:sz w:val="21"/>
          <w:szCs w:val="21"/>
          <w:b w:val="1"/>
          <w:bCs w:val="1"/>
          <w:u w:val="single" w:color="auto"/>
          <w:color w:val="auto"/>
        </w:rPr>
        <w:t>Projected Operating Budget</w:t>
      </w:r>
      <w:r>
        <w:rPr>
          <w:rFonts w:ascii="Times New Roman" w:cs="Times New Roman" w:eastAsia="Times New Roman" w:hAnsi="Times New Roman"/>
          <w:sz w:val="21"/>
          <w:szCs w:val="21"/>
          <w:b w:val="1"/>
          <w:bCs w:val="1"/>
          <w:color w:val="auto"/>
        </w:rPr>
        <w:t>. Furnish Agent and Lenders, no later than seventy-five (75) days after the beginning of each Borrower's fiscal year commencing with fiscal year 2023, a month by month projected operating budget and cash flow of Borrowers on a consolidated basis for such fiscal year (including an income statement for each month and a balance sheet as at the end of the last month in each fiscal quarter), such projections to be accompanied by a certificate signed by a Responsible Officer of each Borrower to the effect that such projections have been prepared on the basis of sound financial planning practice consistent with past budgets and financial statements and that such officer has no reason to question the reasonableness of any material assumptions on which such projections were prepared.</w:t>
      </w:r>
    </w:p>
    <w:p>
      <w:pPr>
        <w:spacing w:after="0" w:line="170"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b w:val="1"/>
          <w:bCs w:val="1"/>
          <w:u w:val="single" w:color="auto"/>
          <w:color w:val="auto"/>
        </w:rPr>
        <w:t>Variances From Operating Budget</w:t>
      </w:r>
      <w:r>
        <w:rPr>
          <w:rFonts w:ascii="Times New Roman" w:cs="Times New Roman" w:eastAsia="Times New Roman" w:hAnsi="Times New Roman"/>
          <w:sz w:val="22"/>
          <w:szCs w:val="22"/>
          <w:b w:val="1"/>
          <w:bCs w:val="1"/>
          <w:color w:val="auto"/>
        </w:rPr>
        <w:t>. Upon any reasonable request of Agent, furnish Agent, promptly following the delivery of the financial statements referred to in Sections 9.7 and 9.8 a written report summarizing all material variances from budgets submitted by Borrowers pursuant to Section 9.12 and a discussion and analysis by management with respect to such variances in each case in the form provided to the Board of Directors of any Borrower in the Ordinary Course of Business.</w:t>
      </w:r>
    </w:p>
    <w:p>
      <w:pPr>
        <w:spacing w:after="0" w:line="177" w:lineRule="exact"/>
        <w:rPr>
          <w:sz w:val="20"/>
          <w:szCs w:val="20"/>
          <w:color w:val="auto"/>
        </w:rPr>
      </w:pPr>
    </w:p>
    <w:p>
      <w:pPr>
        <w:jc w:val="both"/>
        <w:ind w:firstLine="1497"/>
        <w:spacing w:after="0" w:line="235" w:lineRule="auto"/>
        <w:rPr>
          <w:sz w:val="20"/>
          <w:szCs w:val="20"/>
          <w:color w:val="auto"/>
        </w:rPr>
      </w:pPr>
      <w:r>
        <w:rPr>
          <w:rFonts w:ascii="Times New Roman" w:cs="Times New Roman" w:eastAsia="Times New Roman" w:hAnsi="Times New Roman"/>
          <w:sz w:val="22"/>
          <w:szCs w:val="22"/>
          <w:b w:val="1"/>
          <w:bCs w:val="1"/>
          <w:u w:val="single" w:color="auto"/>
          <w:color w:val="auto"/>
        </w:rPr>
        <w:t>Notice of Suits, Adverse Events</w:t>
      </w:r>
      <w:r>
        <w:rPr>
          <w:rFonts w:ascii="Times New Roman" w:cs="Times New Roman" w:eastAsia="Times New Roman" w:hAnsi="Times New Roman"/>
          <w:sz w:val="22"/>
          <w:szCs w:val="22"/>
          <w:b w:val="1"/>
          <w:bCs w:val="1"/>
          <w:color w:val="auto"/>
        </w:rPr>
        <w:t>. Furnish Agent with prompt written notice of (i) any lapse or other termination of any Consent issued to any Borrower by any Governmental Body or any other Person that is material to the operation of any Borrower's business, (ii) any refusal by any Governmental Body or any other Person to renew or extend any such Consent; and (iii) copies of any periodic or special reports filed by any Borrower or any Guarantor with any Governmental Body or Person, if such reports indicate any material change in the business, operations, affairs or condition of any Borrower or any Guarantor, or if copies thereof are requested by Lender, and (iv) copies of any notices and other communications from any Governmental Body or Person which specifically relate to any Borrower or any Guarantor and could reasonably be expected to result in a Material Adverse Effect.</w:t>
      </w:r>
    </w:p>
    <w:p>
      <w:pPr>
        <w:spacing w:after="0" w:line="178" w:lineRule="exact"/>
        <w:rPr>
          <w:sz w:val="20"/>
          <w:szCs w:val="20"/>
          <w:color w:val="auto"/>
        </w:rPr>
      </w:pPr>
    </w:p>
    <w:p>
      <w:pPr>
        <w:jc w:val="both"/>
        <w:ind w:firstLine="1497"/>
        <w:spacing w:after="0" w:line="246" w:lineRule="auto"/>
        <w:rPr>
          <w:sz w:val="20"/>
          <w:szCs w:val="20"/>
          <w:color w:val="auto"/>
        </w:rPr>
      </w:pPr>
      <w:r>
        <w:rPr>
          <w:rFonts w:ascii="Times New Roman" w:cs="Times New Roman" w:eastAsia="Times New Roman" w:hAnsi="Times New Roman"/>
          <w:sz w:val="22"/>
          <w:szCs w:val="22"/>
          <w:b w:val="1"/>
          <w:bCs w:val="1"/>
          <w:u w:val="single" w:color="auto"/>
          <w:color w:val="auto"/>
        </w:rPr>
        <w:t>ERISA Notices and Requests</w:t>
      </w:r>
      <w:r>
        <w:rPr>
          <w:rFonts w:ascii="Times New Roman" w:cs="Times New Roman" w:eastAsia="Times New Roman" w:hAnsi="Times New Roman"/>
          <w:sz w:val="22"/>
          <w:szCs w:val="22"/>
          <w:b w:val="1"/>
          <w:bCs w:val="1"/>
          <w:color w:val="auto"/>
        </w:rPr>
        <w:t>. Furnish Agent with immediate written notice in the event that (i) any Credit Party or ERISA Affiliate knows or has reason to know that a Termination Event has occurred, together with a written statement describing such Termination Event and the</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88" w:name="page189"/>
    <w:bookmarkEnd w:id="188"/>
    <w:p>
      <w:pPr>
        <w:jc w:val="both"/>
        <w:spacing w:after="0" w:line="235" w:lineRule="auto"/>
        <w:rPr>
          <w:sz w:val="20"/>
          <w:szCs w:val="20"/>
          <w:color w:val="auto"/>
        </w:rPr>
      </w:pPr>
      <w:r>
        <w:rPr>
          <w:rFonts w:ascii="Times New Roman" w:cs="Times New Roman" w:eastAsia="Times New Roman" w:hAnsi="Times New Roman"/>
          <w:sz w:val="22"/>
          <w:szCs w:val="22"/>
          <w:b w:val="1"/>
          <w:bCs w:val="1"/>
          <w:color w:val="auto"/>
        </w:rPr>
        <w:t>action, if any, which such Person has taken, is taking, or proposes to take with respect thereto and, when known, any action taken or threatened by the Internal Revenue Service, Department of Labor or PBGC with respect thereto, (ii) all notices received by any Credit Party or any ERISA Affiliate of the PBGC's intent to terminate any Pension Plan or to have a trustee appointed to administer any Pension Plan, (iii) all notices received by any Credit Party or any ERISA Affiliate from a Multiemployer Plan sponsor concerning the imposition or amount of withdrawal liability pursuant to Section 4202 of ERISA which in any such case could reasonably be expected to result in liabilities to GLDD and its Subsidiaries in excess of the Threshold Amount and (iv) any Credit Party obtaining knowledge or reason to know that any Credit Party or any ERISA Affiliate has filed or intends to file a notice of intent to terminate any Pension Plan under a distress termination within the meaning of Section 4041(c) of ERISA.</w:t>
      </w:r>
    </w:p>
    <w:p>
      <w:pPr>
        <w:spacing w:after="0" w:line="174" w:lineRule="exact"/>
        <w:rPr>
          <w:sz w:val="20"/>
          <w:szCs w:val="20"/>
          <w:color w:val="auto"/>
        </w:rPr>
      </w:pPr>
    </w:p>
    <w:p>
      <w:pPr>
        <w:jc w:val="both"/>
        <w:ind w:right="20" w:firstLine="1497"/>
        <w:spacing w:after="0" w:line="262" w:lineRule="auto"/>
        <w:rPr>
          <w:sz w:val="20"/>
          <w:szCs w:val="20"/>
          <w:color w:val="auto"/>
        </w:rPr>
      </w:pPr>
      <w:r>
        <w:rPr>
          <w:rFonts w:ascii="Times New Roman" w:cs="Times New Roman" w:eastAsia="Times New Roman" w:hAnsi="Times New Roman"/>
          <w:sz w:val="22"/>
          <w:szCs w:val="22"/>
          <w:b w:val="1"/>
          <w:bCs w:val="1"/>
          <w:u w:val="single" w:color="auto"/>
          <w:color w:val="auto"/>
        </w:rPr>
        <w:t>Additional Documents</w:t>
      </w:r>
      <w:r>
        <w:rPr>
          <w:rFonts w:ascii="Times New Roman" w:cs="Times New Roman" w:eastAsia="Times New Roman" w:hAnsi="Times New Roman"/>
          <w:sz w:val="22"/>
          <w:szCs w:val="22"/>
          <w:b w:val="1"/>
          <w:bCs w:val="1"/>
          <w:color w:val="auto"/>
        </w:rPr>
        <w:t>. Execute and deliver to Agent, upon request, such documents and agreements as Agent may, from time to time, reasonably request to carry out the purposes, terms or conditions of this Agreement.</w:t>
      </w:r>
    </w:p>
    <w:p>
      <w:pPr>
        <w:spacing w:after="0" w:line="150" w:lineRule="exact"/>
        <w:rPr>
          <w:sz w:val="20"/>
          <w:szCs w:val="20"/>
          <w:color w:val="auto"/>
        </w:rPr>
      </w:pPr>
    </w:p>
    <w:p>
      <w:pPr>
        <w:jc w:val="both"/>
        <w:ind w:firstLine="1497"/>
        <w:spacing w:after="0" w:line="236" w:lineRule="auto"/>
        <w:rPr>
          <w:sz w:val="20"/>
          <w:szCs w:val="20"/>
          <w:color w:val="auto"/>
        </w:rPr>
      </w:pPr>
      <w:r>
        <w:rPr>
          <w:rFonts w:ascii="Times New Roman" w:cs="Times New Roman" w:eastAsia="Times New Roman" w:hAnsi="Times New Roman"/>
          <w:sz w:val="22"/>
          <w:szCs w:val="22"/>
          <w:b w:val="1"/>
          <w:bCs w:val="1"/>
          <w:u w:val="single" w:color="auto"/>
          <w:color w:val="auto"/>
        </w:rPr>
        <w:t>Updates to Certain Schedules</w:t>
      </w:r>
      <w:r>
        <w:rPr>
          <w:rFonts w:ascii="Times New Roman" w:cs="Times New Roman" w:eastAsia="Times New Roman" w:hAnsi="Times New Roman"/>
          <w:sz w:val="22"/>
          <w:szCs w:val="22"/>
          <w:b w:val="1"/>
          <w:bCs w:val="1"/>
          <w:color w:val="auto"/>
        </w:rPr>
        <w:t xml:space="preserve">. Deliver to Agent (i) on a monthly basis updates to Schedule 4.4 (Locations of Equipment and Inventory), and (ii) on a quarterly basis, updates to Schedules 5.24 (Equity Interests), 5.25 (Commercial Tort Claims) and 5.26 (Letter-of-Credit Rights); </w:t>
      </w:r>
      <w:r>
        <w:rPr>
          <w:rFonts w:ascii="Times New Roman" w:cs="Times New Roman" w:eastAsia="Times New Roman" w:hAnsi="Times New Roman"/>
          <w:sz w:val="22"/>
          <w:szCs w:val="22"/>
          <w:b w:val="1"/>
          <w:bCs w:val="1"/>
          <w:u w:val="single" w:color="auto"/>
          <w:color w:val="auto"/>
        </w:rPr>
        <w:t>provided</w:t>
      </w:r>
      <w:r>
        <w:rPr>
          <w:rFonts w:ascii="Times New Roman" w:cs="Times New Roman" w:eastAsia="Times New Roman" w:hAnsi="Times New Roman"/>
          <w:sz w:val="22"/>
          <w:szCs w:val="22"/>
          <w:b w:val="1"/>
          <w:bCs w:val="1"/>
          <w:color w:val="auto"/>
        </w:rPr>
        <w:t>, that absent the occurrence and continuance of any Event of Default, Borrower may provide the updates required under clause (ii) above in connection with delivery of a Compliance Certificate with respect to the applicable quarter. Any such updated Schedules delivered by Borrowers to Agent in accordance with this Section 9.17 shall automatically and immediately be deemed to amend and restate the prior version of such Schedule previously delivered to Agent and attached to and made part of this Agreement.</w:t>
      </w:r>
    </w:p>
    <w:p>
      <w:pPr>
        <w:spacing w:after="0" w:line="176" w:lineRule="exact"/>
        <w:rPr>
          <w:sz w:val="20"/>
          <w:szCs w:val="20"/>
          <w:color w:val="auto"/>
        </w:rPr>
      </w:pPr>
    </w:p>
    <w:p>
      <w:pPr>
        <w:jc w:val="both"/>
        <w:ind w:firstLine="1497"/>
        <w:spacing w:after="0" w:line="235" w:lineRule="auto"/>
        <w:rPr>
          <w:sz w:val="20"/>
          <w:szCs w:val="20"/>
          <w:color w:val="auto"/>
        </w:rPr>
      </w:pPr>
      <w:r>
        <w:rPr>
          <w:rFonts w:ascii="Times New Roman" w:cs="Times New Roman" w:eastAsia="Times New Roman" w:hAnsi="Times New Roman"/>
          <w:sz w:val="22"/>
          <w:szCs w:val="22"/>
          <w:b w:val="1"/>
          <w:bCs w:val="1"/>
          <w:u w:val="single" w:color="auto"/>
          <w:color w:val="auto"/>
        </w:rPr>
        <w:t>Financial Disclosure</w:t>
      </w:r>
      <w:r>
        <w:rPr>
          <w:rFonts w:ascii="Times New Roman" w:cs="Times New Roman" w:eastAsia="Times New Roman" w:hAnsi="Times New Roman"/>
          <w:sz w:val="22"/>
          <w:szCs w:val="22"/>
          <w:b w:val="1"/>
          <w:bCs w:val="1"/>
          <w:color w:val="auto"/>
        </w:rPr>
        <w:t>. Upon the occurrence and during the continuance of an Event of Default, each Credit Party hereby irrevocably authorizes and directs all accountants and auditors employed by such Credit Party at any time during the Term to exhibit and deliver to Agent and each Lender copies of any of such Credit Party's financial statements, trial balances or other accounting records of any sort in the accountant's or auditor's possession, and to disclose to Agent and each Lender any information such accountants may have concerning such Credit Party's financial status and business operations. Each Credit Party hereby authorizes all Governmental Bodies to furnish to Agent and each Lender copies of reports or examinations relating to such Credit Party, whether made by such Credit Party or otherwise; however, Agent and each Lender will attempt to obtain such information or materials directly from such Credit Party prior to obtaining such information or materials from such accountants or Governmental Bodies.</w:t>
      </w:r>
    </w:p>
    <w:p>
      <w:pPr>
        <w:spacing w:after="0" w:line="17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b w:val="1"/>
          <w:bCs w:val="1"/>
          <w:color w:val="auto"/>
        </w:rPr>
        <w:t>EVENTS OF DEFAULT.</w:t>
      </w:r>
    </w:p>
    <w:p>
      <w:pPr>
        <w:spacing w:after="0" w:line="21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The occurrence of any one or more of the following events shall constitute an "</w:t>
      </w:r>
      <w:r>
        <w:rPr>
          <w:rFonts w:ascii="Times New Roman" w:cs="Times New Roman" w:eastAsia="Times New Roman" w:hAnsi="Times New Roman"/>
          <w:sz w:val="22"/>
          <w:szCs w:val="22"/>
          <w:u w:val="single" w:color="auto"/>
          <w:color w:val="auto"/>
        </w:rPr>
        <w:t>Event of Default</w:t>
      </w:r>
      <w:r>
        <w:rPr>
          <w:rFonts w:ascii="Times New Roman" w:cs="Times New Roman" w:eastAsia="Times New Roman" w:hAnsi="Times New Roman"/>
          <w:sz w:val="22"/>
          <w:szCs w:val="22"/>
          <w:color w:val="auto"/>
        </w:rPr>
        <w:t>":</w:t>
      </w:r>
    </w:p>
    <w:p>
      <w:pPr>
        <w:spacing w:after="0" w:line="225" w:lineRule="exact"/>
        <w:rPr>
          <w:sz w:val="20"/>
          <w:szCs w:val="20"/>
          <w:color w:val="auto"/>
        </w:rPr>
      </w:pPr>
    </w:p>
    <w:p>
      <w:pPr>
        <w:jc w:val="both"/>
        <w:ind w:firstLine="1497"/>
        <w:spacing w:after="0" w:line="246" w:lineRule="auto"/>
        <w:rPr>
          <w:sz w:val="20"/>
          <w:szCs w:val="20"/>
          <w:color w:val="auto"/>
        </w:rPr>
      </w:pPr>
      <w:r>
        <w:rPr>
          <w:rFonts w:ascii="Times New Roman" w:cs="Times New Roman" w:eastAsia="Times New Roman" w:hAnsi="Times New Roman"/>
          <w:sz w:val="22"/>
          <w:szCs w:val="22"/>
          <w:b w:val="1"/>
          <w:bCs w:val="1"/>
          <w:u w:val="single" w:color="auto"/>
          <w:color w:val="auto"/>
        </w:rPr>
        <w:t>Nonpayment</w:t>
      </w:r>
      <w:r>
        <w:rPr>
          <w:rFonts w:ascii="Times New Roman" w:cs="Times New Roman" w:eastAsia="Times New Roman" w:hAnsi="Times New Roman"/>
          <w:sz w:val="22"/>
          <w:szCs w:val="22"/>
          <w:b w:val="1"/>
          <w:bCs w:val="1"/>
          <w:color w:val="auto"/>
        </w:rPr>
        <w:t>. Failure by any Borrower to pay (a) when due any principal or interest on the Obligations (including without limitation pursuant to Section 2.9), or (b) within three (3) Business Days of its applicable due date, any other fee, charge, amount or liability provided for</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89" w:name="page190"/>
    <w:bookmarkEnd w:id="189"/>
    <w:p>
      <w:pPr>
        <w:jc w:val="both"/>
        <w:ind w:right="20"/>
        <w:spacing w:after="0" w:line="262" w:lineRule="auto"/>
        <w:rPr>
          <w:sz w:val="20"/>
          <w:szCs w:val="20"/>
          <w:color w:val="auto"/>
        </w:rPr>
      </w:pPr>
      <w:r>
        <w:rPr>
          <w:rFonts w:ascii="Times New Roman" w:cs="Times New Roman" w:eastAsia="Times New Roman" w:hAnsi="Times New Roman"/>
          <w:sz w:val="22"/>
          <w:szCs w:val="22"/>
          <w:b w:val="1"/>
          <w:bCs w:val="1"/>
          <w:color w:val="auto"/>
        </w:rPr>
        <w:t>herein, in each case whether at maturity, by reason of acceleration pursuant to the terms of this Agreement, by notice of intention to prepay or by required prepayment.</w:t>
      </w:r>
    </w:p>
    <w:p>
      <w:pPr>
        <w:spacing w:after="0" w:line="150" w:lineRule="exact"/>
        <w:rPr>
          <w:sz w:val="20"/>
          <w:szCs w:val="20"/>
          <w:color w:val="auto"/>
        </w:rPr>
      </w:pPr>
    </w:p>
    <w:p>
      <w:pPr>
        <w:jc w:val="both"/>
        <w:ind w:firstLine="1497"/>
        <w:spacing w:after="0" w:line="241" w:lineRule="auto"/>
        <w:rPr>
          <w:sz w:val="20"/>
          <w:szCs w:val="20"/>
          <w:color w:val="auto"/>
        </w:rPr>
      </w:pPr>
      <w:r>
        <w:rPr>
          <w:rFonts w:ascii="Times New Roman" w:cs="Times New Roman" w:eastAsia="Times New Roman" w:hAnsi="Times New Roman"/>
          <w:sz w:val="22"/>
          <w:szCs w:val="22"/>
          <w:b w:val="1"/>
          <w:bCs w:val="1"/>
          <w:u w:val="single" w:color="auto"/>
          <w:color w:val="auto"/>
        </w:rPr>
        <w:t>Breach of Representation</w:t>
      </w:r>
      <w:r>
        <w:rPr>
          <w:rFonts w:ascii="Times New Roman" w:cs="Times New Roman" w:eastAsia="Times New Roman" w:hAnsi="Times New Roman"/>
          <w:sz w:val="22"/>
          <w:szCs w:val="22"/>
          <w:b w:val="1"/>
          <w:bCs w:val="1"/>
          <w:color w:val="auto"/>
        </w:rPr>
        <w:t>. Any representation or warranty made or deemed made by any Borrower or any Guarantor in this Agreement, any Other Document or any related agreement or in any certificate, document or financial or other statement furnished at any time in connection herewith or therewith shall prove to have been incorrect or misleading in any material respect on the date when made or deemed to have been made;</w:t>
      </w:r>
    </w:p>
    <w:p>
      <w:pPr>
        <w:spacing w:after="0" w:line="172" w:lineRule="exact"/>
        <w:rPr>
          <w:sz w:val="20"/>
          <w:szCs w:val="20"/>
          <w:color w:val="auto"/>
        </w:rPr>
      </w:pPr>
    </w:p>
    <w:p>
      <w:pPr>
        <w:jc w:val="both"/>
        <w:ind w:firstLine="1497"/>
        <w:spacing w:after="0" w:line="246" w:lineRule="auto"/>
        <w:rPr>
          <w:sz w:val="20"/>
          <w:szCs w:val="20"/>
          <w:color w:val="auto"/>
        </w:rPr>
      </w:pPr>
      <w:r>
        <w:rPr>
          <w:rFonts w:ascii="Times New Roman" w:cs="Times New Roman" w:eastAsia="Times New Roman" w:hAnsi="Times New Roman"/>
          <w:sz w:val="22"/>
          <w:szCs w:val="22"/>
          <w:b w:val="1"/>
          <w:bCs w:val="1"/>
          <w:u w:val="single" w:color="auto"/>
          <w:color w:val="auto"/>
        </w:rPr>
        <w:t>Financial Information</w:t>
      </w:r>
      <w:r>
        <w:rPr>
          <w:rFonts w:ascii="Times New Roman" w:cs="Times New Roman" w:eastAsia="Times New Roman" w:hAnsi="Times New Roman"/>
          <w:sz w:val="22"/>
          <w:szCs w:val="22"/>
          <w:b w:val="1"/>
          <w:bCs w:val="1"/>
          <w:color w:val="auto"/>
        </w:rPr>
        <w:t>. Failure by any Borrower to (i) furnish financial information when due as required by Sections 9.2, 9.7, 9.8, 9.9, or 9.12 or (ii) permit the inspection of its books or records or access to its premises for audits and appraisals in accordance with the terms hereof;</w:t>
      </w:r>
    </w:p>
    <w:p>
      <w:pPr>
        <w:spacing w:after="0" w:line="167" w:lineRule="exact"/>
        <w:rPr>
          <w:sz w:val="20"/>
          <w:szCs w:val="20"/>
          <w:color w:val="auto"/>
        </w:rPr>
      </w:pPr>
    </w:p>
    <w:p>
      <w:pPr>
        <w:jc w:val="both"/>
        <w:ind w:firstLine="1497"/>
        <w:spacing w:after="0" w:line="241" w:lineRule="auto"/>
        <w:rPr>
          <w:sz w:val="20"/>
          <w:szCs w:val="20"/>
          <w:color w:val="auto"/>
        </w:rPr>
      </w:pPr>
      <w:r>
        <w:rPr>
          <w:rFonts w:ascii="Times New Roman" w:cs="Times New Roman" w:eastAsia="Times New Roman" w:hAnsi="Times New Roman"/>
          <w:sz w:val="22"/>
          <w:szCs w:val="22"/>
          <w:b w:val="1"/>
          <w:bCs w:val="1"/>
          <w:u w:val="single" w:color="auto"/>
          <w:color w:val="auto"/>
        </w:rPr>
        <w:t>Judicial Actions</w:t>
      </w:r>
      <w:r>
        <w:rPr>
          <w:rFonts w:ascii="Times New Roman" w:cs="Times New Roman" w:eastAsia="Times New Roman" w:hAnsi="Times New Roman"/>
          <w:sz w:val="22"/>
          <w:szCs w:val="22"/>
          <w:b w:val="1"/>
          <w:bCs w:val="1"/>
          <w:color w:val="auto"/>
        </w:rPr>
        <w:t>. Issuance of a notice of Lien, levy, assessment, injunction or attachment against any portion of any Borrower's or any Guarantor's property with an aggregate amount in excess of $12,500,000 or against all Borrowers or Guarantors for an aggregate amount in excess of $22,500,000 which is not stayed or lifted within thirty (30) days and which is not being Properly Contested;</w:t>
      </w:r>
    </w:p>
    <w:p>
      <w:pPr>
        <w:spacing w:after="0" w:line="172" w:lineRule="exact"/>
        <w:rPr>
          <w:sz w:val="20"/>
          <w:szCs w:val="20"/>
          <w:color w:val="auto"/>
        </w:rPr>
      </w:pPr>
    </w:p>
    <w:p>
      <w:pPr>
        <w:jc w:val="both"/>
        <w:ind w:firstLine="1497"/>
        <w:spacing w:after="0" w:line="235" w:lineRule="auto"/>
        <w:rPr>
          <w:sz w:val="20"/>
          <w:szCs w:val="20"/>
          <w:color w:val="auto"/>
        </w:rPr>
      </w:pPr>
      <w:r>
        <w:rPr>
          <w:rFonts w:ascii="Times New Roman" w:cs="Times New Roman" w:eastAsia="Times New Roman" w:hAnsi="Times New Roman"/>
          <w:sz w:val="22"/>
          <w:szCs w:val="22"/>
          <w:b w:val="1"/>
          <w:bCs w:val="1"/>
          <w:u w:val="single" w:color="auto"/>
          <w:color w:val="auto"/>
        </w:rPr>
        <w:t>Noncompliance</w:t>
      </w:r>
      <w:r>
        <w:rPr>
          <w:rFonts w:ascii="Times New Roman" w:cs="Times New Roman" w:eastAsia="Times New Roman" w:hAnsi="Times New Roman"/>
          <w:sz w:val="22"/>
          <w:szCs w:val="22"/>
          <w:b w:val="1"/>
          <w:bCs w:val="1"/>
          <w:color w:val="auto"/>
        </w:rPr>
        <w:t>. Except as otherwise provided for in Sections 10.1 and 10.3, (i) failure or neglect of any Borrower, any Guarantor or any Person to perform, keep or observe any term, provision, condition or covenant, contained in Section 6.2(b), 6.5, 9.5, 16.18 or Article VII hereof or to maintain its status as a citizen of the United States pursuant to Section 5(A) of a Ship Mortgage, or (ii) failure or neglect of any Borrower to perform, keep or observe any other term, provision, condition or covenant, herein contained, or contained in any Other Document, which is not cured within twenty (20) days from the occurrence of such failure or neglect (except a default in subsection (J) of Section 5 of a Ship Mortgage with respect to a Vessel with a fair market value in excess of $1,000,000 for which the cure period shall be ten (10 days)).</w:t>
      </w:r>
    </w:p>
    <w:p>
      <w:pPr>
        <w:spacing w:after="0" w:line="178" w:lineRule="exact"/>
        <w:rPr>
          <w:sz w:val="20"/>
          <w:szCs w:val="20"/>
          <w:color w:val="auto"/>
        </w:rPr>
      </w:pPr>
    </w:p>
    <w:p>
      <w:pPr>
        <w:jc w:val="both"/>
        <w:ind w:firstLine="1497"/>
        <w:spacing w:after="0" w:line="234" w:lineRule="auto"/>
        <w:rPr>
          <w:sz w:val="20"/>
          <w:szCs w:val="20"/>
          <w:color w:val="auto"/>
        </w:rPr>
      </w:pPr>
      <w:r>
        <w:rPr>
          <w:rFonts w:ascii="Times New Roman" w:cs="Times New Roman" w:eastAsia="Times New Roman" w:hAnsi="Times New Roman"/>
          <w:sz w:val="22"/>
          <w:szCs w:val="22"/>
          <w:b w:val="1"/>
          <w:bCs w:val="1"/>
          <w:u w:val="single" w:color="auto"/>
          <w:color w:val="auto"/>
        </w:rPr>
        <w:t>Judgments</w:t>
      </w:r>
      <w:r>
        <w:rPr>
          <w:rFonts w:ascii="Times New Roman" w:cs="Times New Roman" w:eastAsia="Times New Roman" w:hAnsi="Times New Roman"/>
          <w:sz w:val="22"/>
          <w:szCs w:val="22"/>
          <w:b w:val="1"/>
          <w:bCs w:val="1"/>
          <w:color w:val="auto"/>
        </w:rPr>
        <w:t>. Any (a) judgment or judgments, writ(s), order(s) or decree(s) for the payment of money are rendered against any Borrower or any Guarantor for an aggregate amount in excess of $12,500,000 or against all Borrowers or Guarantors for an aggregate amount in excess of $22,500,000, in either case to the extent not covered by third-party insurance under which a claim has been made in writing and liability therefor has not been denied by the insurer, and (b) (i) action shall be legally taken by any judgment creditor to levy upon assets or properties of any Borrower or any Guarantor to enforce any such judgment, (ii) such judgment shall remain undischarged for a period of thirty (30) consecutive days during which a stay of enforcement of such judgment, by reason of a pending appeal or otherwise, shall not be in effect, or (iii) any Liens arising by virtue of the rendition, entry or issuance of such judgment upon assets or properties of any Borrower or any Guarantor shall be senior to any Liens in favor of Agent on such assets or properties;</w:t>
      </w:r>
    </w:p>
    <w:p>
      <w:pPr>
        <w:spacing w:after="0" w:line="179"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b w:val="1"/>
          <w:bCs w:val="1"/>
          <w:u w:val="single" w:color="auto"/>
          <w:color w:val="auto"/>
        </w:rPr>
        <w:t>Bankruptcy</w:t>
      </w:r>
      <w:r>
        <w:rPr>
          <w:rFonts w:ascii="Times New Roman" w:cs="Times New Roman" w:eastAsia="Times New Roman" w:hAnsi="Times New Roman"/>
          <w:sz w:val="22"/>
          <w:szCs w:val="22"/>
          <w:b w:val="1"/>
          <w:bCs w:val="1"/>
          <w:color w:val="auto"/>
        </w:rPr>
        <w:t>. Any Borrower, any Guarantor or any Subsidiary of any Borrower shall (i) apply for, consent to or suffer the appointment of, or the taking of possession by, a receiver, custodian, trustee, liquidator or similar fiduciary of itself or of all or a substantial part of its property, (ii) admit in writing its inability, or be generally unable, to pay its debts as they become due or cease operations of its present business, (iii) make a general assignment for the benefit of</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90" w:name="page191"/>
    <w:bookmarkEnd w:id="190"/>
    <w:p>
      <w:pPr>
        <w:jc w:val="both"/>
        <w:spacing w:after="0" w:line="237" w:lineRule="auto"/>
        <w:rPr>
          <w:sz w:val="20"/>
          <w:szCs w:val="20"/>
          <w:color w:val="auto"/>
        </w:rPr>
      </w:pPr>
      <w:r>
        <w:rPr>
          <w:rFonts w:ascii="Times New Roman" w:cs="Times New Roman" w:eastAsia="Times New Roman" w:hAnsi="Times New Roman"/>
          <w:sz w:val="22"/>
          <w:szCs w:val="22"/>
          <w:b w:val="1"/>
          <w:bCs w:val="1"/>
          <w:color w:val="auto"/>
        </w:rPr>
        <w:t>creditors, (iv) commence a voluntary case under any state or federal bankruptcy or receivership laws (as now or hereafter in effect), (v) be adjudicated a bankrupt or insolvent (including by entry of any order for relief in any involuntary bankruptcy or insolvency proceeding commenced against it), (vi) file a petition seeking to take advantage of any other law providing for the relief of debtors, (vii) acquiesce to, or fail to have dismissed, within sixty (60) days, any petition filed against it in any involuntary case under such bankruptcy laws, or (viii) take any action for the purpose of effecting any of the foregoing;</w:t>
      </w:r>
    </w:p>
    <w:p>
      <w:pPr>
        <w:spacing w:after="0" w:line="175" w:lineRule="exact"/>
        <w:rPr>
          <w:sz w:val="20"/>
          <w:szCs w:val="20"/>
          <w:color w:val="auto"/>
        </w:rPr>
      </w:pPr>
    </w:p>
    <w:p>
      <w:pPr>
        <w:jc w:val="both"/>
        <w:ind w:firstLine="1497"/>
        <w:spacing w:after="0" w:line="237" w:lineRule="auto"/>
        <w:rPr>
          <w:sz w:val="20"/>
          <w:szCs w:val="20"/>
          <w:color w:val="auto"/>
        </w:rPr>
      </w:pPr>
      <w:r>
        <w:rPr>
          <w:rFonts w:ascii="Times New Roman" w:cs="Times New Roman" w:eastAsia="Times New Roman" w:hAnsi="Times New Roman"/>
          <w:sz w:val="22"/>
          <w:szCs w:val="22"/>
          <w:b w:val="1"/>
          <w:bCs w:val="1"/>
          <w:u w:val="single" w:color="auto"/>
          <w:color w:val="auto"/>
        </w:rPr>
        <w:t>Material Adverse Effect under Ship Mortgage</w:t>
      </w:r>
      <w:r>
        <w:rPr>
          <w:rFonts w:ascii="Times New Roman" w:cs="Times New Roman" w:eastAsia="Times New Roman" w:hAnsi="Times New Roman"/>
          <w:sz w:val="22"/>
          <w:szCs w:val="22"/>
          <w:b w:val="1"/>
          <w:bCs w:val="1"/>
          <w:color w:val="auto"/>
        </w:rPr>
        <w:t>. It becomes unlawful for GLDD LLC to fulfill any of the covenants and obligations contained in the Original Closing Date Ship Mortgage, for Fleet to fulfill any of the covenants and obligations contained in the ATB Mortgage, or for any other Credit Party in its capacity as mortgagor under a Ship Mortgage, in each case with respect to a vessel with a fair market value greater than $2,500,000, and such illegality could reasonably be expected to result in a Material Adverse Effect on its rights under a Ship Mortgage or the enforcement thereof;</w:t>
      </w:r>
    </w:p>
    <w:p>
      <w:pPr>
        <w:spacing w:after="0" w:line="175" w:lineRule="exact"/>
        <w:rPr>
          <w:sz w:val="20"/>
          <w:szCs w:val="20"/>
          <w:color w:val="auto"/>
        </w:rPr>
      </w:pPr>
    </w:p>
    <w:p>
      <w:pPr>
        <w:jc w:val="both"/>
        <w:ind w:firstLine="1497"/>
        <w:spacing w:after="0" w:line="236" w:lineRule="auto"/>
        <w:rPr>
          <w:sz w:val="20"/>
          <w:szCs w:val="20"/>
          <w:color w:val="auto"/>
        </w:rPr>
      </w:pPr>
      <w:r>
        <w:rPr>
          <w:rFonts w:ascii="Times New Roman" w:cs="Times New Roman" w:eastAsia="Times New Roman" w:hAnsi="Times New Roman"/>
          <w:sz w:val="22"/>
          <w:szCs w:val="22"/>
          <w:b w:val="1"/>
          <w:bCs w:val="1"/>
          <w:u w:val="single" w:color="auto"/>
          <w:color w:val="auto"/>
        </w:rPr>
        <w:t>Lien Priority</w:t>
      </w:r>
      <w:r>
        <w:rPr>
          <w:rFonts w:ascii="Times New Roman" w:cs="Times New Roman" w:eastAsia="Times New Roman" w:hAnsi="Times New Roman"/>
          <w:sz w:val="22"/>
          <w:szCs w:val="22"/>
          <w:b w:val="1"/>
          <w:bCs w:val="1"/>
          <w:color w:val="auto"/>
        </w:rPr>
        <w:t>. Any Lien created hereunder or provided for hereby or under any related agreement with respect to Collateral with an aggregate value in excess of $2,500,000 for any reason ceases to be or is not a valid and perfected Lien having a first priority interest (subject only to Permitted Encumbrances that have priority as a matter of Applicable Law to the extent such Liens only attach to Collateral other than Receivables or Inventory) except as a result of (a) Agent's failure to maintain possession of any stock certificate, promissory note or other instrument delivered to it under the this Agreement or the Other Documents or (b) Agent's failure to make any filings or recordations necessary to maintain perfection;</w:t>
      </w:r>
    </w:p>
    <w:p>
      <w:pPr>
        <w:spacing w:after="0" w:line="17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b w:val="1"/>
          <w:bCs w:val="1"/>
          <w:u w:val="single" w:color="auto"/>
          <w:color w:val="auto"/>
        </w:rPr>
        <w:t>Bonding Agreement</w:t>
      </w:r>
      <w:r>
        <w:rPr>
          <w:rFonts w:ascii="Times New Roman" w:cs="Times New Roman" w:eastAsia="Times New Roman" w:hAnsi="Times New Roman"/>
          <w:sz w:val="22"/>
          <w:szCs w:val="22"/>
          <w:b w:val="1"/>
          <w:bCs w:val="1"/>
          <w:color w:val="auto"/>
        </w:rPr>
        <w:t>.</w:t>
      </w:r>
    </w:p>
    <w:p>
      <w:pPr>
        <w:spacing w:after="0" w:line="210" w:lineRule="exact"/>
        <w:rPr>
          <w:sz w:val="20"/>
          <w:szCs w:val="20"/>
          <w:color w:val="auto"/>
        </w:rPr>
      </w:pPr>
    </w:p>
    <w:p>
      <w:pPr>
        <w:jc w:val="both"/>
        <w:ind w:firstLine="1497"/>
        <w:spacing w:after="0" w:line="233" w:lineRule="auto"/>
        <w:rPr>
          <w:sz w:val="20"/>
          <w:szCs w:val="20"/>
          <w:color w:val="auto"/>
        </w:rPr>
      </w:pPr>
      <w:r>
        <w:rPr>
          <w:rFonts w:ascii="Times New Roman" w:cs="Times New Roman" w:eastAsia="Times New Roman" w:hAnsi="Times New Roman"/>
          <w:sz w:val="22"/>
          <w:szCs w:val="22"/>
          <w:color w:val="auto"/>
        </w:rPr>
        <w:t xml:space="preserve">Any Surety for GLDD and its Domestic Subsidiaries discontinues providing a bonding facility for the issuance of, or notifies GLDD and its Domestic Subsidiaries that it will no longer issue, bonds, undertakings or instruments of guaranty which are necessary for the operation of the business of GLDD and its Subsidiaries and GLDD and its Domestic Subsidiaries fail to cause another Person reasonably acceptable to Agent (provided that any such Person shall be deemed to be acceptable if such Person is a Surety for GLDD as of the Closing Date or such Person's bonds, undertakings or instruments of guaranty are accepted by contract providers for GLDD and its Domestic Subsidiaries) to issue such bonds, undertakings or instruments of guaranty, or other credit support reasonably acceptable to Agent within ninety (90) days of the date that such original Surety discontinued providing a bonding facility for the issuance of, or notified GLDD and its Subsidiaries that it will no longer issue, such bonds, undertakings or instruments of guaranty;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it shall not be an Event of Default if the Surety declines to furnish individual bonds, undertakings or instruments of guarantee so long as GLDD and its Subsidiaries maintains a bonding facility as indicated above; or</w:t>
      </w:r>
    </w:p>
    <w:p>
      <w:pPr>
        <w:spacing w:after="0" w:line="187" w:lineRule="exact"/>
        <w:rPr>
          <w:sz w:val="20"/>
          <w:szCs w:val="20"/>
          <w:color w:val="auto"/>
        </w:rPr>
      </w:pPr>
    </w:p>
    <w:p>
      <w:pPr>
        <w:jc w:val="both"/>
        <w:ind w:firstLine="1505"/>
        <w:spacing w:after="0" w:line="239" w:lineRule="auto"/>
        <w:tabs>
          <w:tab w:leader="none" w:pos="1759"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any time, (i) any Surety exercises any rights or remedies as a secured party with respect to any Collateral, or (ii) any Surety takes possession of any Collateral, or Property that would constitute Collateral, and such action continues for a period of ten (10) Business Days after the earlier of (A) Agent's delivery of written notice thereof to GLDD and (B) a Responsible Officer of GLDD having obtained knowledge thereof; or</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91" w:name="page192"/>
    <w:bookmarkEnd w:id="191"/>
    <w:p>
      <w:pPr>
        <w:jc w:val="both"/>
        <w:ind w:firstLine="1497"/>
        <w:spacing w:after="0" w:line="239" w:lineRule="auto"/>
        <w:rPr>
          <w:sz w:val="20"/>
          <w:szCs w:val="20"/>
          <w:color w:val="auto"/>
        </w:rPr>
      </w:pPr>
      <w:r>
        <w:rPr>
          <w:rFonts w:ascii="Times New Roman" w:cs="Times New Roman" w:eastAsia="Times New Roman" w:hAnsi="Times New Roman"/>
          <w:sz w:val="22"/>
          <w:szCs w:val="22"/>
          <w:color w:val="auto"/>
        </w:rPr>
        <w:t>GLDD or any of its Subsidiaries defaults in the payment when due of any amount due under any Bonding Agreement or breaches or defaults with respect to any other term of any Bonding Agreement, if the effect of such failure to pay, default or breach is to cause the related Surety to take possession of the work under any of the bonded contracts of GLDD or any of its Subsidiaries and such possession could reasonably be expected to result in a Material Adverse Effect; or</w:t>
      </w:r>
    </w:p>
    <w:p>
      <w:pPr>
        <w:spacing w:after="0" w:line="180"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Any Credit Party breaches or defaults with respect to any term under any of the bonded contracts of such Credit Party, if the effect of such default or breach is to cause the related Surety to take possession of the work under such bonded contract and such possession could reasonably be expected to result in a Material Adverse Effect.</w:t>
      </w:r>
    </w:p>
    <w:p>
      <w:pPr>
        <w:spacing w:after="0" w:line="169" w:lineRule="exact"/>
        <w:rPr>
          <w:sz w:val="20"/>
          <w:szCs w:val="20"/>
          <w:color w:val="auto"/>
        </w:rPr>
      </w:pPr>
    </w:p>
    <w:p>
      <w:pPr>
        <w:jc w:val="both"/>
        <w:ind w:firstLine="1497"/>
        <w:spacing w:after="0" w:line="235" w:lineRule="auto"/>
        <w:rPr>
          <w:sz w:val="20"/>
          <w:szCs w:val="20"/>
          <w:color w:val="auto"/>
        </w:rPr>
      </w:pPr>
      <w:r>
        <w:rPr>
          <w:rFonts w:ascii="Times New Roman" w:cs="Times New Roman" w:eastAsia="Times New Roman" w:hAnsi="Times New Roman"/>
          <w:sz w:val="22"/>
          <w:szCs w:val="22"/>
          <w:b w:val="1"/>
          <w:bCs w:val="1"/>
          <w:u w:val="single" w:color="auto"/>
          <w:color w:val="auto"/>
        </w:rPr>
        <w:t>Cross Default</w:t>
      </w:r>
      <w:r>
        <w:rPr>
          <w:rFonts w:ascii="Times New Roman" w:cs="Times New Roman" w:eastAsia="Times New Roman" w:hAnsi="Times New Roman"/>
          <w:sz w:val="22"/>
          <w:szCs w:val="22"/>
          <w:b w:val="1"/>
          <w:bCs w:val="1"/>
          <w:color w:val="auto"/>
        </w:rPr>
        <w:t>. Either (x) any specified "event of default" under any Indebtedness (other than the Obligations) of any Borrower with a then-outstanding principal balance (or, in the case of any Indebtedness not so denominated, with a then-outstanding total obligation amount) of $17,500,000 or more, or any other event or circumstance which would permit the holder of any such Indebtedness of any Borrower to accelerate such Indebtedness (and/or the obligations of Borrower thereunder) prior to the scheduled maturity or termination thereof, shall occur (regardless of whether the holder of such Indebtedness shall actually accelerate, terminate or otherwise exercise any rights or remedies with respect to such Indebtedness) or (y) a default of the obligations of any Borrower under any other agreement to which it is a party shall occur which has or is reasonably likely to have a Material Adverse Effect;</w:t>
      </w:r>
    </w:p>
    <w:p>
      <w:pPr>
        <w:spacing w:after="0" w:line="178"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b w:val="1"/>
          <w:bCs w:val="1"/>
          <w:u w:val="single" w:color="auto"/>
          <w:color w:val="auto"/>
        </w:rPr>
        <w:t>Breach of Guaranty or Pledge Agreement</w:t>
      </w:r>
      <w:r>
        <w:rPr>
          <w:rFonts w:ascii="Times New Roman" w:cs="Times New Roman" w:eastAsia="Times New Roman" w:hAnsi="Times New Roman"/>
          <w:sz w:val="22"/>
          <w:szCs w:val="22"/>
          <w:b w:val="1"/>
          <w:bCs w:val="1"/>
          <w:color w:val="auto"/>
        </w:rPr>
        <w:t>. (a) Breach by any Credit Party of any Guaranty, Pledge Agreement or similar agreement executed and delivered to Agent in connection with the Obligations of any Borrower which is not cured within thirty (30) days from the occurrence of such breach, or (b) if any Guarantor or pledgor terminates or attempts to terminate, challenges the validity of, or its liability under, any such Guaranty, Pledge Agreement or similar agreement;</w:t>
      </w:r>
    </w:p>
    <w:p>
      <w:pPr>
        <w:spacing w:after="0" w:line="17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b w:val="1"/>
          <w:bCs w:val="1"/>
          <w:u w:val="single" w:color="auto"/>
          <w:color w:val="auto"/>
        </w:rPr>
        <w:t>Change of Control</w:t>
      </w:r>
      <w:r>
        <w:rPr>
          <w:rFonts w:ascii="Times New Roman" w:cs="Times New Roman" w:eastAsia="Times New Roman" w:hAnsi="Times New Roman"/>
          <w:sz w:val="22"/>
          <w:szCs w:val="22"/>
          <w:b w:val="1"/>
          <w:bCs w:val="1"/>
          <w:color w:val="auto"/>
        </w:rPr>
        <w:t>. Any Change of Control shall occur;</w:t>
      </w:r>
    </w:p>
    <w:p>
      <w:pPr>
        <w:spacing w:after="0" w:line="206" w:lineRule="exact"/>
        <w:rPr>
          <w:sz w:val="20"/>
          <w:szCs w:val="20"/>
          <w:color w:val="auto"/>
        </w:rPr>
      </w:pPr>
    </w:p>
    <w:p>
      <w:pPr>
        <w:jc w:val="both"/>
        <w:ind w:firstLine="1497"/>
        <w:spacing w:after="0" w:line="241" w:lineRule="auto"/>
        <w:rPr>
          <w:sz w:val="20"/>
          <w:szCs w:val="20"/>
          <w:color w:val="auto"/>
        </w:rPr>
      </w:pPr>
      <w:r>
        <w:rPr>
          <w:rFonts w:ascii="Times New Roman" w:cs="Times New Roman" w:eastAsia="Times New Roman" w:hAnsi="Times New Roman"/>
          <w:sz w:val="22"/>
          <w:szCs w:val="22"/>
          <w:b w:val="1"/>
          <w:bCs w:val="1"/>
          <w:u w:val="single" w:color="auto"/>
          <w:color w:val="auto"/>
        </w:rPr>
        <w:t>Invalidity</w:t>
      </w:r>
      <w:r>
        <w:rPr>
          <w:rFonts w:ascii="Times New Roman" w:cs="Times New Roman" w:eastAsia="Times New Roman" w:hAnsi="Times New Roman"/>
          <w:sz w:val="22"/>
          <w:szCs w:val="22"/>
          <w:b w:val="1"/>
          <w:bCs w:val="1"/>
          <w:color w:val="auto"/>
        </w:rPr>
        <w:t>. Any material provision of this Agreement or any Other Document shall, for any reason, cease to be valid and binding on any Borrower or any Guarantor, or any Borrower or any Guarantor shall so claim in writing to Agent or any Lender or any Borrower challenges the validity of or its liability under this Agreement or any Other Document;</w:t>
      </w:r>
    </w:p>
    <w:p>
      <w:pPr>
        <w:spacing w:after="0" w:line="172" w:lineRule="exact"/>
        <w:rPr>
          <w:sz w:val="20"/>
          <w:szCs w:val="20"/>
          <w:color w:val="auto"/>
        </w:rPr>
      </w:pPr>
    </w:p>
    <w:p>
      <w:pPr>
        <w:jc w:val="both"/>
        <w:ind w:firstLine="1497"/>
        <w:spacing w:after="0" w:line="235" w:lineRule="auto"/>
        <w:rPr>
          <w:sz w:val="20"/>
          <w:szCs w:val="20"/>
          <w:color w:val="auto"/>
        </w:rPr>
      </w:pPr>
      <w:r>
        <w:rPr>
          <w:rFonts w:ascii="Times New Roman" w:cs="Times New Roman" w:eastAsia="Times New Roman" w:hAnsi="Times New Roman"/>
          <w:sz w:val="22"/>
          <w:szCs w:val="22"/>
          <w:b w:val="1"/>
          <w:bCs w:val="1"/>
          <w:u w:val="single" w:color="auto"/>
          <w:color w:val="auto"/>
        </w:rPr>
        <w:t>Seizures</w:t>
      </w:r>
      <w:r>
        <w:rPr>
          <w:rFonts w:ascii="Times New Roman" w:cs="Times New Roman" w:eastAsia="Times New Roman" w:hAnsi="Times New Roman"/>
          <w:sz w:val="22"/>
          <w:szCs w:val="22"/>
          <w:b w:val="1"/>
          <w:bCs w:val="1"/>
          <w:color w:val="auto"/>
        </w:rPr>
        <w:t>. (a) Collateral with an aggregate value in excess of $2,500,000 shall be condemned or otherwise subject to judicial sale, or requisitioned for title, seized or forfeited to a Governmental Body; provided, that for the avoidance of doubt, (i) the arrest of a Fleet Asset shall not constitute an Event of Default hereunder if the arrest is in connection with a Permitted Encumbrance that is being Properly Contested and (ii) any seizure or forfeiture of a Fleet Asset by or to a Governmental Body shall not constitute an Event of Default hereunder if such seizure or forfeiture does not cause a Material Adverse Effect, or (b) the title, rights and interests in any material portion of the Collateral of any Borrower, any Guarantor or any shareholder of a Credit Party shall have become the subject matter of a claim, litigation, suit, garnishment or other proceeding which is likely in the Permitted Discretion of Agent, upon final determination, to result</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92" w:name="page193"/>
    <w:bookmarkEnd w:id="192"/>
    <w:p>
      <w:pPr>
        <w:jc w:val="both"/>
        <w:spacing w:after="0" w:line="246" w:lineRule="auto"/>
        <w:rPr>
          <w:sz w:val="20"/>
          <w:szCs w:val="20"/>
          <w:color w:val="auto"/>
        </w:rPr>
      </w:pPr>
      <w:r>
        <w:rPr>
          <w:rFonts w:ascii="Times New Roman" w:cs="Times New Roman" w:eastAsia="Times New Roman" w:hAnsi="Times New Roman"/>
          <w:sz w:val="22"/>
          <w:szCs w:val="22"/>
          <w:b w:val="1"/>
          <w:bCs w:val="1"/>
          <w:color w:val="auto"/>
        </w:rPr>
        <w:t>in impairment or loss of the security provided by this Agreement or the Other Documents; provided, that for the avoidance of doubt, the imposition of a Permitted Encumbrance on the Collateral shall not constitute an Event of Default hereunder;</w:t>
      </w:r>
    </w:p>
    <w:p>
      <w:pPr>
        <w:spacing w:after="0" w:line="167" w:lineRule="exact"/>
        <w:rPr>
          <w:sz w:val="20"/>
          <w:szCs w:val="20"/>
          <w:color w:val="auto"/>
        </w:rPr>
      </w:pPr>
    </w:p>
    <w:p>
      <w:pPr>
        <w:jc w:val="both"/>
        <w:ind w:firstLine="1497"/>
        <w:spacing w:after="0" w:line="241" w:lineRule="auto"/>
        <w:rPr>
          <w:sz w:val="20"/>
          <w:szCs w:val="20"/>
          <w:color w:val="auto"/>
        </w:rPr>
      </w:pPr>
      <w:r>
        <w:rPr>
          <w:rFonts w:ascii="Times New Roman" w:cs="Times New Roman" w:eastAsia="Times New Roman" w:hAnsi="Times New Roman"/>
          <w:sz w:val="22"/>
          <w:szCs w:val="22"/>
          <w:b w:val="1"/>
          <w:bCs w:val="1"/>
          <w:u w:val="single" w:color="auto"/>
          <w:color w:val="auto"/>
        </w:rPr>
        <w:t>Second Lien Loan Default</w:t>
      </w:r>
      <w:r>
        <w:rPr>
          <w:rFonts w:ascii="Times New Roman" w:cs="Times New Roman" w:eastAsia="Times New Roman" w:hAnsi="Times New Roman"/>
          <w:sz w:val="22"/>
          <w:szCs w:val="22"/>
          <w:b w:val="1"/>
          <w:bCs w:val="1"/>
          <w:color w:val="auto"/>
        </w:rPr>
        <w:t>. An event of default (including any "Event of Default" as defined in the Second Lien Loan Agreement) has occurred under the Second Lien Loan Documents, which default shall not have been cured or waived within any applicable grace period, or if any Person party to the Intercreditor Agreement (Second Lien) breaches or violates, or attempts to terminate or challenge the validity of, such agreement; or</w:t>
      </w:r>
    </w:p>
    <w:p>
      <w:pPr>
        <w:spacing w:after="0" w:line="17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b w:val="1"/>
          <w:bCs w:val="1"/>
          <w:u w:val="single" w:color="auto"/>
          <w:color w:val="auto"/>
        </w:rPr>
        <w:t>ERISA Events</w:t>
      </w:r>
      <w:r>
        <w:rPr>
          <w:rFonts w:ascii="Times New Roman" w:cs="Times New Roman" w:eastAsia="Times New Roman" w:hAnsi="Times New Roman"/>
          <w:sz w:val="22"/>
          <w:szCs w:val="22"/>
          <w:b w:val="1"/>
          <w:bCs w:val="1"/>
          <w:color w:val="auto"/>
        </w:rPr>
        <w:t>. The occurrence of a Termination Event.</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b w:val="1"/>
          <w:bCs w:val="1"/>
          <w:color w:val="auto"/>
        </w:rPr>
        <w:t>LENDERS' RIGHTS AND REMEDIES AFTER DEFAULT.</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b w:val="1"/>
          <w:bCs w:val="1"/>
          <w:u w:val="single" w:color="auto"/>
          <w:color w:val="auto"/>
        </w:rPr>
        <w:t>Rights and Remedies</w:t>
      </w:r>
      <w:r>
        <w:rPr>
          <w:rFonts w:ascii="Times New Roman" w:cs="Times New Roman" w:eastAsia="Times New Roman" w:hAnsi="Times New Roman"/>
          <w:sz w:val="22"/>
          <w:szCs w:val="22"/>
          <w:b w:val="1"/>
          <w:bCs w:val="1"/>
          <w:color w:val="auto"/>
        </w:rPr>
        <w:t>.</w:t>
      </w:r>
    </w:p>
    <w:p>
      <w:pPr>
        <w:spacing w:after="0" w:line="210" w:lineRule="exact"/>
        <w:rPr>
          <w:sz w:val="20"/>
          <w:szCs w:val="20"/>
          <w:color w:val="auto"/>
        </w:rPr>
      </w:pPr>
    </w:p>
    <w:p>
      <w:pPr>
        <w:jc w:val="both"/>
        <w:ind w:firstLine="1497"/>
        <w:spacing w:after="0" w:line="232" w:lineRule="auto"/>
        <w:rPr>
          <w:sz w:val="20"/>
          <w:szCs w:val="20"/>
          <w:color w:val="auto"/>
        </w:rPr>
      </w:pPr>
      <w:r>
        <w:rPr>
          <w:rFonts w:ascii="Times New Roman" w:cs="Times New Roman" w:eastAsia="Times New Roman" w:hAnsi="Times New Roman"/>
          <w:sz w:val="22"/>
          <w:szCs w:val="22"/>
          <w:color w:val="auto"/>
        </w:rPr>
        <w:t>Upon the occurrence and during the continuance of: (i) an Event of Default pursuant to Section 10.7 (other than Section 10.7(vii)), all Obligations shall be immediately due and payable and this Agreement and the obligation of Lenders to make Advances shall be deemed terminated, (ii) any of the other Events of Default and at any time thereafter during the continuance of such Event of Default, at the option of Agent or at the direction of Required Lenders all Obligations shall be immediately due and payable and Agent or Required Lenders shall have the right to terminate this Agreement and to terminate the obligation of Lenders to make Advances; and (iii) without limiting Section 8.2 hereof, any Default under Section 10.7(vii) hereof, the obligation of Lenders to make Advances hereunder shall be suspended until such time as such involuntary petition shall be dismissed. Upon the occurrence and during the continuance of any Event of Default, Agent shall have the right to exercise any and all rights and remedies provided for herein, under the Other Documents, under the Uniform Commercial Code and at law or equity generally, including the right to foreclose the security interests granted herein and to realize upon any Collateral by any available judicial procedure and/or to take possession of and sell any or all of the Collateral with or without judicial process. At any time following the occurrence and during the continuance of an Event of Default, Agent shall have the right to send notice of the assignment of, and Agent's security interest in and Lien on, the Receivables to any and all Customers or any third party holding or otherwise concerned with any of the Collateral. At any time after the occurrence and during the continuance of an Event of Default, Agent shall have the sole right to collect the Receivables, take possession of the Collateral, or both. Agent's actual out-of-pocket collection expenses may be charged to Borrowers' Account and added to the Obligations. To the extent allowed by Applicable Law, Agent may enter any of any Borrower's premises or other premises without legal process and without incurring liability to any Borrower therefor, and Agent may thereupon, or at any time thereafter, in its discretion without notice or demand, take the Collateral and remove the same to such place as Agent may deem advisable and Agent may require Borrowers to make the Collateral available to Agent at a convenient place. With or without having the Collateral at the time or place of sale, Agent may sell the Collateral, or any part thereof, at public or private sale, at any time or place, in one or more sales, at such price or prices, and upon such terms, either for cash, credit or future delivery, as Agent may elect. Except as to that part of the Collateral which is perishable or threatens to decline speedily in value or is of a type customarily sold on a recognized market, Agent shall give Borrowers reasonable notification of</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93" w:name="page194"/>
    <w:bookmarkEnd w:id="193"/>
    <w:p>
      <w:pPr>
        <w:jc w:val="both"/>
        <w:spacing w:after="0" w:line="233" w:lineRule="auto"/>
        <w:rPr>
          <w:sz w:val="20"/>
          <w:szCs w:val="20"/>
          <w:color w:val="auto"/>
        </w:rPr>
      </w:pPr>
      <w:r>
        <w:rPr>
          <w:rFonts w:ascii="Times New Roman" w:cs="Times New Roman" w:eastAsia="Times New Roman" w:hAnsi="Times New Roman"/>
          <w:sz w:val="22"/>
          <w:szCs w:val="22"/>
          <w:color w:val="auto"/>
        </w:rPr>
        <w:t>such sale or sales, it being agreed that in all events written notice mailed to Borrowing Agent at least ten (10) days prior to such sale or sales is reasonable notification. At any public sale Agent or any Lender may bid (including credit bid) for and become the purchaser, and Agent, any Lender or any other purchaser at any such sale thereafter shall hold the Collateral sold absolutely free from any claim or right of whatsoever kind, including any equity of redemption and all such claims, rights and equities are hereby expressly waived and released by each Borrower. In connection with the exercise of the foregoing remedies, including the sale of Inventory or Equipment (including without limitation, Fleet Assets), Agent is granted a perpetual nonrevocable, royalty free, nonexclusive license and Agent (including its designees in connection with such exercise) is granted permission to use all of each Borrower's (a) Intellectual Property which is used or useful in connection with Inventory or Equipment (including, without limitation, any Fleet Assets) for the purpose of marketing, advertising for sale and selling or otherwise disposing of such Inventory or Equipment (including, without limitation, any Fleet Assets) and (b) Equipment for the purpose of completing the manufacture of unfinished goods. The cash proceeds realized from the sale of any Collateral shall be applied to the Obligations in the order set forth in Section 11.5 hereof. Noncash proceeds will only be applied to the Obligations as they are converted into cash. If any deficiency shall arise, Borrowers shall remain liable to Agent and Lenders therefor.</w:t>
      </w:r>
    </w:p>
    <w:p>
      <w:pPr>
        <w:spacing w:after="0" w:line="182" w:lineRule="exact"/>
        <w:rPr>
          <w:sz w:val="20"/>
          <w:szCs w:val="20"/>
          <w:color w:val="auto"/>
        </w:rPr>
      </w:pPr>
    </w:p>
    <w:p>
      <w:pPr>
        <w:jc w:val="both"/>
        <w:ind w:firstLine="1497"/>
        <w:spacing w:after="0" w:line="243" w:lineRule="auto"/>
        <w:rPr>
          <w:sz w:val="20"/>
          <w:szCs w:val="20"/>
          <w:color w:val="auto"/>
        </w:rPr>
      </w:pPr>
      <w:r>
        <w:rPr>
          <w:rFonts w:ascii="Times New Roman" w:cs="Times New Roman" w:eastAsia="Times New Roman" w:hAnsi="Times New Roman"/>
          <w:sz w:val="21"/>
          <w:szCs w:val="21"/>
          <w:color w:val="auto"/>
        </w:rPr>
        <w:t>To the extent that Applicable Law imposes duties on Agent to exercise remedies in a commercially reasonable manner, each Borrower acknowledges and agrees that it is not commercially unreasonable for Agent: (i) to fail to incur expenses reasonably deemed significant by Agent to prepare Collateral for disposition or otherwise to complete raw material or work in process into finished goods or other finished products for disposition; (ii) to fail to obtain third party consents for access to Collateral to be disposed of, or to obtain or, if not required by other law, to fail to obtain governmental or third party consents for the collection or disposition of Collateral to be collected or disposed of; (iii) to fail to exercise collection remedies against Customers or other Persons obligated on Collateral or to remove Liens on or any adverse claims against Collateral; (iv) to exercise collection remedies against Customers and other Persons obligated on Collateral directly or through the use of collection agencies and other collection specialists; (v) to advertise dispositions of Collateral through publications or media of general circulation, whether or not the Collateral is of a specialized nature; (vi) to contact other Persons, whether or not in the same business as any Borrower, for expressions of interest in acquiring all or any portion of such Collateral; (vii) to hire one or more professional auctioneers to assist in the disposition of Collateral, whether or not the Collateral is of a specialized nature; (viii) to dispose of Collateral by utilizing internet sites that provide for the auction of assets of the types included in the Collateral or that have the reasonable capacity of doing so, or that match buyers and sellers of assets; (ix) to dispose of assets in wholesale rather than retail markets; (x) to disclaim disposition warranties, such as title, possession or quiet enjoyment, (xi) to purchase insurance or credit enhancements to insure Agent against risks of loss, collection or disposition of Collateral or to provide to Agent a guaranteed return from the collection or disposition of Collateral; or (xii) to the extent deemed appropriate by Agent, to obtain the services of other brokers, investment bankers, consultants and other professionals to assist Agent in the collection or disposition of any of the Collateral. Each Borrower acknowledges that the purpose of this Section 11.1(b) is to provide non-exhaustive indications of what actions or omissions by Agent would not be commercially unreasonable in Agent's exercise of remedies against the Collateral and that other actions or omissions by Agent shall not be deemed commercially unreasonable solely on account of not being indicated in this Section 11.1(b). Without limitation upon the foregoing, nothing contained in this</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94" w:name="page195"/>
    <w:bookmarkEnd w:id="194"/>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Section 11.1(b) shall be construed to grant any rights to any Borrower or to impose any duties on Agent that would not have been granted or imposed by this Agreement or by Applicable Law in the absence of this Section 11.1(b).</w:t>
      </w:r>
    </w:p>
    <w:p>
      <w:pPr>
        <w:spacing w:after="0" w:line="154"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b w:val="1"/>
          <w:bCs w:val="1"/>
          <w:u w:val="single" w:color="auto"/>
          <w:color w:val="auto"/>
        </w:rPr>
        <w:t>Agent's Discretion</w:t>
      </w:r>
      <w:r>
        <w:rPr>
          <w:rFonts w:ascii="Times New Roman" w:cs="Times New Roman" w:eastAsia="Times New Roman" w:hAnsi="Times New Roman"/>
          <w:sz w:val="22"/>
          <w:szCs w:val="22"/>
          <w:b w:val="1"/>
          <w:bCs w:val="1"/>
          <w:color w:val="auto"/>
        </w:rPr>
        <w:t>. Agent shall have the right in its sole discretion to determine which rights, Liens, security interests or remedies Agent may at any time pursue, relinquish, subordinate, or modify, which procedures, timing and methodologies to employ, and what any other action to take with respect to any or all of the Collateral and in what order, thereto and such determination will not in any way modify or affect any of Agent's or Lenders' rights hereunder as against Borrowers or each other.</w:t>
      </w:r>
    </w:p>
    <w:p>
      <w:pPr>
        <w:spacing w:after="0" w:line="177" w:lineRule="exact"/>
        <w:rPr>
          <w:sz w:val="20"/>
          <w:szCs w:val="20"/>
          <w:color w:val="auto"/>
        </w:rPr>
      </w:pPr>
    </w:p>
    <w:p>
      <w:pPr>
        <w:jc w:val="both"/>
        <w:ind w:firstLine="1497"/>
        <w:spacing w:after="0" w:line="236" w:lineRule="auto"/>
        <w:rPr>
          <w:sz w:val="20"/>
          <w:szCs w:val="20"/>
          <w:color w:val="auto"/>
        </w:rPr>
      </w:pPr>
      <w:r>
        <w:rPr>
          <w:rFonts w:ascii="Times New Roman" w:cs="Times New Roman" w:eastAsia="Times New Roman" w:hAnsi="Times New Roman"/>
          <w:sz w:val="22"/>
          <w:szCs w:val="22"/>
          <w:b w:val="1"/>
          <w:bCs w:val="1"/>
          <w:u w:val="single" w:color="auto"/>
          <w:color w:val="auto"/>
        </w:rPr>
        <w:t>Setoff</w:t>
      </w:r>
      <w:r>
        <w:rPr>
          <w:rFonts w:ascii="Times New Roman" w:cs="Times New Roman" w:eastAsia="Times New Roman" w:hAnsi="Times New Roman"/>
          <w:sz w:val="22"/>
          <w:szCs w:val="22"/>
          <w:b w:val="1"/>
          <w:bCs w:val="1"/>
          <w:color w:val="auto"/>
        </w:rPr>
        <w:t xml:space="preserve">. Subject to Section 14.13, in addition to any other rights which Agent or any Lender may have under Applicable Law, upon the occurrence and during the continuation of an Event of Default hereunder, Agent and such Lender shall have a right, immediately and without notice of any kind, to apply any Borrower's property held by Agent and such Lender or any of their Affiliates to reduce the Obligations and to exercise any and all rights of setoff which may be available to Agent and such Lender with respect to any deposits held by Agent or such Lender. Each Lender and Issuer agrees to notify the Borrowers and Agent promptly after any such setoff and application; </w:t>
      </w:r>
      <w:r>
        <w:rPr>
          <w:rFonts w:ascii="Times New Roman" w:cs="Times New Roman" w:eastAsia="Times New Roman" w:hAnsi="Times New Roman"/>
          <w:sz w:val="22"/>
          <w:szCs w:val="22"/>
          <w:b w:val="1"/>
          <w:bCs w:val="1"/>
          <w:u w:val="single" w:color="auto"/>
          <w:color w:val="auto"/>
        </w:rPr>
        <w:t>provided</w:t>
      </w:r>
      <w:r>
        <w:rPr>
          <w:rFonts w:ascii="Times New Roman" w:cs="Times New Roman" w:eastAsia="Times New Roman" w:hAnsi="Times New Roman"/>
          <w:sz w:val="22"/>
          <w:szCs w:val="22"/>
          <w:b w:val="1"/>
          <w:bCs w:val="1"/>
          <w:color w:val="auto"/>
        </w:rPr>
        <w:t>, that the failure to give such notice shall not affect the validity of such setoff and application.</w:t>
      </w:r>
    </w:p>
    <w:p>
      <w:pPr>
        <w:spacing w:after="0" w:line="176" w:lineRule="exact"/>
        <w:rPr>
          <w:sz w:val="20"/>
          <w:szCs w:val="20"/>
          <w:color w:val="auto"/>
        </w:rPr>
      </w:pPr>
    </w:p>
    <w:p>
      <w:pPr>
        <w:jc w:val="both"/>
        <w:ind w:firstLine="1497"/>
        <w:spacing w:after="0" w:line="246" w:lineRule="auto"/>
        <w:rPr>
          <w:sz w:val="20"/>
          <w:szCs w:val="20"/>
          <w:color w:val="auto"/>
        </w:rPr>
      </w:pPr>
      <w:r>
        <w:rPr>
          <w:rFonts w:ascii="Times New Roman" w:cs="Times New Roman" w:eastAsia="Times New Roman" w:hAnsi="Times New Roman"/>
          <w:sz w:val="22"/>
          <w:szCs w:val="22"/>
          <w:b w:val="1"/>
          <w:bCs w:val="1"/>
          <w:u w:val="single" w:color="auto"/>
          <w:color w:val="auto"/>
        </w:rPr>
        <w:t>Rights and Remedies not Exclusive</w:t>
      </w:r>
      <w:r>
        <w:rPr>
          <w:rFonts w:ascii="Times New Roman" w:cs="Times New Roman" w:eastAsia="Times New Roman" w:hAnsi="Times New Roman"/>
          <w:sz w:val="22"/>
          <w:szCs w:val="22"/>
          <w:b w:val="1"/>
          <w:bCs w:val="1"/>
          <w:color w:val="auto"/>
        </w:rPr>
        <w:t>. The enumeration of the foregoing rights and remedies is not intended to be exhaustive and the exercise of any rights or remedy shall not preclude the exercise of any other right or remedies provided for herein or otherwise provided by law, all of which shall be cumulative and not alternative.</w:t>
      </w:r>
    </w:p>
    <w:p>
      <w:pPr>
        <w:spacing w:after="0" w:line="167" w:lineRule="exact"/>
        <w:rPr>
          <w:sz w:val="20"/>
          <w:szCs w:val="20"/>
          <w:color w:val="auto"/>
        </w:rPr>
      </w:pPr>
    </w:p>
    <w:p>
      <w:pPr>
        <w:jc w:val="both"/>
        <w:ind w:firstLine="1497"/>
        <w:spacing w:after="0" w:line="241" w:lineRule="auto"/>
        <w:rPr>
          <w:sz w:val="20"/>
          <w:szCs w:val="20"/>
          <w:color w:val="auto"/>
        </w:rPr>
      </w:pPr>
      <w:r>
        <w:rPr>
          <w:rFonts w:ascii="Times New Roman" w:cs="Times New Roman" w:eastAsia="Times New Roman" w:hAnsi="Times New Roman"/>
          <w:sz w:val="22"/>
          <w:szCs w:val="22"/>
          <w:b w:val="1"/>
          <w:bCs w:val="1"/>
          <w:u w:val="single" w:color="auto"/>
          <w:color w:val="auto"/>
        </w:rPr>
        <w:t>Allocation of Payments After Event of Default</w:t>
      </w:r>
      <w:r>
        <w:rPr>
          <w:rFonts w:ascii="Times New Roman" w:cs="Times New Roman" w:eastAsia="Times New Roman" w:hAnsi="Times New Roman"/>
          <w:sz w:val="22"/>
          <w:szCs w:val="22"/>
          <w:b w:val="1"/>
          <w:bCs w:val="1"/>
          <w:color w:val="auto"/>
        </w:rPr>
        <w:t>. Notwithstanding any other provisions of this Agreement to the contrary, after the occurrence and during the continuance of an Application Event, all amounts collected or received by Agent on account of the Obligations, or in respect of the Collateral may, at Agent's discretion, or shall at Required Lenders' direction, be paid over or delivered as follows:</w:t>
      </w:r>
    </w:p>
    <w:p>
      <w:pPr>
        <w:spacing w:after="0" w:line="176" w:lineRule="exact"/>
        <w:rPr>
          <w:sz w:val="20"/>
          <w:szCs w:val="20"/>
          <w:color w:val="auto"/>
        </w:rPr>
      </w:pPr>
    </w:p>
    <w:p>
      <w:pPr>
        <w:jc w:val="both"/>
        <w:ind w:left="760" w:right="760"/>
        <w:spacing w:after="0" w:line="239" w:lineRule="auto"/>
        <w:rPr>
          <w:sz w:val="20"/>
          <w:szCs w:val="20"/>
          <w:color w:val="auto"/>
        </w:rPr>
      </w:pPr>
      <w:r>
        <w:rPr>
          <w:rFonts w:ascii="Times New Roman" w:cs="Times New Roman" w:eastAsia="Times New Roman" w:hAnsi="Times New Roman"/>
          <w:sz w:val="22"/>
          <w:szCs w:val="22"/>
          <w:color w:val="auto"/>
        </w:rPr>
        <w:t>FIRST, to the payment of all reasonable out-of-pocket costs and expenses (including reasonable and documented attorneys' fees) of Agent in connection with enforcing its rights and the rights of Lenders under this Agreement and the Other Documents, and any Intentional Overadvances and Protective Advances funded by Agent with respect to the Collateral under or pursuant to the terms of this Agreement;</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SECOND, to payment of any fees owed to Agent and to the payment of Currency Losses of Issuer;</w:t>
      </w:r>
    </w:p>
    <w:p>
      <w:pPr>
        <w:spacing w:after="0" w:line="206" w:lineRule="exact"/>
        <w:rPr>
          <w:sz w:val="20"/>
          <w:szCs w:val="20"/>
          <w:color w:val="auto"/>
        </w:rPr>
      </w:pPr>
    </w:p>
    <w:p>
      <w:pPr>
        <w:jc w:val="both"/>
        <w:ind w:left="760" w:right="740"/>
        <w:spacing w:after="0" w:line="244" w:lineRule="auto"/>
        <w:rPr>
          <w:sz w:val="20"/>
          <w:szCs w:val="20"/>
          <w:color w:val="auto"/>
        </w:rPr>
      </w:pPr>
      <w:r>
        <w:rPr>
          <w:rFonts w:ascii="Times New Roman" w:cs="Times New Roman" w:eastAsia="Times New Roman" w:hAnsi="Times New Roman"/>
          <w:sz w:val="22"/>
          <w:szCs w:val="22"/>
          <w:color w:val="auto"/>
        </w:rPr>
        <w:t>THIRD, to the payment of all reasonable out-of-pocket costs and expenses (including reasonable and documented attorneys' fees) of each of the Lenders to the extent owing to such Lender pursuant to the terms of this Agreement;</w:t>
      </w:r>
    </w:p>
    <w:p>
      <w:pPr>
        <w:spacing w:after="0" w:line="173" w:lineRule="exact"/>
        <w:rPr>
          <w:sz w:val="20"/>
          <w:szCs w:val="20"/>
          <w:color w:val="auto"/>
        </w:rPr>
      </w:pPr>
    </w:p>
    <w:p>
      <w:pPr>
        <w:jc w:val="both"/>
        <w:ind w:left="760" w:right="760"/>
        <w:spacing w:after="0" w:line="258" w:lineRule="auto"/>
        <w:rPr>
          <w:sz w:val="20"/>
          <w:szCs w:val="20"/>
          <w:color w:val="auto"/>
        </w:rPr>
      </w:pPr>
      <w:r>
        <w:rPr>
          <w:rFonts w:ascii="Times New Roman" w:cs="Times New Roman" w:eastAsia="Times New Roman" w:hAnsi="Times New Roman"/>
          <w:sz w:val="22"/>
          <w:szCs w:val="22"/>
          <w:color w:val="auto"/>
        </w:rPr>
        <w:t>FOURTH, to the payment of all of the Obligations consisting of accrued interest on account of the Swing Loans;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95" w:name="page196"/>
    <w:bookmarkEnd w:id="195"/>
    <w:p>
      <w:pPr>
        <w:ind w:left="760"/>
        <w:spacing w:after="0"/>
        <w:rPr>
          <w:sz w:val="20"/>
          <w:szCs w:val="20"/>
          <w:color w:val="auto"/>
        </w:rPr>
      </w:pPr>
      <w:r>
        <w:rPr>
          <w:rFonts w:ascii="Times New Roman" w:cs="Times New Roman" w:eastAsia="Times New Roman" w:hAnsi="Times New Roman"/>
          <w:sz w:val="22"/>
          <w:szCs w:val="22"/>
          <w:color w:val="auto"/>
        </w:rPr>
        <w:t>FIFTH, to the payment of the outstanding principal amount of the Obligations consisting of Swing Loans;</w:t>
      </w:r>
    </w:p>
    <w:p>
      <w:pPr>
        <w:spacing w:after="0" w:line="206" w:lineRule="exact"/>
        <w:rPr>
          <w:sz w:val="20"/>
          <w:szCs w:val="20"/>
          <w:color w:val="auto"/>
        </w:rPr>
      </w:pPr>
    </w:p>
    <w:p>
      <w:pPr>
        <w:jc w:val="both"/>
        <w:ind w:left="760" w:right="760"/>
        <w:spacing w:after="0" w:line="244" w:lineRule="auto"/>
        <w:rPr>
          <w:sz w:val="20"/>
          <w:szCs w:val="20"/>
          <w:color w:val="auto"/>
        </w:rPr>
      </w:pPr>
      <w:r>
        <w:rPr>
          <w:rFonts w:ascii="Times New Roman" w:cs="Times New Roman" w:eastAsia="Times New Roman" w:hAnsi="Times New Roman"/>
          <w:sz w:val="22"/>
          <w:szCs w:val="22"/>
          <w:color w:val="auto"/>
        </w:rPr>
        <w:t>SIXTH, to the payment of all Obligations arising under this Agreement and the Other Documents consisting of accrued fees and interest (other than interest in respect of Swing Loans paid pursuant to clause FOURTH above);</w:t>
      </w:r>
    </w:p>
    <w:p>
      <w:pPr>
        <w:spacing w:after="0" w:line="173" w:lineRule="exact"/>
        <w:rPr>
          <w:sz w:val="20"/>
          <w:szCs w:val="20"/>
          <w:color w:val="auto"/>
        </w:rPr>
      </w:pPr>
    </w:p>
    <w:p>
      <w:pPr>
        <w:jc w:val="both"/>
        <w:ind w:left="760" w:right="740"/>
        <w:spacing w:after="0" w:line="236" w:lineRule="auto"/>
        <w:rPr>
          <w:sz w:val="20"/>
          <w:szCs w:val="20"/>
          <w:color w:val="auto"/>
        </w:rPr>
      </w:pPr>
      <w:r>
        <w:rPr>
          <w:rFonts w:ascii="Times New Roman" w:cs="Times New Roman" w:eastAsia="Times New Roman" w:hAnsi="Times New Roman"/>
          <w:sz w:val="22"/>
          <w:szCs w:val="22"/>
          <w:color w:val="auto"/>
        </w:rPr>
        <w:t>SEVENTH, to the payment of the outstanding principal amount of the Obligations (other than principal in respect of Swing Loans paid pursuant to clause FIFTH above) arising under this Agreement (including the payment or cash collateralization of Cash Management Liabilities (but only to the extent a reserve has been established against the Gross Amount or the Formula Amount for such Cash Management Liabilities), Hedge Liabilities (but only to the extent a reserve has been established against the Gross Amount or the Formula Amount for such Hedge Liabilities) and outstanding Letters of Credit).</w:t>
      </w:r>
    </w:p>
    <w:p>
      <w:pPr>
        <w:spacing w:after="0" w:line="181" w:lineRule="exact"/>
        <w:rPr>
          <w:sz w:val="20"/>
          <w:szCs w:val="20"/>
          <w:color w:val="auto"/>
        </w:rPr>
      </w:pPr>
    </w:p>
    <w:p>
      <w:pPr>
        <w:jc w:val="both"/>
        <w:ind w:left="760" w:right="760"/>
        <w:spacing w:after="0" w:line="239" w:lineRule="auto"/>
        <w:rPr>
          <w:sz w:val="20"/>
          <w:szCs w:val="20"/>
          <w:color w:val="auto"/>
        </w:rPr>
      </w:pPr>
      <w:r>
        <w:rPr>
          <w:rFonts w:ascii="Times New Roman" w:cs="Times New Roman" w:eastAsia="Times New Roman" w:hAnsi="Times New Roman"/>
          <w:sz w:val="22"/>
          <w:szCs w:val="22"/>
          <w:color w:val="auto"/>
        </w:rPr>
        <w:t>EIGHTH, to all other Obligations arising under this Agreement which shall have become due and payable (hereunder, under the Other Documents or otherwise) and not repaid pursuant to clauses "FIRST" through "SEVENTH" above and Cash Management Liabilities and Hedge Liabilities with respect to which a reserve has not been established against the Gross Amount or the Formula Amount (whether or not due and payable);</w:t>
      </w:r>
    </w:p>
    <w:p>
      <w:pPr>
        <w:spacing w:after="0" w:line="180" w:lineRule="exact"/>
        <w:rPr>
          <w:sz w:val="20"/>
          <w:szCs w:val="20"/>
          <w:color w:val="auto"/>
        </w:rPr>
      </w:pPr>
    </w:p>
    <w:p>
      <w:pPr>
        <w:jc w:val="both"/>
        <w:ind w:left="760" w:right="760"/>
        <w:spacing w:after="0" w:line="258" w:lineRule="auto"/>
        <w:rPr>
          <w:sz w:val="20"/>
          <w:szCs w:val="20"/>
          <w:color w:val="auto"/>
        </w:rPr>
      </w:pPr>
      <w:r>
        <w:rPr>
          <w:rFonts w:ascii="Times New Roman" w:cs="Times New Roman" w:eastAsia="Times New Roman" w:hAnsi="Times New Roman"/>
          <w:sz w:val="22"/>
          <w:szCs w:val="22"/>
          <w:color w:val="auto"/>
        </w:rPr>
        <w:t>NINTH, to all other Obligations which shall have become due and payable and not repaid pursuant to clauses "FIRST" through "EIGHTH"; and</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TENTH, to the payment of the surplus, if any, to whoever may be lawfully entitled to receive such surplus.</w:t>
      </w:r>
    </w:p>
    <w:p>
      <w:pPr>
        <w:spacing w:after="0" w:line="210" w:lineRule="exact"/>
        <w:rPr>
          <w:sz w:val="20"/>
          <w:szCs w:val="20"/>
          <w:color w:val="auto"/>
        </w:rPr>
      </w:pPr>
    </w:p>
    <w:p>
      <w:pPr>
        <w:jc w:val="both"/>
        <w:ind w:firstLine="749"/>
        <w:spacing w:after="0" w:line="259" w:lineRule="auto"/>
        <w:rPr>
          <w:sz w:val="20"/>
          <w:szCs w:val="20"/>
          <w:color w:val="auto"/>
        </w:rPr>
      </w:pPr>
      <w:r>
        <w:rPr>
          <w:rFonts w:ascii="Times New Roman" w:cs="Times New Roman" w:eastAsia="Times New Roman" w:hAnsi="Times New Roman"/>
          <w:sz w:val="22"/>
          <w:szCs w:val="22"/>
          <w:color w:val="auto"/>
        </w:rPr>
        <w:t>In carrying out the foregoing, (i) amounts received shall be applied in the numerical order provided until exhausted prior to application to the next succeeding category; (ii) each of the Lenders shall receive (so long as it is not a Defaulting Lender) an amount equal to its pro rata share (based on the proportion that the then outstanding Advances, Cash Management Liabilities (to the extent a reserve has been established against the Gross Amount or the Formula Amount) and Hedge Liabilities (to the extent a reserve has been established against the Gross Amount or the Formula Amount) held by such Lender bears to the aggregate then outstanding Advances, Cash Management Liabilities (to the extent a reserve has been established against the Gross Amount or the Formula Amount) and Hedge Liabilities (to the extent a reserve has been established against the Gross Amount or the Formula Amount)) of amounts available to be applied pursuant to clauses "SIXTH", "SEVENTH", "EIGHTH" and "NINTH" above; (iii) notwithstanding anything to the contrary in this Section 11.5, no Swap Obligations of any Non-Qualifying Party shall be paid with amounts received from such Non-Qualifying Party under its Guaranty (including sums received as a result of the exercise of remedies with respect to such Guaranty) or from the proceeds of such Non-Qualifying Party's Collateral if such Swap Obligations would constitute Excluded Hedge Liabilities, provided, however, that to the extent possible appropriate adjustments shall be made with respect to</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96" w:name="page197"/>
    <w:bookmarkEnd w:id="196"/>
    <w:p>
      <w:pPr>
        <w:jc w:val="both"/>
        <w:spacing w:after="0" w:line="265" w:lineRule="auto"/>
        <w:rPr>
          <w:sz w:val="20"/>
          <w:szCs w:val="20"/>
          <w:color w:val="auto"/>
        </w:rPr>
      </w:pPr>
      <w:r>
        <w:rPr>
          <w:rFonts w:ascii="Times New Roman" w:cs="Times New Roman" w:eastAsia="Times New Roman" w:hAnsi="Times New Roman"/>
          <w:sz w:val="22"/>
          <w:szCs w:val="22"/>
          <w:color w:val="auto"/>
        </w:rPr>
        <w:t>payments and/or the proceeds of Collateral from other Borrowers and/or Guarantors that are Eligible Contract Participants with respect to such Swap Obligations to preserve the allocation to Obligations otherwise set forth above in this Section 11.5; and (iv) to the extent that any amounts available for distribution pursuant to clause "SEVENTH" above are attributable to the issued but undrawn amount of outstanding Letters of Credit or Cash Management Liabilities or Hedge Liabilities not then due and payable, such amounts shall be held by Agent as cash collateral for such Obligations, until due and payable.</w:t>
      </w:r>
    </w:p>
    <w:p>
      <w:pPr>
        <w:spacing w:after="0" w:line="16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b w:val="1"/>
          <w:bCs w:val="1"/>
          <w:color w:val="auto"/>
        </w:rPr>
        <w:t>WAIVERS AND JUDICIAL PROCEEDINGS.</w:t>
      </w:r>
    </w:p>
    <w:p>
      <w:pPr>
        <w:spacing w:after="0" w:line="206" w:lineRule="exact"/>
        <w:rPr>
          <w:sz w:val="20"/>
          <w:szCs w:val="20"/>
          <w:color w:val="auto"/>
        </w:rPr>
      </w:pPr>
    </w:p>
    <w:p>
      <w:pPr>
        <w:jc w:val="both"/>
        <w:ind w:firstLine="1497"/>
        <w:spacing w:after="0" w:line="241" w:lineRule="auto"/>
        <w:rPr>
          <w:sz w:val="20"/>
          <w:szCs w:val="20"/>
          <w:color w:val="auto"/>
        </w:rPr>
      </w:pPr>
      <w:r>
        <w:rPr>
          <w:rFonts w:ascii="Times New Roman" w:cs="Times New Roman" w:eastAsia="Times New Roman" w:hAnsi="Times New Roman"/>
          <w:sz w:val="22"/>
          <w:szCs w:val="22"/>
          <w:b w:val="1"/>
          <w:bCs w:val="1"/>
          <w:u w:val="single" w:color="auto"/>
          <w:color w:val="auto"/>
        </w:rPr>
        <w:t>Waiver of Notice</w:t>
      </w:r>
      <w:r>
        <w:rPr>
          <w:rFonts w:ascii="Times New Roman" w:cs="Times New Roman" w:eastAsia="Times New Roman" w:hAnsi="Times New Roman"/>
          <w:sz w:val="22"/>
          <w:szCs w:val="22"/>
          <w:b w:val="1"/>
          <w:bCs w:val="1"/>
          <w:color w:val="auto"/>
        </w:rPr>
        <w:t>. Each Borrower hereby waives notice of non-payment of any of the Receivables, demand, presentment, protest and notice thereof with respect to any and all instruments, notice of acceptance hereof, notice of loans or advances made, credit extended, Collateral received or delivered, or any other action taken in reliance hereon, and all other demands and notices of any description, except such as are expressly provided for herein.</w:t>
      </w:r>
    </w:p>
    <w:p>
      <w:pPr>
        <w:spacing w:after="0" w:line="172" w:lineRule="exact"/>
        <w:rPr>
          <w:sz w:val="20"/>
          <w:szCs w:val="20"/>
          <w:color w:val="auto"/>
        </w:rPr>
      </w:pPr>
    </w:p>
    <w:p>
      <w:pPr>
        <w:jc w:val="both"/>
        <w:ind w:firstLine="1497"/>
        <w:spacing w:after="0" w:line="262" w:lineRule="auto"/>
        <w:rPr>
          <w:sz w:val="20"/>
          <w:szCs w:val="20"/>
          <w:color w:val="auto"/>
        </w:rPr>
      </w:pPr>
      <w:r>
        <w:rPr>
          <w:rFonts w:ascii="Times New Roman" w:cs="Times New Roman" w:eastAsia="Times New Roman" w:hAnsi="Times New Roman"/>
          <w:sz w:val="22"/>
          <w:szCs w:val="22"/>
          <w:b w:val="1"/>
          <w:bCs w:val="1"/>
          <w:u w:val="single" w:color="auto"/>
          <w:color w:val="auto"/>
        </w:rPr>
        <w:t>Delay</w:t>
      </w:r>
      <w:r>
        <w:rPr>
          <w:rFonts w:ascii="Times New Roman" w:cs="Times New Roman" w:eastAsia="Times New Roman" w:hAnsi="Times New Roman"/>
          <w:sz w:val="22"/>
          <w:szCs w:val="22"/>
          <w:b w:val="1"/>
          <w:bCs w:val="1"/>
          <w:color w:val="auto"/>
        </w:rPr>
        <w:t>. No delay or omission on Agent's or any Lender's part in exercising any right, remedy or option shall operate as a waiver of such or any other right, remedy or option or of any Default or Event of Default.</w:t>
      </w:r>
    </w:p>
    <w:p>
      <w:pPr>
        <w:spacing w:after="0" w:line="150" w:lineRule="exact"/>
        <w:rPr>
          <w:sz w:val="20"/>
          <w:szCs w:val="20"/>
          <w:color w:val="auto"/>
        </w:rPr>
      </w:pPr>
    </w:p>
    <w:p>
      <w:pPr>
        <w:jc w:val="both"/>
        <w:ind w:firstLine="1497"/>
        <w:spacing w:after="0" w:line="233" w:lineRule="auto"/>
        <w:rPr>
          <w:sz w:val="20"/>
          <w:szCs w:val="20"/>
          <w:color w:val="auto"/>
        </w:rPr>
      </w:pPr>
      <w:r>
        <w:rPr>
          <w:rFonts w:ascii="Times New Roman" w:cs="Times New Roman" w:eastAsia="Times New Roman" w:hAnsi="Times New Roman"/>
          <w:sz w:val="22"/>
          <w:szCs w:val="22"/>
          <w:b w:val="1"/>
          <w:bCs w:val="1"/>
          <w:u w:val="single" w:color="auto"/>
          <w:color w:val="auto"/>
        </w:rPr>
        <w:t>Jury Waiver</w:t>
      </w:r>
      <w:r>
        <w:rPr>
          <w:rFonts w:ascii="Times New Roman" w:cs="Times New Roman" w:eastAsia="Times New Roman" w:hAnsi="Times New Roman"/>
          <w:sz w:val="22"/>
          <w:szCs w:val="22"/>
          <w:b w:val="1"/>
          <w:bCs w:val="1"/>
          <w:color w:val="auto"/>
        </w:rPr>
        <w:t>. EACH PARTY TO THIS AGREEMENT HEREBY EXPRESSLY WAIVES ANY RIGHT TO TRIAL BY JURY OF ANY CLAIM, COUNTERCLAIM, DEMAND, ACTION OR CAUSE OF ACTION (A) ARISING UNDER THIS AGREEMENT, ANY OTHER DOCUMENT OR ANY OTHER INSTRUMENT, DOCUMENT OR AGREEMENT EXECUTED OR DELIVERED IN CONNECTION HEREWITH, OR (B) IN ANY WAY CONNECTED WITH OR RELATED OR INCIDENTAL TO THE DEALINGS OF THE PARTIES HERETO OR ANY OF THEM WITH RESPECT TO THIS AGREEMENT, ANY OTHER DOCUMENT OR ANY OTHER INSTRUMENT, DOCUMENT OR AGREEMENT EXECUTED OR DELIVERED IN CONNECTION HEREWITH, OR THE TRANSACTIONS RELATED HERETO OR THERETO IN EACH CASE WHETHER NOW EXISTING OR HEREAFTER ARISING, AND WHETHER SOUNDING IN CONTRACT OR TORT OR OTHERWISE AND EACH PARTY HEREBY CONSENTS THAT ANY SUCH CLAIM, COUNTERCLAIM, DEMAND, ACTION OR CAUSE OF ACTION SHALL BE DECIDED BY COURT TRIAL WITHOUT A JURY, AND THAT ANY PARTY TO THIS AGREEMENT MAY FILE AN ORIGINAL COUNTERPART OR A COPY OF THIS SECTION WITH ANY COURT AS WRITTEN EVIDENCE OF THE CONSENTS OF THE PARTIES HERETO TO THE WAIVER OF THEIR RIGHT TO TRIAL BY JURY.</w:t>
      </w:r>
    </w:p>
    <w:p>
      <w:pPr>
        <w:spacing w:after="0" w:line="18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b w:val="1"/>
          <w:bCs w:val="1"/>
          <w:u w:val="single" w:color="auto"/>
          <w:color w:val="auto"/>
        </w:rPr>
        <w:t>EFFECTIVE DATE AND TERMINATION</w:t>
      </w:r>
      <w:r>
        <w:rPr>
          <w:rFonts w:ascii="Times New Roman" w:cs="Times New Roman" w:eastAsia="Times New Roman" w:hAnsi="Times New Roman"/>
          <w:sz w:val="22"/>
          <w:szCs w:val="22"/>
          <w:b w:val="1"/>
          <w:bCs w:val="1"/>
          <w:color w:val="auto"/>
        </w:rPr>
        <w:t>.</w:t>
      </w:r>
    </w:p>
    <w:p>
      <w:pPr>
        <w:spacing w:after="0" w:line="206" w:lineRule="exact"/>
        <w:rPr>
          <w:sz w:val="20"/>
          <w:szCs w:val="20"/>
          <w:color w:val="auto"/>
        </w:rPr>
      </w:pPr>
    </w:p>
    <w:p>
      <w:pPr>
        <w:jc w:val="both"/>
        <w:ind w:firstLine="1497"/>
        <w:spacing w:after="0" w:line="237" w:lineRule="auto"/>
        <w:rPr>
          <w:sz w:val="20"/>
          <w:szCs w:val="20"/>
          <w:color w:val="auto"/>
        </w:rPr>
      </w:pPr>
      <w:r>
        <w:rPr>
          <w:rFonts w:ascii="Times New Roman" w:cs="Times New Roman" w:eastAsia="Times New Roman" w:hAnsi="Times New Roman"/>
          <w:sz w:val="22"/>
          <w:szCs w:val="22"/>
          <w:b w:val="1"/>
          <w:bCs w:val="1"/>
          <w:u w:val="single" w:color="auto"/>
          <w:color w:val="auto"/>
        </w:rPr>
        <w:t>Term</w:t>
      </w:r>
      <w:r>
        <w:rPr>
          <w:rFonts w:ascii="Times New Roman" w:cs="Times New Roman" w:eastAsia="Times New Roman" w:hAnsi="Times New Roman"/>
          <w:sz w:val="22"/>
          <w:szCs w:val="22"/>
          <w:b w:val="1"/>
          <w:bCs w:val="1"/>
          <w:color w:val="auto"/>
        </w:rPr>
        <w:t>. This Agreement, which shall inure to the benefit of and shall be binding upon the respective successors and permitted assigns of each Borrower, Agent and each Lender, shall become effective on the date hereof and shall continue in full force and effect until the Maturity Date unless sooner terminated as herein provided. Borrowers may terminate this Agreement at any time upon ten (10) days prior written notice to Agent upon payment in full of the Obligations; provided that a notice of termination of this Agreement delivered by the Borrowers may state that such notice is conditioned upon the effectiveness of other financings or</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197" w:name="page198"/>
    <w:bookmarkEnd w:id="197"/>
    <w:p>
      <w:pPr>
        <w:jc w:val="both"/>
        <w:spacing w:after="0" w:line="246" w:lineRule="auto"/>
        <w:rPr>
          <w:sz w:val="20"/>
          <w:szCs w:val="20"/>
          <w:color w:val="auto"/>
        </w:rPr>
      </w:pPr>
      <w:r>
        <w:rPr>
          <w:rFonts w:ascii="Times New Roman" w:cs="Times New Roman" w:eastAsia="Times New Roman" w:hAnsi="Times New Roman"/>
          <w:sz w:val="22"/>
          <w:szCs w:val="22"/>
          <w:b w:val="1"/>
          <w:bCs w:val="1"/>
          <w:color w:val="auto"/>
        </w:rPr>
        <w:t>of asset dispositions (the proceeds of which, in either case, shall be used to repay the outstanding Obligations in full), in which case such notice may be revoked by the Borrowers (by written notice to the Agent from the Borrowing Agent on or prior to the specified effective date) if such condition is not satisfied.</w:t>
      </w:r>
    </w:p>
    <w:p>
      <w:pPr>
        <w:spacing w:after="0" w:line="167"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1"/>
          <w:szCs w:val="21"/>
          <w:b w:val="1"/>
          <w:bCs w:val="1"/>
          <w:u w:val="single" w:color="auto"/>
          <w:color w:val="auto"/>
        </w:rPr>
        <w:t>Termination</w:t>
      </w:r>
      <w:r>
        <w:rPr>
          <w:rFonts w:ascii="Times New Roman" w:cs="Times New Roman" w:eastAsia="Times New Roman" w:hAnsi="Times New Roman"/>
          <w:sz w:val="21"/>
          <w:szCs w:val="21"/>
          <w:b w:val="1"/>
          <w:bCs w:val="1"/>
          <w:color w:val="auto"/>
        </w:rPr>
        <w:t>. The termination of the Agreement shall not affect Agent's or any Lender's rights, or any of the Obligations having their inception prior to the effective date of such termination or any Obligations which pursuant to the terms hereof continue to accrue after such date, and the provisions hereof shall continue to be fully operative until all transactions entered into, rights or interests created and Obligations have been fully and indefeasibly paid, disposed of, concluded or liquidated. The security interests, Liens and rights granted to Agent and Lenders hereunder and the financing statements filed hereunder shall continue in full force and effect, notwithstanding the termination of this Agreement or the fact that Borrowers' Account may from time to time be temporarily in a zero or credit position, until all of the Obligations of each Borrower have been indefeasibly paid and performed in full after the termination of this Agreement or each Borrower has furnished Agent and Lenders with an indemnification satisfactory to Agent and Lenders with respect thereto. Accordingly, each Borrower waives any rights which it may have under the Uniform Commercial Code to demand the filing of termination statements with respect to the Collateral, and Agent shall not be required to send such termination statements to each Borrower, or to file them with any filing office, unless and until this Agreement shall have been terminated in accordance with its terms and all Obligations have been indefeasibly paid in full in immediately available funds. All representations, warranties, covenants, waivers and agreements contained herein shall survive termination hereof until all Obligations are indefeasibly paid and performed in full.</w:t>
      </w:r>
    </w:p>
    <w:p>
      <w:pPr>
        <w:spacing w:after="0" w:line="17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b w:val="1"/>
          <w:bCs w:val="1"/>
          <w:color w:val="auto"/>
        </w:rPr>
        <w:t>REGARDING AGENT .</w:t>
      </w:r>
    </w:p>
    <w:p>
      <w:pPr>
        <w:spacing w:after="0" w:line="206" w:lineRule="exact"/>
        <w:rPr>
          <w:sz w:val="20"/>
          <w:szCs w:val="20"/>
          <w:color w:val="auto"/>
        </w:rPr>
      </w:pPr>
    </w:p>
    <w:p>
      <w:pPr>
        <w:jc w:val="both"/>
        <w:ind w:firstLine="1497"/>
        <w:spacing w:after="0" w:line="245" w:lineRule="auto"/>
        <w:rPr>
          <w:sz w:val="20"/>
          <w:szCs w:val="20"/>
          <w:color w:val="auto"/>
        </w:rPr>
      </w:pPr>
      <w:r>
        <w:rPr>
          <w:rFonts w:ascii="Times New Roman" w:cs="Times New Roman" w:eastAsia="Times New Roman" w:hAnsi="Times New Roman"/>
          <w:sz w:val="21"/>
          <w:szCs w:val="21"/>
          <w:b w:val="1"/>
          <w:bCs w:val="1"/>
          <w:u w:val="single" w:color="auto"/>
          <w:color w:val="auto"/>
        </w:rPr>
        <w:t>Appointment</w:t>
      </w:r>
      <w:r>
        <w:rPr>
          <w:rFonts w:ascii="Times New Roman" w:cs="Times New Roman" w:eastAsia="Times New Roman" w:hAnsi="Times New Roman"/>
          <w:sz w:val="21"/>
          <w:szCs w:val="21"/>
          <w:b w:val="1"/>
          <w:bCs w:val="1"/>
          <w:color w:val="auto"/>
        </w:rPr>
        <w:t xml:space="preserve">. Each Lender hereby designates PNC to act as Agent for such Lender under this Agreement and the Other Documents. Each Lender hereby irrevocably authorizes Agent to take such action on its behalf under the provisions of this Agreement and the Other Documents and to exercise such powers and to perform such duties hereunder and thereunder as are specifically delegated to or required of Agent by the terms hereof and thereof and such other powers as are reasonably incidental thereto and Agent shall hold all Collateral, payments of principal and interest, fees (except the fees set forth in Sections 2.8(b) and 3.4 and the Fee Letter), charges and collections received pursuant to this Agreement, for the ratable benefit of Lenders. Agent may perform any of its duties hereunder by or through its agents or employees. As to any matters not expressly provided for by this Agreement (including collection of the Note) Agent shall not be required to exercise any discretion or take any action, but shall be required to act or to refrain from acting (and shall be fully protected in so acting or refraining from acting) upon the instructions of Required Lenders, and such instructions shall be binding; </w:t>
      </w:r>
      <w:r>
        <w:rPr>
          <w:rFonts w:ascii="Times New Roman" w:cs="Times New Roman" w:eastAsia="Times New Roman" w:hAnsi="Times New Roman"/>
          <w:sz w:val="21"/>
          <w:szCs w:val="21"/>
          <w:b w:val="1"/>
          <w:bCs w:val="1"/>
          <w:u w:val="single" w:color="auto"/>
          <w:color w:val="auto"/>
        </w:rPr>
        <w:t>provided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b w:val="1"/>
          <w:bCs w:val="1"/>
          <w:u w:val="single" w:color="auto"/>
          <w:color w:val="auto"/>
        </w:rPr>
        <w:t>however</w:t>
      </w:r>
      <w:r>
        <w:rPr>
          <w:rFonts w:ascii="Times New Roman" w:cs="Times New Roman" w:eastAsia="Times New Roman" w:hAnsi="Times New Roman"/>
          <w:sz w:val="21"/>
          <w:szCs w:val="21"/>
          <w:b w:val="1"/>
          <w:bCs w:val="1"/>
          <w:color w:val="auto"/>
        </w:rPr>
        <w:t>, that Agent shall not be required to take any action which, in Agent's discretion, exposes Agent to liability or which is contrary to this Agreement or the Other Documents or Applicable Law unless Agent is furnished with an indemnification reasonably satisfactory to Agent with respect thereto.</w:t>
      </w:r>
    </w:p>
    <w:p>
      <w:pPr>
        <w:spacing w:after="0" w:line="170" w:lineRule="exact"/>
        <w:rPr>
          <w:sz w:val="20"/>
          <w:szCs w:val="20"/>
          <w:color w:val="auto"/>
        </w:rPr>
      </w:pPr>
    </w:p>
    <w:p>
      <w:pPr>
        <w:jc w:val="both"/>
        <w:ind w:firstLine="1497"/>
        <w:spacing w:after="0" w:line="246" w:lineRule="auto"/>
        <w:rPr>
          <w:sz w:val="20"/>
          <w:szCs w:val="20"/>
          <w:color w:val="auto"/>
        </w:rPr>
      </w:pPr>
      <w:r>
        <w:rPr>
          <w:rFonts w:ascii="Times New Roman" w:cs="Times New Roman" w:eastAsia="Times New Roman" w:hAnsi="Times New Roman"/>
          <w:sz w:val="22"/>
          <w:szCs w:val="22"/>
          <w:b w:val="1"/>
          <w:bCs w:val="1"/>
          <w:u w:val="single" w:color="auto"/>
          <w:color w:val="auto"/>
        </w:rPr>
        <w:t>Nature of Duties</w:t>
      </w:r>
      <w:r>
        <w:rPr>
          <w:rFonts w:ascii="Times New Roman" w:cs="Times New Roman" w:eastAsia="Times New Roman" w:hAnsi="Times New Roman"/>
          <w:sz w:val="22"/>
          <w:szCs w:val="22"/>
          <w:b w:val="1"/>
          <w:bCs w:val="1"/>
          <w:color w:val="auto"/>
        </w:rPr>
        <w:t>. Neither Agent nor Green Loan Coordinator shall have any duties or responsibilities except those expressly set forth in this Agreement and the Other Documents. Neither Agent, Green Loan Coordinator nor any of their officers, directors, employees or agents</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98" w:name="page199"/>
    <w:bookmarkEnd w:id="198"/>
    <w:p>
      <w:pPr>
        <w:jc w:val="both"/>
        <w:spacing w:after="0" w:line="244" w:lineRule="auto"/>
        <w:rPr>
          <w:sz w:val="20"/>
          <w:szCs w:val="20"/>
          <w:color w:val="auto"/>
        </w:rPr>
      </w:pPr>
      <w:r>
        <w:rPr>
          <w:rFonts w:ascii="Times New Roman" w:cs="Times New Roman" w:eastAsia="Times New Roman" w:hAnsi="Times New Roman"/>
          <w:sz w:val="21"/>
          <w:szCs w:val="21"/>
          <w:b w:val="1"/>
          <w:bCs w:val="1"/>
          <w:color w:val="auto"/>
        </w:rPr>
        <w:t>shall be (i) liable for any action taken or omitted by them as such hereunder or in connection herewith, unless caused by their gross (not mere) negligence, bad faith or willful misconduct (as determined by a court of competent jurisdiction in a final non-appealable judgment), or (ii) responsible in any manner for any recitals, statements, representations or warranties made by any Borrower or any officer thereof contained in this Agreement, or in any of the Other Documents or in any certificate, report, statement or other document referred to or provided for in, or received by Agent or Green Loan Coordinator under or in connection with, this Agreement or any of the Other Documents or for the value, validity, effectiveness, genuineness, due execution, enforceability or sufficiency of this Agreement, or any of the Other Documents or for any failure of any Borrower to perform its obligations hereunder. Neither Agent nor Green Loan Coordinator shall be under any obligation to any Lender to ascertain or to inquire as to the observance or performance of any of the agreements contained in, or conditions of, this Agreement or any of the Other Documents, or to inspect the properties, books or records of any Borrower. The duties of Agent and Green Loan Coordinator as respects the Advances to Borrowers shall be mechanical and administrative in nature; neither Agent nor Green Loan Coordinator shall have by reason of this Agreement a fiduciary relationship in respect of any Lender; and nothing in this Agreement, expressed or implied, is intended to or shall be so construed as to impose upon Agent or Green Loan Coordinator any obligations in respect of this Agreement or the transactions described herein except as expressly set forth herein. No lead arranger, bookrunner, syndication agent or documentation agent shall have any duties or obligations under this Agreement.</w:t>
      </w:r>
    </w:p>
    <w:p>
      <w:pPr>
        <w:spacing w:after="0" w:line="176" w:lineRule="exact"/>
        <w:rPr>
          <w:sz w:val="20"/>
          <w:szCs w:val="20"/>
          <w:color w:val="auto"/>
        </w:rPr>
      </w:pPr>
    </w:p>
    <w:p>
      <w:pPr>
        <w:jc w:val="both"/>
        <w:ind w:firstLine="1497"/>
        <w:spacing w:after="0" w:line="232" w:lineRule="auto"/>
        <w:rPr>
          <w:sz w:val="20"/>
          <w:szCs w:val="20"/>
          <w:color w:val="auto"/>
        </w:rPr>
      </w:pPr>
      <w:r>
        <w:rPr>
          <w:rFonts w:ascii="Times New Roman" w:cs="Times New Roman" w:eastAsia="Times New Roman" w:hAnsi="Times New Roman"/>
          <w:sz w:val="22"/>
          <w:szCs w:val="22"/>
          <w:b w:val="1"/>
          <w:bCs w:val="1"/>
          <w:u w:val="single" w:color="auto"/>
          <w:color w:val="auto"/>
        </w:rPr>
        <w:t>Lack of Reliance on Agent and Green Loan Coordinator</w:t>
      </w:r>
      <w:r>
        <w:rPr>
          <w:rFonts w:ascii="Times New Roman" w:cs="Times New Roman" w:eastAsia="Times New Roman" w:hAnsi="Times New Roman"/>
          <w:sz w:val="22"/>
          <w:szCs w:val="22"/>
          <w:b w:val="1"/>
          <w:bCs w:val="1"/>
          <w:color w:val="auto"/>
        </w:rPr>
        <w:t>. Independently and without reliance upon Agent, Green Loan Coordinator or any other Lender, each Lender has made and shall continue to make (i) its own independent investigation of the financial condition and affairs of each Borrower and each Guarantor in connection with the making and the continuance of the Advances hereunder and the taking or not taking of any action in connection herewith, and (ii) its own appraisal of the creditworthiness of each Borrower and each Guarantor. Neither Agent nor Green Loan Coordinator shall have no duty or responsibility, either initially or on a continuing basis, to provide any Lender with any credit or other information with respect thereto, whether coming into its possession before making of the Advances or at any time or times thereafter except as shall be provided by any Borrower pursuant to the terms hereof. Neither Agent nor Green Loan Coordinator shall be responsible to any Lender for any recitals, statements, information, representations or warranties herein or in any agreement, document, certificate or a statement delivered in connection with or for the execution, effectiveness, genuineness, validity, enforceability, collectability or sufficiency of this Agreement or any Other Document, or of the financial condition of any Borrower or any Guarantor, or be required to make any inquiry concerning either the performance or observance of any of the terms, provisions or conditions of this Agreement, the Note, the Other Documents or the financial condition or prospects of any Borrower, or the existence of any Event of Default or any Default. PNC has adopted internal policies and procedures that address requirements placed on federally regulated lenders under the National Flood Insurance Reform Act of 1994 and related legislation (the "</w:t>
      </w:r>
      <w:r>
        <w:rPr>
          <w:rFonts w:ascii="Times New Roman" w:cs="Times New Roman" w:eastAsia="Times New Roman" w:hAnsi="Times New Roman"/>
          <w:sz w:val="22"/>
          <w:szCs w:val="22"/>
          <w:b w:val="1"/>
          <w:bCs w:val="1"/>
          <w:u w:val="single" w:color="auto"/>
          <w:color w:val="auto"/>
        </w:rPr>
        <w:t>Flood Laws</w:t>
      </w:r>
      <w:r>
        <w:rPr>
          <w:rFonts w:ascii="Times New Roman" w:cs="Times New Roman" w:eastAsia="Times New Roman" w:hAnsi="Times New Roman"/>
          <w:sz w:val="22"/>
          <w:szCs w:val="22"/>
          <w:b w:val="1"/>
          <w:bCs w:val="1"/>
          <w:color w:val="auto"/>
        </w:rPr>
        <w:t>"). PNC, as administrative agent or collateral agent on a syndicated facility, will post on the applicable electronic platform (or otherwise distribute to each Lender in the syndicate) documents that it receives in connection with the Flood Laws. However, PNC reminds each Lender and Participant in the facility that, pursuant to the Flood Laws, each federally regulated Lender (whether acting as a Lender or Participant in the facility) is responsible for assuring its own compliance with the flood insurance requirements.</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99" w:name="page200"/>
    <w:bookmarkEnd w:id="199"/>
    <w:p>
      <w:pPr>
        <w:jc w:val="both"/>
        <w:ind w:firstLine="1497"/>
        <w:spacing w:after="0" w:line="232" w:lineRule="auto"/>
        <w:rPr>
          <w:sz w:val="20"/>
          <w:szCs w:val="20"/>
          <w:color w:val="auto"/>
        </w:rPr>
      </w:pPr>
      <w:r>
        <w:rPr>
          <w:rFonts w:ascii="Times New Roman" w:cs="Times New Roman" w:eastAsia="Times New Roman" w:hAnsi="Times New Roman"/>
          <w:sz w:val="22"/>
          <w:szCs w:val="22"/>
          <w:b w:val="1"/>
          <w:bCs w:val="1"/>
          <w:u w:val="single" w:color="auto"/>
          <w:color w:val="auto"/>
        </w:rPr>
        <w:t>Resignation of Agent; Successor Agent</w:t>
      </w:r>
      <w:r>
        <w:rPr>
          <w:rFonts w:ascii="Times New Roman" w:cs="Times New Roman" w:eastAsia="Times New Roman" w:hAnsi="Times New Roman"/>
          <w:sz w:val="22"/>
          <w:szCs w:val="22"/>
          <w:b w:val="1"/>
          <w:bCs w:val="1"/>
          <w:color w:val="auto"/>
        </w:rPr>
        <w:t>. Agent may resign on sixty (60) days written notice to each Lender (or such shorter notice as Required Lenders may agree to) and Borrowing Agent (provided, no notice shall be required to be given to Borrowing Agent if an Event of Default exists) and upon such resignation, Required Lenders will promptly designate a successor Agent reasonably satisfactory to Borrowers (provided that no such approval by Borrowers shall be required (i) in any case where the successor Agent is one of the Lenders or (ii) after the occurrence and during the continuance of any Event of Default). Any such successor Agent shall succeed to the rights, powers and duties of Agent, and shall in particular succeed to all of Agent's right, title and interest in and to all of the Liens in the Collateral securing the Obligations created hereunder or any Other Document, Pledge Agreement, Maritime Security Documents and all account control agreements), and the term "Agent" shall mean such successor agent effective upon its appointment, and the former Agent's rights, powers and duties as Agent shall be terminated, without any other or further act or deed on the part of such former Agent. However, notwithstanding the foregoing, if at the time of the effectiveness of the new Agent's appointment, any further actions need to be taken in order to provide for the legally binding and valid transfer of any Liens in the Collateral from former Agent to new Agent and/or for the perfection of any Liens in the Collateral as held by new Agent or it is otherwise not then possible for new Agent to become the holder of a fully valid, enforceable and perfected Lien as to any of the Collateral, former Agent shall continue to hold such Liens solely as agent for perfection of such Liens on behalf of new Agent until such time as new Agent can obtain a fully valid, enforceable and perfected Lien on all Collateral, provided that Agent shall not be required to or have any liability or responsibility to take any further actions after such date as such agent for perfection to continue the perfection of any such Liens (other than to forego from taking any affirmative action to release any such Liens). After any Agent's resignation as Agent, the provisions of this Article XIV, and any indemnification rights under this Agreement, including without limitation, rights arising under Section 16.5 hereof, shall inure to its benefit as to any actions taken or omitted to be taken by it while it was Agent under this Agreement (and in the event resigning Agent continues to hold any Liens pursuant to the provisions of the immediately preceding sentence, the provisions of this Article XIV and any indemnification rights under this Agreement, including without limitation, rights arising under Section 16.5 hereof, shall inure to its benefit as to any actions taken or omitted to be taken by it in connection with such Liens).</w:t>
      </w:r>
    </w:p>
    <w:p>
      <w:pPr>
        <w:spacing w:after="0" w:line="177" w:lineRule="exact"/>
        <w:rPr>
          <w:sz w:val="20"/>
          <w:szCs w:val="20"/>
          <w:color w:val="auto"/>
        </w:rPr>
      </w:pPr>
    </w:p>
    <w:p>
      <w:pPr>
        <w:jc w:val="both"/>
        <w:ind w:firstLine="1497"/>
        <w:spacing w:after="0" w:line="237" w:lineRule="auto"/>
        <w:rPr>
          <w:sz w:val="20"/>
          <w:szCs w:val="20"/>
          <w:color w:val="auto"/>
        </w:rPr>
      </w:pPr>
      <w:r>
        <w:rPr>
          <w:rFonts w:ascii="Times New Roman" w:cs="Times New Roman" w:eastAsia="Times New Roman" w:hAnsi="Times New Roman"/>
          <w:sz w:val="22"/>
          <w:szCs w:val="22"/>
          <w:b w:val="1"/>
          <w:bCs w:val="1"/>
          <w:u w:val="single" w:color="auto"/>
          <w:color w:val="auto"/>
        </w:rPr>
        <w:t>Certain Rights of Agent</w:t>
      </w:r>
      <w:r>
        <w:rPr>
          <w:rFonts w:ascii="Times New Roman" w:cs="Times New Roman" w:eastAsia="Times New Roman" w:hAnsi="Times New Roman"/>
          <w:sz w:val="22"/>
          <w:szCs w:val="22"/>
          <w:b w:val="1"/>
          <w:bCs w:val="1"/>
          <w:color w:val="auto"/>
        </w:rPr>
        <w:t>. If Agent shall request instructions from Lenders with respect to any act or action (including failure to act) in connection with this Agreement or any Other Document, Agent shall be entitled to refrain from such act or taking such action unless and until Agent shall have received instructions from Required Lenders; and Agent shall not incur liability to any Person by reason of so refraining. Without limiting the foregoing, Lenders shall not have any right of action whatsoever against Agent as a result of its acting or refraining from acting hereunder in accordance with the instructions of Required Lenders.</w:t>
      </w:r>
    </w:p>
    <w:p>
      <w:pPr>
        <w:spacing w:after="0" w:line="175" w:lineRule="exact"/>
        <w:rPr>
          <w:sz w:val="20"/>
          <w:szCs w:val="20"/>
          <w:color w:val="auto"/>
        </w:rPr>
      </w:pPr>
    </w:p>
    <w:p>
      <w:pPr>
        <w:jc w:val="both"/>
        <w:ind w:firstLine="1497"/>
        <w:spacing w:after="0" w:line="237" w:lineRule="auto"/>
        <w:rPr>
          <w:sz w:val="20"/>
          <w:szCs w:val="20"/>
          <w:color w:val="auto"/>
        </w:rPr>
      </w:pPr>
      <w:r>
        <w:rPr>
          <w:rFonts w:ascii="Times New Roman" w:cs="Times New Roman" w:eastAsia="Times New Roman" w:hAnsi="Times New Roman"/>
          <w:sz w:val="22"/>
          <w:szCs w:val="22"/>
          <w:b w:val="1"/>
          <w:bCs w:val="1"/>
          <w:u w:val="single" w:color="auto"/>
          <w:color w:val="auto"/>
        </w:rPr>
        <w:t>Reliance</w:t>
      </w:r>
      <w:r>
        <w:rPr>
          <w:rFonts w:ascii="Times New Roman" w:cs="Times New Roman" w:eastAsia="Times New Roman" w:hAnsi="Times New Roman"/>
          <w:sz w:val="22"/>
          <w:szCs w:val="22"/>
          <w:b w:val="1"/>
          <w:bCs w:val="1"/>
          <w:color w:val="auto"/>
        </w:rPr>
        <w:t>. Agent and Green Loan Coordinator shall be entitled to rely, and shall be fully protected in relying, upon any note, writing, resolution, notice, statement, certificate, email, facsimile, telex, teletype or telecopier message, cablegram, order or other document or telephone message believed by it to be genuine and correct and to have been signed, sent or made by the proper person or entity, and, with respect to all legal matters pertaining to this Agreement and the Other Documents and its duties hereunder, upon advice of counsel selected by it. Without limiting the foregoing, each party hereto hereby agrees that neither the Green Loan Coordinator nor Agent</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00" w:name="page201"/>
    <w:bookmarkEnd w:id="200"/>
    <w:p>
      <w:pPr>
        <w:jc w:val="both"/>
        <w:spacing w:after="0" w:line="237" w:lineRule="auto"/>
        <w:rPr>
          <w:sz w:val="20"/>
          <w:szCs w:val="20"/>
          <w:color w:val="auto"/>
        </w:rPr>
      </w:pPr>
      <w:r>
        <w:rPr>
          <w:rFonts w:ascii="Times New Roman" w:cs="Times New Roman" w:eastAsia="Times New Roman" w:hAnsi="Times New Roman"/>
          <w:sz w:val="22"/>
          <w:szCs w:val="22"/>
          <w:b w:val="1"/>
          <w:bCs w:val="1"/>
          <w:color w:val="auto"/>
        </w:rPr>
        <w:t>shall have any responsibility for (or liability in respect of) reviewing, auditing or otherwise evaluating any certification provided by any Borrower in connection with a Green Loan Advance (or any of the information that is part of or related to any such certification). Agent and Green Loan Coordinator may rely conclusively on any such certification provided by Borrowing Agent or any other Borrower for any Green Loan Advance without any responsibility to verify the accuracy thereof. Agent may employ agents and attorneys-in-fact and shall not be liable for the default or misconduct of any such agents or attorneys-in-fact selected by Agent with reasonable care.</w:t>
      </w:r>
    </w:p>
    <w:p>
      <w:pPr>
        <w:spacing w:after="0" w:line="175" w:lineRule="exact"/>
        <w:rPr>
          <w:sz w:val="20"/>
          <w:szCs w:val="20"/>
          <w:color w:val="auto"/>
        </w:rPr>
      </w:pPr>
    </w:p>
    <w:p>
      <w:pPr>
        <w:jc w:val="both"/>
        <w:ind w:firstLine="1497"/>
        <w:spacing w:after="0" w:line="235" w:lineRule="auto"/>
        <w:rPr>
          <w:sz w:val="20"/>
          <w:szCs w:val="20"/>
          <w:color w:val="auto"/>
        </w:rPr>
      </w:pPr>
      <w:r>
        <w:rPr>
          <w:rFonts w:ascii="Times New Roman" w:cs="Times New Roman" w:eastAsia="Times New Roman" w:hAnsi="Times New Roman"/>
          <w:sz w:val="22"/>
          <w:szCs w:val="22"/>
          <w:b w:val="1"/>
          <w:bCs w:val="1"/>
          <w:u w:val="single" w:color="auto"/>
          <w:color w:val="auto"/>
        </w:rPr>
        <w:t>Notice of Default</w:t>
      </w:r>
      <w:r>
        <w:rPr>
          <w:rFonts w:ascii="Times New Roman" w:cs="Times New Roman" w:eastAsia="Times New Roman" w:hAnsi="Times New Roman"/>
          <w:sz w:val="22"/>
          <w:szCs w:val="22"/>
          <w:b w:val="1"/>
          <w:bCs w:val="1"/>
          <w:color w:val="auto"/>
        </w:rPr>
        <w:t xml:space="preserve">. Agent shall not be deemed to have knowledge or notice of the occurrence of any Default or Event of Default hereunder or under the Other Documents, unless Agent has received notice from a Lender or Borrowing Agent referring to this Agreement or the Other Documents, describing such Default or Event of Default and stating that such notice is a "notice of default". In the event that Agent receives such a notice, Agent shall give notice thereof to Lenders. Agent shall take such action with respect to such Default or Event of Default as shall be reasonably directed by Required Lenders; </w:t>
      </w:r>
      <w:r>
        <w:rPr>
          <w:rFonts w:ascii="Times New Roman" w:cs="Times New Roman" w:eastAsia="Times New Roman" w:hAnsi="Times New Roman"/>
          <w:sz w:val="22"/>
          <w:szCs w:val="22"/>
          <w:b w:val="1"/>
          <w:bCs w:val="1"/>
          <w:u w:val="single" w:color="auto"/>
          <w:color w:val="auto"/>
        </w:rPr>
        <w:t>provided</w:t>
      </w:r>
      <w:r>
        <w:rPr>
          <w:rFonts w:ascii="Times New Roman" w:cs="Times New Roman" w:eastAsia="Times New Roman" w:hAnsi="Times New Roman"/>
          <w:sz w:val="22"/>
          <w:szCs w:val="22"/>
          <w:b w:val="1"/>
          <w:bCs w:val="1"/>
          <w:color w:val="auto"/>
        </w:rPr>
        <w:t>, that, unless and until Agent shall have received such directions, Agent may (but shall not be obligated to) take such action, or refrain from taking such action, with respect to such Default or Event of Default as it shall deem advisable in the best interests of Lenders.</w:t>
      </w:r>
    </w:p>
    <w:p>
      <w:pPr>
        <w:spacing w:after="0" w:line="178" w:lineRule="exact"/>
        <w:rPr>
          <w:sz w:val="20"/>
          <w:szCs w:val="20"/>
          <w:color w:val="auto"/>
        </w:rPr>
      </w:pPr>
    </w:p>
    <w:p>
      <w:pPr>
        <w:jc w:val="both"/>
        <w:ind w:firstLine="1497"/>
        <w:spacing w:after="0" w:line="233" w:lineRule="auto"/>
        <w:rPr>
          <w:sz w:val="20"/>
          <w:szCs w:val="20"/>
          <w:color w:val="auto"/>
        </w:rPr>
      </w:pPr>
      <w:r>
        <w:rPr>
          <w:rFonts w:ascii="Times New Roman" w:cs="Times New Roman" w:eastAsia="Times New Roman" w:hAnsi="Times New Roman"/>
          <w:sz w:val="22"/>
          <w:szCs w:val="22"/>
          <w:b w:val="1"/>
          <w:bCs w:val="1"/>
          <w:u w:val="single" w:color="auto"/>
          <w:color w:val="auto"/>
        </w:rPr>
        <w:t>Indemnification</w:t>
      </w:r>
      <w:r>
        <w:rPr>
          <w:rFonts w:ascii="Times New Roman" w:cs="Times New Roman" w:eastAsia="Times New Roman" w:hAnsi="Times New Roman"/>
          <w:sz w:val="22"/>
          <w:szCs w:val="22"/>
          <w:b w:val="1"/>
          <w:bCs w:val="1"/>
          <w:color w:val="auto"/>
        </w:rPr>
        <w:t xml:space="preserve">. To the extent Agent is not reimbursed and indemnified by Borrowers, each Lender will reimburse and indemnify Agent in proportion to its respective portion of the outstanding Advances and its respective Participation Commitments in the outstanding Letters of Credit and outstanding Swing Loans (or, if no Advances are outstanding, pro rata according to the percentage that its Revolving Commitment Amount constitutes of the total aggregate Revolving Commitment Amounts), from and against any and all liabilities, obligations, losses (including any foreign exchange losses), damages, penalties, actions, judgments, suits, costs, expenses or disbursements of any kind or nature whatsoever which may be imposed on, incurred by or asserted against Agent in performing its duties hereunder (including, without limitation, providing Letters of Credit in any Optional Currency), or in any way relating to or arising out of this Agreement or any Other Document; </w:t>
      </w:r>
      <w:r>
        <w:rPr>
          <w:rFonts w:ascii="Times New Roman" w:cs="Times New Roman" w:eastAsia="Times New Roman" w:hAnsi="Times New Roman"/>
          <w:sz w:val="22"/>
          <w:szCs w:val="22"/>
          <w:b w:val="1"/>
          <w:bCs w:val="1"/>
          <w:u w:val="single" w:color="auto"/>
          <w:color w:val="auto"/>
        </w:rPr>
        <w:t>provided</w:t>
      </w:r>
      <w:r>
        <w:rPr>
          <w:rFonts w:ascii="Times New Roman" w:cs="Times New Roman" w:eastAsia="Times New Roman" w:hAnsi="Times New Roman"/>
          <w:sz w:val="22"/>
          <w:szCs w:val="22"/>
          <w:b w:val="1"/>
          <w:bCs w:val="1"/>
          <w:color w:val="auto"/>
        </w:rPr>
        <w:t xml:space="preserve"> that Lenders shall not be liable for any portion of such liabilities, obligations, losses, damages, penalties, actions, judgments, suits, costs, expenses or disbursements resulting from Agent's gross (not mere) negligence, bad faith or willful misconduct (as determined by a court of competent jurisdiction in a final non-appealable judgment).</w:t>
      </w:r>
    </w:p>
    <w:p>
      <w:pPr>
        <w:spacing w:after="0" w:line="185" w:lineRule="exact"/>
        <w:rPr>
          <w:sz w:val="20"/>
          <w:szCs w:val="20"/>
          <w:color w:val="auto"/>
        </w:rPr>
      </w:pPr>
    </w:p>
    <w:p>
      <w:pPr>
        <w:jc w:val="both"/>
        <w:ind w:firstLine="1497"/>
        <w:spacing w:after="0" w:line="250" w:lineRule="auto"/>
        <w:rPr>
          <w:sz w:val="20"/>
          <w:szCs w:val="20"/>
          <w:color w:val="auto"/>
        </w:rPr>
      </w:pPr>
      <w:r>
        <w:rPr>
          <w:rFonts w:ascii="Times New Roman" w:cs="Times New Roman" w:eastAsia="Times New Roman" w:hAnsi="Times New Roman"/>
          <w:sz w:val="21"/>
          <w:szCs w:val="21"/>
          <w:b w:val="1"/>
          <w:bCs w:val="1"/>
          <w:u w:val="single" w:color="auto"/>
          <w:color w:val="auto"/>
        </w:rPr>
        <w:t>Agent in its Individual Capacity</w:t>
      </w:r>
      <w:r>
        <w:rPr>
          <w:rFonts w:ascii="Times New Roman" w:cs="Times New Roman" w:eastAsia="Times New Roman" w:hAnsi="Times New Roman"/>
          <w:sz w:val="21"/>
          <w:szCs w:val="21"/>
          <w:b w:val="1"/>
          <w:bCs w:val="1"/>
          <w:color w:val="auto"/>
        </w:rPr>
        <w:t>. With respect to the obligation of Agent to lend under this Agreement, the Advances made by it shall have the same rights and powers hereunder as any other Lender and as if it were not performing the duties as Agent specified herein; and the term "Lender" or any similar term shall, unless the context clearly otherwise indicates, include Agent in its individual capacity as a Lender. Agent may engage in business with any Borrower as if it were not performing the duties specified herein, and may accept fees and other consideration from any Borrower for services in connection with this Agreement or otherwise without having to account for the same to Lenders.</w:t>
      </w:r>
    </w:p>
    <w:p>
      <w:pPr>
        <w:spacing w:after="0" w:line="165" w:lineRule="exact"/>
        <w:rPr>
          <w:sz w:val="20"/>
          <w:szCs w:val="20"/>
          <w:color w:val="auto"/>
        </w:rPr>
      </w:pPr>
    </w:p>
    <w:p>
      <w:pPr>
        <w:jc w:val="both"/>
        <w:ind w:right="20" w:firstLine="1497"/>
        <w:spacing w:after="0" w:line="262" w:lineRule="auto"/>
        <w:rPr>
          <w:sz w:val="20"/>
          <w:szCs w:val="20"/>
          <w:color w:val="auto"/>
        </w:rPr>
      </w:pPr>
      <w:r>
        <w:rPr>
          <w:rFonts w:ascii="Times New Roman" w:cs="Times New Roman" w:eastAsia="Times New Roman" w:hAnsi="Times New Roman"/>
          <w:sz w:val="22"/>
          <w:szCs w:val="22"/>
          <w:b w:val="1"/>
          <w:bCs w:val="1"/>
          <w:u w:val="single" w:color="auto"/>
          <w:color w:val="auto"/>
        </w:rPr>
        <w:t>Delivery of Documents</w:t>
      </w:r>
      <w:r>
        <w:rPr>
          <w:rFonts w:ascii="Times New Roman" w:cs="Times New Roman" w:eastAsia="Times New Roman" w:hAnsi="Times New Roman"/>
          <w:sz w:val="22"/>
          <w:szCs w:val="22"/>
          <w:b w:val="1"/>
          <w:bCs w:val="1"/>
          <w:color w:val="auto"/>
        </w:rPr>
        <w:t>. To the extent Agent receives financial statements required under Sections 9.7, 9.8, 9.9, 9.12 and 9.13 or Borrowing Base Certificates from any Borrower</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01" w:name="page202"/>
    <w:bookmarkEnd w:id="201"/>
    <w:p>
      <w:pPr>
        <w:jc w:val="both"/>
        <w:spacing w:after="0" w:line="262" w:lineRule="auto"/>
        <w:rPr>
          <w:sz w:val="20"/>
          <w:szCs w:val="20"/>
          <w:color w:val="auto"/>
        </w:rPr>
      </w:pPr>
      <w:r>
        <w:rPr>
          <w:rFonts w:ascii="Times New Roman" w:cs="Times New Roman" w:eastAsia="Times New Roman" w:hAnsi="Times New Roman"/>
          <w:sz w:val="22"/>
          <w:szCs w:val="22"/>
          <w:b w:val="1"/>
          <w:bCs w:val="1"/>
          <w:color w:val="auto"/>
        </w:rPr>
        <w:t>pursuant to the terms of this Agreement which any Borrower is not obligated to deliver to each Lender, Agent will promptly furnish such documents and information to Lenders.</w:t>
      </w:r>
    </w:p>
    <w:p>
      <w:pPr>
        <w:spacing w:after="0" w:line="150" w:lineRule="exact"/>
        <w:rPr>
          <w:sz w:val="20"/>
          <w:szCs w:val="20"/>
          <w:color w:val="auto"/>
        </w:rPr>
      </w:pPr>
    </w:p>
    <w:p>
      <w:pPr>
        <w:jc w:val="both"/>
        <w:ind w:firstLine="1497"/>
        <w:spacing w:after="0" w:line="237" w:lineRule="auto"/>
        <w:rPr>
          <w:sz w:val="20"/>
          <w:szCs w:val="20"/>
          <w:color w:val="auto"/>
        </w:rPr>
      </w:pPr>
      <w:r>
        <w:rPr>
          <w:rFonts w:ascii="Times New Roman" w:cs="Times New Roman" w:eastAsia="Times New Roman" w:hAnsi="Times New Roman"/>
          <w:sz w:val="22"/>
          <w:szCs w:val="22"/>
          <w:b w:val="1"/>
          <w:bCs w:val="1"/>
          <w:u w:val="single" w:color="auto"/>
          <w:color w:val="auto"/>
        </w:rPr>
        <w:t>Borrowers' Undertaking to Agent</w:t>
      </w:r>
      <w:r>
        <w:rPr>
          <w:rFonts w:ascii="Times New Roman" w:cs="Times New Roman" w:eastAsia="Times New Roman" w:hAnsi="Times New Roman"/>
          <w:sz w:val="22"/>
          <w:szCs w:val="22"/>
          <w:b w:val="1"/>
          <w:bCs w:val="1"/>
          <w:color w:val="auto"/>
        </w:rPr>
        <w:t>. Without prejudice to their respective obligations to Lenders under the other provisions of this Agreement, each Borrower hereby undertakes with Agent to pay to Agent from time to time on demand all amounts from time to time due and payable by it for the account of Agent or Lenders or any of them pursuant to this Agreement to the extent not already paid. Any payment made pursuant to any such demand shall pro tanto satisfy the relevant Borrower's obligations to make payments for the account of Lenders or the relevant one or more of them pursuant to this Agreement.</w:t>
      </w:r>
    </w:p>
    <w:p>
      <w:pPr>
        <w:spacing w:after="0" w:line="175" w:lineRule="exact"/>
        <w:rPr>
          <w:sz w:val="20"/>
          <w:szCs w:val="20"/>
          <w:color w:val="auto"/>
        </w:rPr>
      </w:pPr>
    </w:p>
    <w:p>
      <w:pPr>
        <w:jc w:val="both"/>
        <w:ind w:firstLine="1497"/>
        <w:spacing w:after="0" w:line="248" w:lineRule="exact"/>
        <w:rPr>
          <w:sz w:val="20"/>
          <w:szCs w:val="20"/>
          <w:color w:val="auto"/>
        </w:rPr>
      </w:pPr>
      <w:r>
        <w:rPr>
          <w:rFonts w:ascii="Times New Roman" w:cs="Times New Roman" w:eastAsia="Times New Roman" w:hAnsi="Times New Roman"/>
          <w:sz w:val="22"/>
          <w:szCs w:val="22"/>
          <w:b w:val="1"/>
          <w:bCs w:val="1"/>
          <w:u w:val="single" w:color="auto"/>
          <w:color w:val="auto"/>
        </w:rPr>
        <w:t>No Reliance on Agent's Customer Identification Program</w:t>
      </w:r>
      <w:r>
        <w:rPr>
          <w:rFonts w:ascii="Times New Roman" w:cs="Times New Roman" w:eastAsia="Times New Roman" w:hAnsi="Times New Roman"/>
          <w:sz w:val="22"/>
          <w:szCs w:val="22"/>
          <w:b w:val="1"/>
          <w:bCs w:val="1"/>
          <w:color w:val="auto"/>
        </w:rPr>
        <w:t>. To the extent the Advances or this Agreement is, or becomes, syndicated in cooperation with other Lenders, each Lender acknowledges and agrees that neither such Lender, nor any of its Affiliates, participants or assignees, may rely on Agent to carry out such Lender's, Affiliate's, participant's or assignee's customer identification program, or other obligations required or imposed under or pursuant to the USA PATRIOT Act or the regulations thereunder, including the regulations contained in 31 CFR 103.121 (as hereafter amended or replaced, the "</w:t>
      </w:r>
      <w:r>
        <w:rPr>
          <w:rFonts w:ascii="Times New Roman" w:cs="Times New Roman" w:eastAsia="Times New Roman" w:hAnsi="Times New Roman"/>
          <w:sz w:val="22"/>
          <w:szCs w:val="22"/>
          <w:b w:val="1"/>
          <w:bCs w:val="1"/>
          <w:u w:val="single" w:color="auto"/>
          <w:color w:val="auto"/>
        </w:rPr>
        <w:t>CIP Regulations</w:t>
      </w:r>
      <w:r>
        <w:rPr>
          <w:rFonts w:ascii="Times New Roman" w:cs="Times New Roman" w:eastAsia="Times New Roman" w:hAnsi="Times New Roman"/>
          <w:sz w:val="22"/>
          <w:szCs w:val="22"/>
          <w:b w:val="1"/>
          <w:bCs w:val="1"/>
          <w:color w:val="auto"/>
        </w:rPr>
        <w:t>"), or any other Anti</w:t>
      </w:r>
      <w:r>
        <w:rPr>
          <w:rFonts w:ascii="MS PGothic" w:cs="MS PGothic" w:eastAsia="MS PGothic" w:hAnsi="MS PGothic"/>
          <w:sz w:val="22"/>
          <w:szCs w:val="22"/>
          <w:color w:val="auto"/>
          <w:strike w:val="1"/>
        </w:rPr>
        <w:t>‑</w:t>
      </w:r>
      <w:r>
        <w:rPr>
          <w:rFonts w:ascii="Times New Roman" w:cs="Times New Roman" w:eastAsia="Times New Roman" w:hAnsi="Times New Roman"/>
          <w:sz w:val="22"/>
          <w:szCs w:val="22"/>
          <w:b w:val="1"/>
          <w:bCs w:val="1"/>
          <w:color w:val="auto"/>
        </w:rPr>
        <w:t>Terrorism Law, including any programs involving any of the following items relating to or in connection with any of Borrowers, their Affiliates or their agents, the Other Documents or the transactions hereunder or contemplated hereby: (i) any identity verification procedures, (ii) any recordkeeping, (iii) comparisons with government lists, (iv) customer notices or (v) other procedures required under the CIP Regulations or such Anti-Terrorism Laws.</w:t>
      </w:r>
    </w:p>
    <w:p>
      <w:pPr>
        <w:spacing w:after="0" w:line="182" w:lineRule="exact"/>
        <w:rPr>
          <w:sz w:val="20"/>
          <w:szCs w:val="20"/>
          <w:color w:val="auto"/>
        </w:rPr>
      </w:pPr>
    </w:p>
    <w:p>
      <w:pPr>
        <w:jc w:val="both"/>
        <w:ind w:firstLine="1497"/>
        <w:spacing w:after="0" w:line="236" w:lineRule="auto"/>
        <w:rPr>
          <w:sz w:val="20"/>
          <w:szCs w:val="20"/>
          <w:color w:val="auto"/>
        </w:rPr>
      </w:pPr>
      <w:r>
        <w:rPr>
          <w:rFonts w:ascii="Times New Roman" w:cs="Times New Roman" w:eastAsia="Times New Roman" w:hAnsi="Times New Roman"/>
          <w:sz w:val="22"/>
          <w:szCs w:val="22"/>
          <w:b w:val="1"/>
          <w:bCs w:val="1"/>
          <w:u w:val="single" w:color="auto"/>
          <w:color w:val="auto"/>
        </w:rPr>
        <w:t>Other Agreements</w:t>
      </w:r>
      <w:r>
        <w:rPr>
          <w:rFonts w:ascii="Times New Roman" w:cs="Times New Roman" w:eastAsia="Times New Roman" w:hAnsi="Times New Roman"/>
          <w:sz w:val="22"/>
          <w:szCs w:val="22"/>
          <w:b w:val="1"/>
          <w:bCs w:val="1"/>
          <w:color w:val="auto"/>
        </w:rPr>
        <w:t>. Each of the Lenders agrees that it shall not, without the express consent of Agent, set off against the Obligations, any amounts owing by such Lender to any Borrower or any deposit accounts of any Borrower now or hereafter maintained with such Lender. Anything in this Agreement to the contrary notwithstanding, each of the Lenders further agrees that it shall not, unless specifically requested to do so by Agent, take any action to protect or enforce its rights arising out of this Agreement or the Other Documents, it being the intent of Lenders that any such action to protect or enforce rights under this Agreement and the Other Documents shall be taken in concert and at the direction or with the consent of Agent or Required Lenders.</w:t>
      </w:r>
    </w:p>
    <w:p>
      <w:pPr>
        <w:spacing w:after="0" w:line="17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b w:val="1"/>
          <w:bCs w:val="1"/>
          <w:u w:val="single" w:color="auto"/>
          <w:color w:val="auto"/>
        </w:rPr>
        <w:t>Collateral Matters</w:t>
      </w:r>
      <w:r>
        <w:rPr>
          <w:rFonts w:ascii="Times New Roman" w:cs="Times New Roman" w:eastAsia="Times New Roman" w:hAnsi="Times New Roman"/>
          <w:sz w:val="22"/>
          <w:szCs w:val="22"/>
          <w:b w:val="1"/>
          <w:bCs w:val="1"/>
          <w:color w:val="auto"/>
        </w:rPr>
        <w:t>.</w:t>
      </w:r>
    </w:p>
    <w:p>
      <w:pPr>
        <w:spacing w:after="0" w:line="210" w:lineRule="exact"/>
        <w:rPr>
          <w:sz w:val="20"/>
          <w:szCs w:val="20"/>
          <w:color w:val="auto"/>
        </w:rPr>
      </w:pPr>
    </w:p>
    <w:p>
      <w:pPr>
        <w:jc w:val="both"/>
        <w:ind w:firstLine="1497"/>
        <w:spacing w:after="0" w:line="234" w:lineRule="auto"/>
        <w:rPr>
          <w:sz w:val="20"/>
          <w:szCs w:val="20"/>
          <w:color w:val="auto"/>
        </w:rPr>
      </w:pPr>
      <w:r>
        <w:rPr>
          <w:rFonts w:ascii="Times New Roman" w:cs="Times New Roman" w:eastAsia="Times New Roman" w:hAnsi="Times New Roman"/>
          <w:sz w:val="22"/>
          <w:szCs w:val="22"/>
          <w:color w:val="auto"/>
        </w:rPr>
        <w:t>The Lenders hereby irrevocably authorize Agent to release any Credit Party from its obligations as a Borrower or Guarantor hereunder and to release any Lien on any Collateral (i) upon the termination of the Revolving Commitments and payment and satisfaction in full of all of the Obligations, (ii) constituting property being sold or disposed of if a release is required or desirable in connection therewith and if Borrowers certify to Agent that the sale or disposition is permitted hereunder (and Agent may rely conclusively on any such certificate, without further inquiry), and any Guaranty of any Credit Party all of whose Equity Interests are disposed of shall be released simultaneously therewith to the extent such disposition is permitted hereunder, (iii) constituting property released pursuant to Sections 4.13, 4.15 or 4.16, and any Guaranty of any Credit Party all of whose Equity Interests are disposed of shall be released simultaneously therewith to the extent such disposition is permitted hereunder, (iv) constituting property in which</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02" w:name="page203"/>
    <w:bookmarkEnd w:id="202"/>
    <w:p>
      <w:pPr>
        <w:jc w:val="both"/>
        <w:spacing w:after="0" w:line="242" w:lineRule="auto"/>
        <w:rPr>
          <w:sz w:val="20"/>
          <w:szCs w:val="20"/>
          <w:color w:val="auto"/>
        </w:rPr>
      </w:pPr>
      <w:r>
        <w:rPr>
          <w:rFonts w:ascii="Times New Roman" w:cs="Times New Roman" w:eastAsia="Times New Roman" w:hAnsi="Times New Roman"/>
          <w:sz w:val="21"/>
          <w:szCs w:val="21"/>
          <w:color w:val="auto"/>
        </w:rPr>
        <w:t xml:space="preserve">no Credit Party or any of its Subsidiaries owned any interest at the time Agent's Lien was granted nor at any time thereafter, (v) constituting property leased or licensed to a Credit Party or its Subsidiaries under a lease or license that has expired or is terminated in a transaction permitted under this Agreement, (vi) constituting property that becomes Excluded Property after the Closing Date, or (vii) in connection with a credit bid or purchase authorized under this Section 14.14. The Credit Parties and the Lenders hereby irrevocably authorize Agent, based upon the instruction of the Required Lenders, to (A) consent to the sale of, credit bid, or purchase (either directly or indirectly through one or more entities) all or any portion of the Collateral at any sale thereof conducted under the provisions of the Bankruptcy Code, including Section 363 of the Bankruptcy Code, (B) credit bid or purchase (either directly or indirectly through one or more entities) all or any portion of the Collateral at any sale or other disposition thereof conducted under the provisions of the Uniform Commercial Code, including pursuant to Sections 9-610 or 9-620 of the Uniform Commercial Code, or (C) credit bid or purchase (either directly or indirectly through one or more entities) all or any portion of the Collateral at any other sale or foreclosure conducted or consented to by Agent in accordance with applicable law in any judicial action or proceeding or by the exercise of any legal or equitable remedy. In connection with any such credit bid or purchase, (i) the Obligations owed to the Lenders shall be entitled to be, and shall be, credit bid on a ratable basis (with Obligations with respect to contingent or unliquidated claims being estimated for such purpose if the fixing or liquidation thereof would not impair or unduly delay the ability of Agent to credit bid or purchase at such sale or other disposition of the Collateral and, if such contingent or unliquidated claims cannot be estimated without impairing or unduly delaying the ability of Agent to credit bid at such sale or other disposition, then such claims shall be disregarded, not credit bid, and not entitled to any interest in the Collateral that is the subject of such credit bid or purchase) and the Lenders whose Obligations are credit bid shall be entitled to receive interests (ratably based upon the proportion of their Obligations credit bid in relation to the aggregate amount of Obligations so credit bid) in the Collateral that is the subject of such credit bid or purchase (or in the Equity Interests of the any entities that are used to consummate such credit bid or purchase), and (ii) Agent, based upon the instruction of the Required Lenders, may accept non-cash consideration, including debt and equity securities issued by any entities used to consummate such credit bid or purchase and in connection therewith Agent may reduce the Obligations owed to the Lenders (ratably based upon the proportion of their Obligations credit bid in relation to the aggregate amount of Obligations so credit bid) based upon the value of such non-cash consideration. Except as provided above, Agent will not execute and deliver a release of any Lien on any Collateral without the prior written authorization of (y) if the release is of all or substantially all of the Collateral (other than pursuant to a disposition of such Collateral consented to by Required Lenders), all of the Lenders or (z) otherwise, the Required Lenders. Upon request by Agent or Borrowers at any time, the Lenders will confirm in writing Agent's authority to release any such Liens on particular types or items of Collateral pursuant to this Section 14.14;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(1) anything to the contrary contained in this Agreement or any of the Other Documents notwithstanding, Agent shall not be required to execute any document or take any action necessary to evidence such release on terms that, in Agent's opinion, could expose Agent to liability or create any obligation or entail any consequence other than the release of such Lien without recourse, representation, or warranty, and (2) such release shall not in any manner discharge, affect, or impair the Obligations or any Liens (other than those expressly released) upon (or obligations of Borrowers in respect of) any and all interests retained by any Borrower, including, the proceeds of any sale, all of which shall continue to constitute part of the Collateral.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03" w:name="page204"/>
    <w:bookmarkEnd w:id="203"/>
    <w:p>
      <w:pPr>
        <w:jc w:val="both"/>
        <w:ind w:firstLine="1497"/>
        <w:spacing w:after="0" w:line="233" w:lineRule="auto"/>
        <w:rPr>
          <w:sz w:val="20"/>
          <w:szCs w:val="20"/>
          <w:color w:val="auto"/>
        </w:rPr>
      </w:pPr>
      <w:r>
        <w:rPr>
          <w:rFonts w:ascii="Times New Roman" w:cs="Times New Roman" w:eastAsia="Times New Roman" w:hAnsi="Times New Roman"/>
          <w:sz w:val="22"/>
          <w:szCs w:val="22"/>
          <w:color w:val="auto"/>
        </w:rPr>
        <w:t>Agent shall have no obligation whatsoever to any of the Lenders (i) to verify or assure that the Collateral exists or is owned by a Credit Party or any of its Subsidiaries or is cared for, protected, or insured or has been encumbered, (ii) to verify or assure that Agent's Liens have been properly or sufficiently or lawfully created, perfected, protected, or enforced or are entitled to any particular priority, (iii) to verify or assure that any particular items of Collateral meet the eligibility criteria applicable in respect thereof, (iv) to impose, maintain, increase, reduce, implement, or eliminate any particular reserve hereunder or to determine whether the amount of any reserve is appropriate or not, or (v) to exercise at all or in any particular manner or under any duty of care, disclosure or fidelity, or to continue exercising, any of the rights, authorities and powers granted or available to Agent pursuant to this Agreement or any Other Documents, it being understood and agreed that in respect of the Collateral, or any act, omission, or event related thereto, subject to the terms and conditions contained herein, Agent may act in any manner it may deem appropriate, in its sole discretion given Agent's own interest in the Collateral in its capacity as one of the Lenders and that Agent shall have no other duty or liability whatsoever to any Lender as to any of the foregoing, except as otherwise expressly provided herein.</w:t>
      </w:r>
    </w:p>
    <w:p>
      <w:pPr>
        <w:spacing w:after="0" w:line="18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b w:val="1"/>
          <w:bCs w:val="1"/>
          <w:u w:val="single" w:color="auto"/>
          <w:color w:val="auto"/>
        </w:rPr>
        <w:t>Field Examination Reports; Confidentiality; Disclaimers by Lenders; Other Reports and Information</w:t>
      </w:r>
      <w:r>
        <w:rPr>
          <w:rFonts w:ascii="Times New Roman" w:cs="Times New Roman" w:eastAsia="Times New Roman" w:hAnsi="Times New Roman"/>
          <w:sz w:val="22"/>
          <w:szCs w:val="22"/>
          <w:b w:val="1"/>
          <w:bCs w:val="1"/>
          <w:color w:val="auto"/>
        </w:rPr>
        <w:t>.</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By becoming a party to this Agreement, each Lender:</w:t>
      </w:r>
    </w:p>
    <w:p>
      <w:pPr>
        <w:spacing w:after="0" w:line="182"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is deemed to have requested that Agent furnish such Lender, promptly after it becomes available, a copy of each field examination report respecting any Credit Party or its Subsidiaries (each, a "</w:t>
      </w:r>
      <w:r>
        <w:rPr>
          <w:rFonts w:ascii="Times New Roman" w:cs="Times New Roman" w:eastAsia="Times New Roman" w:hAnsi="Times New Roman"/>
          <w:sz w:val="22"/>
          <w:szCs w:val="22"/>
          <w:u w:val="single" w:color="auto"/>
          <w:color w:val="auto"/>
        </w:rPr>
        <w:t>Report</w:t>
      </w:r>
      <w:r>
        <w:rPr>
          <w:rFonts w:ascii="Times New Roman" w:cs="Times New Roman" w:eastAsia="Times New Roman" w:hAnsi="Times New Roman"/>
          <w:sz w:val="22"/>
          <w:szCs w:val="22"/>
          <w:color w:val="auto"/>
        </w:rPr>
        <w:t>") prepared by or at the request of Agent, and Agent shall so furnish each Lender with such Reports,</w:t>
      </w:r>
    </w:p>
    <w:p>
      <w:pPr>
        <w:spacing w:after="0" w:line="173"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expressly agrees and acknowledges that Agent does not (i) make any representation or warranty as to the accuracy of any Report, and (ii) shall not be liable for any information contained in any Report,</w:t>
      </w:r>
    </w:p>
    <w:p>
      <w:pPr>
        <w:spacing w:after="0" w:line="158"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color w:val="auto"/>
        </w:rPr>
        <w:t>expressly agrees and acknowledges that the Reports are not comprehensive audits or examinations, that Agent or any other party performing any field examination will inspect only specific information regarding the Credit Parties and their Subsidiaries and will rely significantly upon Credit Parties' and their Subsidiaries' books and records, as well as on representations of Credit Parties' personnel,</w:t>
      </w:r>
    </w:p>
    <w:p>
      <w:pPr>
        <w:spacing w:after="0" w:line="180"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agrees to keep all Reports and other material, non-public information regarding the Credit Parties and their Subsidiaries and their operations, assets, and existing and contemplated business plans in a confidential manner in accordance with Section 16.15, and</w:t>
      </w:r>
    </w:p>
    <w:p>
      <w:pPr>
        <w:spacing w:after="0" w:line="173" w:lineRule="exact"/>
        <w:rPr>
          <w:sz w:val="20"/>
          <w:szCs w:val="20"/>
          <w:color w:val="auto"/>
        </w:rPr>
      </w:pPr>
    </w:p>
    <w:p>
      <w:pPr>
        <w:jc w:val="both"/>
        <w:ind w:firstLine="1497"/>
        <w:spacing w:after="0" w:line="235" w:lineRule="auto"/>
        <w:rPr>
          <w:sz w:val="20"/>
          <w:szCs w:val="20"/>
          <w:color w:val="auto"/>
        </w:rPr>
      </w:pPr>
      <w:r>
        <w:rPr>
          <w:rFonts w:ascii="Times New Roman" w:cs="Times New Roman" w:eastAsia="Times New Roman" w:hAnsi="Times New Roman"/>
          <w:sz w:val="22"/>
          <w:szCs w:val="22"/>
          <w:color w:val="auto"/>
        </w:rPr>
        <w:t>without limiting the generality of any other indemnification provision contained in this Agreement, agrees: (i) to hold Agent and any other Lender preparing a Report harmless from any action the indemnifying Lender may take or fail to take or any conclusion the indemnifying Lender may reach or draw from any Report in connection with any loans or other credit accommodations that the indemnifying Lender has made or may make to Credit Parties, or the indemnifying Lender's participation in, or the indemnifying Lender's purchase of, a loan or loans of Borrowers, and (ii) to pay and protect, and indemnify, defend and hold Agent, and any such other Lender preparing a Report harmless from and against, the claims, actions, proceedings, damages, costs, expenses, and other amounts (including, attorneys' fees and costs) incurred by</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04" w:name="page205"/>
    <w:bookmarkEnd w:id="204"/>
    <w:p>
      <w:pPr>
        <w:jc w:val="both"/>
        <w:spacing w:after="0" w:line="258" w:lineRule="auto"/>
        <w:rPr>
          <w:sz w:val="20"/>
          <w:szCs w:val="20"/>
          <w:color w:val="auto"/>
        </w:rPr>
      </w:pPr>
      <w:r>
        <w:rPr>
          <w:rFonts w:ascii="Times New Roman" w:cs="Times New Roman" w:eastAsia="Times New Roman" w:hAnsi="Times New Roman"/>
          <w:sz w:val="22"/>
          <w:szCs w:val="22"/>
          <w:color w:val="auto"/>
        </w:rPr>
        <w:t>Agent and any such other Lender preparing a Report as the direct or indirect result of any third parties who might obtain all or part of any Report through the indemnifying Lender.</w:t>
      </w:r>
    </w:p>
    <w:p>
      <w:pPr>
        <w:spacing w:after="0" w:line="16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2"/>
          <w:szCs w:val="22"/>
          <w:color w:val="auto"/>
        </w:rPr>
        <w:t>In addition to the foregoing, (x) any Lender may from time to time request of Agent in writing that Agent provide to such Lender a copy of any report or document provided by any Credit Party or its Subsidiaries to Agent that has not been contemporaneously provided by such Credit Party or such Subsidiary to such Lender, and, upon receipt of such request, Agent promptly shall provide a copy of same to such Lender, (y) to the extent that Agent is entitled, under any provision of this Agreement or any Other Documents, to request additional reports or information from any Credit Party or its Subsidiaries, any Lender may, from time to time, reasonably request Agent to exercise such right as specified in such Lender's notice to Agent, whereupon Agent promptly shall request of Borrowers the additional reports or information reasonably specified by such Lender, and, upon receipt thereof from such Credit Party or such Subsidiary, Agent promptly shall provide a copy of same to such Lender, and (z) any time that Agent renders to Borrowers a statement regarding the Loan Account, Agent shall send a copy of such statement to each Lender.</w:t>
      </w:r>
    </w:p>
    <w:p>
      <w:pPr>
        <w:spacing w:after="0" w:line="168" w:lineRule="exact"/>
        <w:rPr>
          <w:sz w:val="20"/>
          <w:szCs w:val="20"/>
          <w:color w:val="auto"/>
        </w:rPr>
      </w:pPr>
    </w:p>
    <w:p>
      <w:pPr>
        <w:jc w:val="both"/>
        <w:ind w:firstLine="1497"/>
        <w:spacing w:after="0" w:line="234" w:lineRule="auto"/>
        <w:rPr>
          <w:sz w:val="20"/>
          <w:szCs w:val="20"/>
          <w:color w:val="auto"/>
        </w:rPr>
      </w:pPr>
      <w:r>
        <w:rPr>
          <w:rFonts w:ascii="Times New Roman" w:cs="Times New Roman" w:eastAsia="Times New Roman" w:hAnsi="Times New Roman"/>
          <w:sz w:val="22"/>
          <w:szCs w:val="22"/>
          <w:b w:val="1"/>
          <w:bCs w:val="1"/>
          <w:u w:val="single" w:color="auto"/>
          <w:color w:val="auto"/>
        </w:rPr>
        <w:t>Several Obligations; No Liability</w:t>
      </w:r>
      <w:r>
        <w:rPr>
          <w:rFonts w:ascii="Times New Roman" w:cs="Times New Roman" w:eastAsia="Times New Roman" w:hAnsi="Times New Roman"/>
          <w:sz w:val="22"/>
          <w:szCs w:val="22"/>
          <w:b w:val="1"/>
          <w:bCs w:val="1"/>
          <w:color w:val="auto"/>
        </w:rPr>
        <w:t>. Notwithstanding that certain of the Other Documents now or hereafter may have been or will be executed only by or in favor of Agent in its capacity as such, and not by or in favor of the Lenders, any and all obligations on the part of Agent (if any) to make any credit available hereunder shall constitute the several (and not joint) obligations of the respective Lenders on a ratable basis, according to their respective Revolving Commitments, to make an amount of such credit not to exceed, in principal amount, at any one time outstanding, the amount of their respective Revolving Commitments. Nothing contained herein shall confer upon any Lender any interest in, or subject any Lender to any liability for, or in respect of, the business, assets, profits, losses, or liabilities of any other Lender. Each Lender shall be solely responsible for notifying its participants of any matters relating to this Agreement and the Other Documents to the extent any such notice may be required, and no Lender shall have any obligation, duty, or liability to any participant of any other Lender.</w:t>
      </w:r>
    </w:p>
    <w:p>
      <w:pPr>
        <w:spacing w:after="0" w:line="179" w:lineRule="exact"/>
        <w:rPr>
          <w:sz w:val="20"/>
          <w:szCs w:val="20"/>
          <w:color w:val="auto"/>
        </w:rPr>
      </w:pPr>
    </w:p>
    <w:p>
      <w:pPr>
        <w:jc w:val="both"/>
        <w:ind w:firstLine="1497"/>
        <w:spacing w:after="0" w:line="245" w:lineRule="auto"/>
        <w:rPr>
          <w:sz w:val="20"/>
          <w:szCs w:val="20"/>
          <w:color w:val="auto"/>
        </w:rPr>
      </w:pPr>
      <w:r>
        <w:rPr>
          <w:rFonts w:ascii="Times New Roman" w:cs="Times New Roman" w:eastAsia="Times New Roman" w:hAnsi="Times New Roman"/>
          <w:sz w:val="21"/>
          <w:szCs w:val="21"/>
          <w:b w:val="1"/>
          <w:bCs w:val="1"/>
          <w:u w:val="single" w:color="auto"/>
          <w:color w:val="auto"/>
        </w:rPr>
        <w:t>Bank Product Providers</w:t>
      </w:r>
      <w:r>
        <w:rPr>
          <w:rFonts w:ascii="Times New Roman" w:cs="Times New Roman" w:eastAsia="Times New Roman" w:hAnsi="Times New Roman"/>
          <w:sz w:val="21"/>
          <w:szCs w:val="21"/>
          <w:b w:val="1"/>
          <w:bCs w:val="1"/>
          <w:color w:val="auto"/>
        </w:rPr>
        <w:t>. Each Secured Party that provides Cash Management Products and Services, Lender-Provided Interest Rate Hedges or Lender-Provided Foreign Currency/Commodity Hedges (each a "</w:t>
      </w:r>
      <w:r>
        <w:rPr>
          <w:rFonts w:ascii="Times New Roman" w:cs="Times New Roman" w:eastAsia="Times New Roman" w:hAnsi="Times New Roman"/>
          <w:sz w:val="21"/>
          <w:szCs w:val="21"/>
          <w:b w:val="1"/>
          <w:bCs w:val="1"/>
          <w:u w:val="single" w:color="auto"/>
          <w:color w:val="auto"/>
        </w:rPr>
        <w:t>Bank Product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b w:val="1"/>
          <w:bCs w:val="1"/>
          <w:u w:val="single" w:color="auto"/>
          <w:color w:val="auto"/>
        </w:rPr>
        <w:t>Provider</w:t>
      </w:r>
      <w:r>
        <w:rPr>
          <w:rFonts w:ascii="Times New Roman" w:cs="Times New Roman" w:eastAsia="Times New Roman" w:hAnsi="Times New Roman"/>
          <w:sz w:val="21"/>
          <w:szCs w:val="21"/>
          <w:b w:val="1"/>
          <w:bCs w:val="1"/>
          <w:color w:val="auto"/>
        </w:rPr>
        <w:t>") in its capacity as such shall be deemed a third party beneficiary hereof and of the provisions of the Other Documents for purposes of any reference in this Agreement or any Other Document to the parties for whom Agent is acting. Agent hereby agrees to act as agent for such Bank Product Provider and, by virtue of entering into an agreement or arrangement to provide Cash Management Products and Services, Lender-Provided Interest Rate Hedges or Lender-Provided Foreign Currency/Commodity Hedges, the applicable Bank Product Provider shall be automatically deemed to have appointed Agent as its agent and to have accepted the benefits of the Other Documents. It is understood and agreed that the rights and benefits of each Bank Product Provider under the Other Documents consist exclusively of such Bank Product Provider's being a beneficiary of the Liens and security interests (and, if applicable, guarantees) granted to Agent and the right to share in payments and collections out of the Collateral as more fully set forth herein. In addition, each Bank Product Provider, by virtue of entering into an agreement or arrangement to provide Cash Management Products and Services, Lender-Provided Interest Rate Hedges or Lender-Provided Foreign</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05" w:name="page206"/>
    <w:bookmarkEnd w:id="205"/>
    <w:p>
      <w:pPr>
        <w:jc w:val="both"/>
        <w:spacing w:after="0" w:line="243" w:lineRule="auto"/>
        <w:rPr>
          <w:sz w:val="20"/>
          <w:szCs w:val="20"/>
          <w:color w:val="auto"/>
        </w:rPr>
      </w:pPr>
      <w:r>
        <w:rPr>
          <w:rFonts w:ascii="Times New Roman" w:cs="Times New Roman" w:eastAsia="Times New Roman" w:hAnsi="Times New Roman"/>
          <w:sz w:val="21"/>
          <w:szCs w:val="21"/>
          <w:b w:val="1"/>
          <w:bCs w:val="1"/>
          <w:color w:val="auto"/>
        </w:rPr>
        <w:t xml:space="preserve">Currency/Commodity Hedges, shall be automatically deemed to have agreed that Agent shall have the right, but shall have no obligation, to establish, maintain, relax, or release reserves in respect of the Cash Management Liabilities, Interest Rate Hedge Liabilities and Foreign Currency/Commodity Hedge Liabilities and that if reserves are established there is no obligation on the part of Agent to determine or insure whether the amount of any such reserve is appropriate or not. Notwithstanding anything to the contrary in this Agreement or any Other Document, no provider or holder of any Cash Management Products and Services, Lender-Provided Interest Rate Hedges or Lender-Provided Foreign Currency/Commodity Hedges shall have any voting or approval rights hereunder (or be deemed a Lender) solely by virtue of its status as the provider or holder of such agreements or products or the Obligations owing thereunder, nor shall the consent of any such provider or holder be required (other than in their capacities as Lenders, to the extent applicable) for any matter hereunder or under any of the Other Documents, including as to any matter relating to the Collateral or the release of Collateral or Guarantors. Notwithstanding anything contained herein to the contrary, after the Amendment No. 1 Closing Date, (i) on a periodic basis as reasonably requested by Agent (it being agreed and understood that such request will be made on a quarterly basis), each Bank Product Provider shall provide written notice to Agent (which may be via email) setting forth a reasonably detailed summary of the maximum amount of Hedge Liabilities and Cash Management Liabilities provided to GLDD or any of its Subsidiaries as of such date of determination; </w:t>
      </w:r>
      <w:r>
        <w:rPr>
          <w:rFonts w:ascii="Times New Roman" w:cs="Times New Roman" w:eastAsia="Times New Roman" w:hAnsi="Times New Roman"/>
          <w:sz w:val="21"/>
          <w:szCs w:val="21"/>
          <w:b w:val="1"/>
          <w:bCs w:val="1"/>
          <w:u w:val="single" w:color="auto"/>
          <w:color w:val="auto"/>
        </w:rPr>
        <w:t>provided</w:t>
      </w:r>
      <w:r>
        <w:rPr>
          <w:rFonts w:ascii="Times New Roman" w:cs="Times New Roman" w:eastAsia="Times New Roman" w:hAnsi="Times New Roman"/>
          <w:sz w:val="21"/>
          <w:szCs w:val="21"/>
          <w:b w:val="1"/>
          <w:bCs w:val="1"/>
          <w:color w:val="auto"/>
        </w:rPr>
        <w:t>, that, if no such summary is provided to Agent, the maximum amount of Hedge Liabilities and Cash Management Liabilities provided by such Bank Product Provider to GLDD or any of its Subsidiaries shall be deemed to be the amount most recently provided to Agent; and (ii) any additional Hedge Liabilities or Cash Management Liabilities constituting Obligations shall require the consent of Agent, in each case, to the extent such amounts would cause the aggregate amount of Hedge Liabilities and Cash Management Liabilities, as applicable, to exceed the amount permitted under clause (a)(ii) of the definition of "First Lien Cap" under the Intercreditor Agreement (Second Lien).</w:t>
      </w:r>
    </w:p>
    <w:p>
      <w:pPr>
        <w:spacing w:after="0" w:line="184" w:lineRule="exact"/>
        <w:rPr>
          <w:sz w:val="20"/>
          <w:szCs w:val="20"/>
          <w:color w:val="auto"/>
        </w:rPr>
      </w:pPr>
    </w:p>
    <w:p>
      <w:pPr>
        <w:jc w:val="both"/>
        <w:ind w:firstLine="1497"/>
        <w:spacing w:after="0" w:line="235" w:lineRule="auto"/>
        <w:rPr>
          <w:sz w:val="20"/>
          <w:szCs w:val="20"/>
          <w:color w:val="auto"/>
        </w:rPr>
      </w:pPr>
      <w:r>
        <w:rPr>
          <w:rFonts w:ascii="Times New Roman" w:cs="Times New Roman" w:eastAsia="Times New Roman" w:hAnsi="Times New Roman"/>
          <w:sz w:val="22"/>
          <w:szCs w:val="22"/>
          <w:b w:val="1"/>
          <w:bCs w:val="1"/>
          <w:u w:val="single" w:color="auto"/>
          <w:color w:val="auto"/>
        </w:rPr>
        <w:t>Intercreditor Agreements and Equipment Utilization Agreements</w:t>
      </w:r>
      <w:r>
        <w:rPr>
          <w:rFonts w:ascii="Times New Roman" w:cs="Times New Roman" w:eastAsia="Times New Roman" w:hAnsi="Times New Roman"/>
          <w:sz w:val="22"/>
          <w:szCs w:val="22"/>
          <w:b w:val="1"/>
          <w:bCs w:val="1"/>
          <w:color w:val="auto"/>
        </w:rPr>
        <w:t>. Each Lender, by its acceptance of the benefits provided hereunder, (a) consents to the Intercreditor Agreements and the Equipment Utilization Agreements (in each as amended or otherwise modified with the consent of Agent and Required Lenders), (b) agrees that it will be bound by, and will take no actions contrary to, the provisions of the Intercreditor Agreements and the Equipment Utilization Agreements (in each case as amended or otherwise modified with the consent of Agent and Required Lenders), and (c) authorizes and instructs the Agent to enter into the Intercreditor Agreements and the Equipment Utilization Agreements (and, in each case, such amendments or other modifications thereto as may hereafter be consented to by Agent and Required Lenders) as Agent on behalf of each Lender.</w:t>
      </w:r>
    </w:p>
    <w:p>
      <w:pPr>
        <w:spacing w:after="0" w:line="17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b w:val="1"/>
          <w:bCs w:val="1"/>
          <w:color w:val="auto"/>
        </w:rPr>
        <w:t>BORROWING AGENCY.</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b w:val="1"/>
          <w:bCs w:val="1"/>
          <w:u w:val="single" w:color="auto"/>
          <w:color w:val="auto"/>
        </w:rPr>
        <w:t>Borrowing Agency Provisions; Joint and Several Liability</w:t>
      </w:r>
      <w:r>
        <w:rPr>
          <w:rFonts w:ascii="Times New Roman" w:cs="Times New Roman" w:eastAsia="Times New Roman" w:hAnsi="Times New Roman"/>
          <w:sz w:val="22"/>
          <w:szCs w:val="22"/>
          <w:b w:val="1"/>
          <w:bCs w:val="1"/>
          <w:color w:val="auto"/>
        </w:rPr>
        <w:t>.</w:t>
      </w:r>
    </w:p>
    <w:p>
      <w:pPr>
        <w:spacing w:after="0" w:line="210"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color w:val="auto"/>
        </w:rPr>
        <w:t>Each Borrower hereby irrevocably designates Borrowing Agent to be its attorney and agent and in such capacity to (i) borrow, (ii) request advances, (iii) request the issuance of Letters of Credit, (iv) sign and endorse notes, (v) execute and deliver all instruments, documents, applications, security agreements, reimbursement agreements and letter of credit agreements for Letters of Credit and all other certificates, notice, writings and further assurances now or hereafter</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06" w:name="page207"/>
    <w:bookmarkEnd w:id="206"/>
    <w:p>
      <w:pPr>
        <w:jc w:val="both"/>
        <w:spacing w:after="0" w:line="239" w:lineRule="auto"/>
        <w:rPr>
          <w:sz w:val="20"/>
          <w:szCs w:val="20"/>
          <w:color w:val="auto"/>
        </w:rPr>
      </w:pPr>
      <w:r>
        <w:rPr>
          <w:rFonts w:ascii="Times New Roman" w:cs="Times New Roman" w:eastAsia="Times New Roman" w:hAnsi="Times New Roman"/>
          <w:sz w:val="22"/>
          <w:szCs w:val="22"/>
          <w:color w:val="auto"/>
        </w:rPr>
        <w:t>required hereunder, (vi) make elections regarding interest rates, (vii) give instructions regarding Letters of Credit and agree with Issuer upon any amendment, extension or renewal of any Letter of Credit and (viii) otherwise take action under and in connection with this Agreement and the Other Documents, all on behalf of and in the name such Borrower or Borrowers, and hereby authorizes Agent to pay over or credit all loan proceeds hereunder in accordance with the request of Borrowing Agent.</w:t>
      </w:r>
    </w:p>
    <w:p>
      <w:pPr>
        <w:spacing w:after="0" w:line="180" w:lineRule="exact"/>
        <w:rPr>
          <w:sz w:val="20"/>
          <w:szCs w:val="20"/>
          <w:color w:val="auto"/>
        </w:rPr>
      </w:pPr>
    </w:p>
    <w:p>
      <w:pPr>
        <w:jc w:val="both"/>
        <w:ind w:firstLine="1497"/>
        <w:spacing w:after="0" w:line="234" w:lineRule="auto"/>
        <w:rPr>
          <w:sz w:val="20"/>
          <w:szCs w:val="20"/>
          <w:color w:val="auto"/>
        </w:rPr>
      </w:pPr>
      <w:r>
        <w:rPr>
          <w:rFonts w:ascii="Times New Roman" w:cs="Times New Roman" w:eastAsia="Times New Roman" w:hAnsi="Times New Roman"/>
          <w:sz w:val="22"/>
          <w:szCs w:val="22"/>
          <w:color w:val="auto"/>
        </w:rPr>
        <w:t>The handling of this credit facility as a co-borrowing facility with a borrowing agent in the manner set forth in this Agreement is solely as an accommodation to Borrowers and at their request. Neither Agent nor any Lender shall incur liability to Borrowers as a result thereof. To induce Agent and Lenders to do so and in consideration thereof, each Borrower hereby indemnifies Agent and each Lender and holds Agent and each Lender harmless from and against any and all liabilities, expenses, losses, damages and claims of damage or injury asserted against Agent or any Lender by any Person arising from or incurred by reason of the handling of the financing arrangements of Borrowers as provided herein, reliance by Agent or any Lender on any request or instruction from Borrowing Agent or any other action taken by Agent or any Lender with respect to this Section 15.1 except due to willful misconduct, bad faith or gross (not mere) negligence by the indemnified party (as determined by a court of competent jurisdiction in a final and non-appealable judgment).</w:t>
      </w:r>
    </w:p>
    <w:p>
      <w:pPr>
        <w:spacing w:after="0" w:line="183" w:lineRule="exact"/>
        <w:rPr>
          <w:sz w:val="20"/>
          <w:szCs w:val="20"/>
          <w:color w:val="auto"/>
        </w:rPr>
      </w:pPr>
    </w:p>
    <w:p>
      <w:pPr>
        <w:jc w:val="both"/>
        <w:ind w:firstLine="1497"/>
        <w:spacing w:after="0" w:line="232" w:lineRule="auto"/>
        <w:rPr>
          <w:sz w:val="20"/>
          <w:szCs w:val="20"/>
          <w:color w:val="auto"/>
        </w:rPr>
      </w:pPr>
      <w:r>
        <w:rPr>
          <w:rFonts w:ascii="Times New Roman" w:cs="Times New Roman" w:eastAsia="Times New Roman" w:hAnsi="Times New Roman"/>
          <w:sz w:val="22"/>
          <w:szCs w:val="22"/>
          <w:color w:val="auto"/>
        </w:rPr>
        <w:t>All Borrowers shall be jointly and severally liable for all amounts due to Agent and Lenders under this Agreement and the Other Documents, regardless of which Borrower actually receives the Advances or other financial accommodations hereunder or the amount of such Advances or financial accommodations received or the manner in which Agent and Lenders account for such Advances or financial accommodations on its books and records. The Obligations shall be primary obligations of all Borrowers. The Obligations arising as a result of the joint and several liability of a Borrower shall, to the fullest extent permitted by law, be unconditional irrespective of (i) the validity or enforceability, avoidance or subordination of the Obligations of the other Borrowers or of any promissory note or other document evidencing all or any part of the Obligations of the other Borrowers, (ii) the absence of any attempt to collect the Obligations from the other Borrowers or any other security therefor, or the absence of any other action to enforce the same, (iii) the waiver, consent, extension, forbearance or granting of any indulgence by Agent or Lenders with respect to any provisions of any instrument evidencing the Obligations of the other Borrowers, or any part thereof, or any other agreement now or hereafter executed by the other Borrowers and delivered to Agent, for itself and on behalf of Lenders, except to the extent such waiver, consent, extension, forbearance or granting of any indulgence explicitly is effective with respect to such Borrower, (iv) the failure by Agent or Lenders to take any steps to perfect and maintain its security interest in, or to preserve its rights and maintain its security or collateral for the Obligations of the other Borrowers, (v) the election of Agent or Lenders in any proceeding instituted under the Bankruptcy Code, of the application of Section 1111(b)(2) of the Bankruptcy Code, (vi) the disallowance of all or any portion of the claim(s) of Agent or Lenders for the repayment of the Obligations of the other Borrowers under Section 502 of the Bankruptcy Code, or (vii) any other circumstances which might constitute a legal or equitable discharge or defense of the other Borrowers other than payment in full of the Obligations. With respect to the Obligations arising as a result of the joint and several liability of a Borrower, each Borrower waives, until payment in full of the Obligations and this Agreement, any right to enforce any right of subrogation or any remedy which Agent or Lenders now has or may hereafter have against</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07" w:name="page208"/>
    <w:bookmarkEnd w:id="207"/>
    <w:p>
      <w:pPr>
        <w:jc w:val="both"/>
        <w:spacing w:after="0" w:line="236" w:lineRule="auto"/>
        <w:rPr>
          <w:sz w:val="20"/>
          <w:szCs w:val="20"/>
          <w:color w:val="auto"/>
        </w:rPr>
      </w:pPr>
      <w:r>
        <w:rPr>
          <w:rFonts w:ascii="Times New Roman" w:cs="Times New Roman" w:eastAsia="Times New Roman" w:hAnsi="Times New Roman"/>
          <w:sz w:val="22"/>
          <w:szCs w:val="22"/>
          <w:color w:val="auto"/>
        </w:rPr>
        <w:t>Borrowers, any endorser or any guarantor of all or any part of the Obligations, and any benefit of, and any right to participate in, any security or collateral given to Agent and Lenders. Upon any Event of Default and for so long as the same is continuing, Agent and Lenders may proceed directly and at once, without notice, against any Borrower to collect and recover the full amount, or any portion of the Obligations, without first proceeding against the other Borrowers or any other Person, or against any security or collateral for the Obligations. Each Borrower consents and agrees that Agent and Lenders shall be under no obligation to marshal any assets in favor of Borrower(s) or against or in payment of any or all of the Obligations.</w:t>
      </w:r>
    </w:p>
    <w:p>
      <w:pPr>
        <w:spacing w:after="0" w:line="181"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color w:val="auto"/>
        </w:rPr>
        <w:t>Each Borrower expressly subordinates any and all rights of subrogation, reimbursement, indemnity, exoneration, contribution of any other claim which such Borrower may now or hereafter have against the other Borrowers or other Person directly or contingently liable for the Obligations hereunder, or against or with respect to the other Borrowers' property (including, without limitation, any property which is Collateral for the Obligations), arising from the existence or performance of this Agreement until payment in full of the Obligations.</w:t>
      </w:r>
    </w:p>
    <w:p>
      <w:pPr>
        <w:spacing w:after="0" w:line="177" w:lineRule="exact"/>
        <w:rPr>
          <w:sz w:val="20"/>
          <w:szCs w:val="20"/>
          <w:color w:val="auto"/>
        </w:rPr>
      </w:pPr>
    </w:p>
    <w:p>
      <w:pPr>
        <w:jc w:val="both"/>
        <w:ind w:firstLine="1497"/>
        <w:spacing w:after="0" w:line="236" w:lineRule="auto"/>
        <w:rPr>
          <w:sz w:val="20"/>
          <w:szCs w:val="20"/>
          <w:color w:val="auto"/>
        </w:rPr>
      </w:pPr>
      <w:r>
        <w:rPr>
          <w:rFonts w:ascii="Times New Roman" w:cs="Times New Roman" w:eastAsia="Times New Roman" w:hAnsi="Times New Roman"/>
          <w:sz w:val="22"/>
          <w:szCs w:val="22"/>
          <w:color w:val="auto"/>
        </w:rPr>
        <w:t>Each Borrower expressly subordinates all rights that it may have now or in the future under any statute, at common law, in equity or otherwise, to compel Agent or Lenders to marshal assets or to proceed against any Credit Party, other Person or security for the payment or performance of any Obligations before, or as a condition to, proceeding against such Borrower. It is agreed among each Borrower, Agent and Lenders that the provisions of this Section are of the essence of the transaction contemplated by this Agreement and the Other Documents and that, but for such provisions, Agent and Lenders would decline to make Loans and issue Letters of Credit.</w:t>
      </w:r>
    </w:p>
    <w:p>
      <w:pPr>
        <w:spacing w:after="0" w:line="181"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1"/>
          <w:szCs w:val="21"/>
          <w:color w:val="auto"/>
        </w:rPr>
        <w:t>Agent and Lenders may, in their discretion, pursue such rights and remedies as they deem appropriate, including realization upon Collateral by judicial foreclosure or nonjudicial sale or enforcement, without affecting any rights and remedies under this Agreement and the Other Documents . If, in the exercise of any rights or remedies, Agent or any Lender shall forfeit any of its rights or remedies, including its right to enter a deficiency judgment against any Credit Party, whether because of any Applicable Laws pertaining to "election of remedies" or otherwise, each Borrower consents to such action by Agent or such Lender and waives (to the extent permitted by Applicable Law) any claim based upon such action, even if the action may result in loss of any rights of subrogation that any Borrower might otherwise have had but for such action. Any election of remedies that results in denial or impairment of the right of Agent or any Lender to seek a deficiency judgment against any Borrower shall not impair any other Borrower's obligation to pay the full amount of the Obligations. Each Borrower waives all rights and defenses arising out of an election of remedies, such as nonjudicial foreclosure with respect to any security for the Obligations, even though that election of remedies destroys such Borrower's rights of subrogation against any other Person. If Agent bids at any foreclosure or trustee's sale or at any private sale, Agent may bid all or a portion (in Agent's discretion) of the Obligations and the amount of such bid need not be paid by Agent but shall be credited against the Obligations. Subject to Applicable Law, the amount of the successful bid at any such sale, whether Agent or any other Person is the successful bidder, shall be conclusively deemed to be commercially reasonable, and the difference between such bid amount and the remaining balance of the Obligations shall be conclusively deemed to be the amount of such Borrower's Obligations to Agent and Lenders, notwithstanding that any present or future law or court decision may have the effect of reducing the amount of any</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08" w:name="page209"/>
    <w:bookmarkEnd w:id="208"/>
    <w:p>
      <w:pPr>
        <w:spacing w:after="0"/>
        <w:rPr>
          <w:sz w:val="20"/>
          <w:szCs w:val="20"/>
          <w:color w:val="auto"/>
        </w:rPr>
      </w:pPr>
      <w:r>
        <w:rPr>
          <w:rFonts w:ascii="Times New Roman" w:cs="Times New Roman" w:eastAsia="Times New Roman" w:hAnsi="Times New Roman"/>
          <w:sz w:val="22"/>
          <w:szCs w:val="22"/>
          <w:color w:val="auto"/>
        </w:rPr>
        <w:t>deficiency claim to which Agent or any Lender might otherwise be entitled but for such bidding at any such sale.</w:t>
      </w:r>
    </w:p>
    <w:p>
      <w:pPr>
        <w:spacing w:after="0" w:line="206" w:lineRule="exact"/>
        <w:rPr>
          <w:sz w:val="20"/>
          <w:szCs w:val="20"/>
          <w:color w:val="auto"/>
        </w:rPr>
      </w:pPr>
    </w:p>
    <w:p>
      <w:pPr>
        <w:jc w:val="both"/>
        <w:ind w:firstLine="1497"/>
        <w:spacing w:after="0" w:line="234" w:lineRule="auto"/>
        <w:rPr>
          <w:sz w:val="20"/>
          <w:szCs w:val="20"/>
          <w:color w:val="auto"/>
        </w:rPr>
      </w:pPr>
      <w:r>
        <w:rPr>
          <w:rFonts w:ascii="Times New Roman" w:cs="Times New Roman" w:eastAsia="Times New Roman" w:hAnsi="Times New Roman"/>
          <w:sz w:val="22"/>
          <w:szCs w:val="22"/>
          <w:color w:val="auto"/>
        </w:rPr>
        <w:t>Notwithstanding any other provision of this Section 15, the joint and several liability of each Borrower hereunder shall be limited to a maximum amount as would not, after giving effect to such maximum amount, render its obligations hereunder subject to avoidance under Section 548 of the Bankruptcy Code or under any applicable state Uniform Fraudulent Transfer Act, Uniform Fraudulent Conveyance Act or comparable law. In determining the limitations, if any, on the amount of any Borrower's obligations hereunder pursuant to the preceding sentence, it is the intention of the parties hereto that any rights of subrogation, indemnification or contribution which such Borrower may have under this Section 15, any other agreement or applicable law shall be taken into account. Subject to the restrictions, limitations and other terms of this Agreement, each Borrower hereby agrees that to the extent that a Borrower shall have paid more than its proportionate share of any payment made hereunder, such Borrower shall be entitled to seek and receive contribution from and against any other Borrower hereunder which has not paid its proportionate share of such payment.</w:t>
      </w:r>
    </w:p>
    <w:p>
      <w:pPr>
        <w:spacing w:after="0" w:line="175" w:lineRule="exact"/>
        <w:rPr>
          <w:sz w:val="20"/>
          <w:szCs w:val="20"/>
          <w:color w:val="auto"/>
        </w:rPr>
      </w:pPr>
    </w:p>
    <w:p>
      <w:pPr>
        <w:jc w:val="both"/>
        <w:ind w:firstLine="1497"/>
        <w:spacing w:after="0" w:line="237" w:lineRule="auto"/>
        <w:rPr>
          <w:sz w:val="20"/>
          <w:szCs w:val="20"/>
          <w:color w:val="auto"/>
        </w:rPr>
      </w:pPr>
      <w:r>
        <w:rPr>
          <w:rFonts w:ascii="Times New Roman" w:cs="Times New Roman" w:eastAsia="Times New Roman" w:hAnsi="Times New Roman"/>
          <w:sz w:val="22"/>
          <w:szCs w:val="22"/>
          <w:b w:val="1"/>
          <w:bCs w:val="1"/>
          <w:u w:val="single" w:color="auto"/>
          <w:color w:val="auto"/>
        </w:rPr>
        <w:t>Waiver of Subrogation</w:t>
      </w:r>
      <w:r>
        <w:rPr>
          <w:rFonts w:ascii="Times New Roman" w:cs="Times New Roman" w:eastAsia="Times New Roman" w:hAnsi="Times New Roman"/>
          <w:sz w:val="22"/>
          <w:szCs w:val="22"/>
          <w:b w:val="1"/>
          <w:bCs w:val="1"/>
          <w:color w:val="auto"/>
        </w:rPr>
        <w:t>. Each Borrower expressly waives any and all rights of subrogation, reimbursement, indemnity, exoneration, contribution of any other claim which such Borrower may now or hereafter have against the other Borrowers or any other Person directly or contingently liable for the Obligations hereunder, or against or with respect to any other Borrowers' property (including, without limitation, any property which is Collateral for the Obligations), arising from the existence or performance of this Agreement, until termination of this Agreement and repayment in full of the Obligations.</w:t>
      </w:r>
    </w:p>
    <w:p>
      <w:pPr>
        <w:spacing w:after="0" w:line="17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b w:val="1"/>
          <w:bCs w:val="1"/>
          <w:color w:val="auto"/>
        </w:rPr>
        <w:t>MISCELLANEOUS.</w:t>
      </w:r>
    </w:p>
    <w:p>
      <w:pPr>
        <w:spacing w:after="0" w:line="206" w:lineRule="exact"/>
        <w:rPr>
          <w:sz w:val="20"/>
          <w:szCs w:val="20"/>
          <w:color w:val="auto"/>
        </w:rPr>
      </w:pPr>
    </w:p>
    <w:p>
      <w:pPr>
        <w:jc w:val="both"/>
        <w:ind w:firstLine="1497"/>
        <w:spacing w:after="0" w:line="232" w:lineRule="auto"/>
        <w:rPr>
          <w:sz w:val="20"/>
          <w:szCs w:val="20"/>
          <w:color w:val="auto"/>
        </w:rPr>
      </w:pPr>
      <w:r>
        <w:rPr>
          <w:rFonts w:ascii="Times New Roman" w:cs="Times New Roman" w:eastAsia="Times New Roman" w:hAnsi="Times New Roman"/>
          <w:sz w:val="22"/>
          <w:szCs w:val="22"/>
          <w:b w:val="1"/>
          <w:bCs w:val="1"/>
          <w:u w:val="single" w:color="auto"/>
          <w:color w:val="auto"/>
        </w:rPr>
        <w:t>Governing Law</w:t>
      </w:r>
      <w:r>
        <w:rPr>
          <w:rFonts w:ascii="Times New Roman" w:cs="Times New Roman" w:eastAsia="Times New Roman" w:hAnsi="Times New Roman"/>
          <w:sz w:val="22"/>
          <w:szCs w:val="22"/>
          <w:b w:val="1"/>
          <w:bCs w:val="1"/>
          <w:color w:val="auto"/>
        </w:rPr>
        <w:t>. This Agreement and each Other Document (unless and except to the extent expressly provided otherwise in any such Other Document), and all matters relating hereto or thereto or arising herefrom or therefrom (whether arising under contract law, tort law or otherwise) shall, in accordance with Section 5-1401 of the General Obligations Law of the State of New York, be governed by and construed in accordance with the laws of the State of New York. Any judicial proceeding brought by or against any Credit Party with respect to any of the Obligations, this Agreement, the Other Documents or any related agreement may be brought in any court of competent jurisdiction in the State of New York, United States of America, and, by execution and delivery of this Agreement, each Credit Party accepts for itself and in connection with its properties, generally and unconditionally, the non-exclusive jurisdiction of the aforesaid courts, and irrevocably agrees to be bound by any judgment rendered thereby in connection with this Agreement. Each Credit Party hereby waives personal service of any and all process upon it and consents that all such service of process may be made by certified or registered mail (return receipt requested) directed to Borrowing Agent at its address set forth in Section 16.6 and service so made shall be deemed completed five (5) days after the same shall have been so deposited in the mails of the United States of America, or, at Agent's option, by service upon Borrowing Agent which each Credit Party irrevocably appoints as such Credit Party's Agent for the purpose of accepting service within the State of New York. Nothing herein shall affect the right to serve process in any manner permitted by law or shall limit the right of Agent or any Lender to bring proceedings against any Credit Party in the courts of any other jurisdiction. Each Credit Party</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09" w:name="page210"/>
    <w:bookmarkEnd w:id="209"/>
    <w:p>
      <w:pPr>
        <w:jc w:val="both"/>
        <w:spacing w:after="0" w:line="237" w:lineRule="auto"/>
        <w:rPr>
          <w:sz w:val="20"/>
          <w:szCs w:val="20"/>
          <w:color w:val="auto"/>
        </w:rPr>
      </w:pPr>
      <w:r>
        <w:rPr>
          <w:rFonts w:ascii="Times New Roman" w:cs="Times New Roman" w:eastAsia="Times New Roman" w:hAnsi="Times New Roman"/>
          <w:sz w:val="22"/>
          <w:szCs w:val="22"/>
          <w:b w:val="1"/>
          <w:bCs w:val="1"/>
          <w:color w:val="auto"/>
        </w:rPr>
        <w:t>waives any objection to jurisdiction and venue of any action instituted hereunder and shall not assert any defense based on lack of jurisdiction or venue or based upon forum non conveniens. Each Credit Party waives the right to remove any judicial proceeding brought against such Credit Party in any state court to any federal court. Any judicial proceeding by any Credit Party against Agent or any Lender involving, directly or indirectly, any matter or claim in any way arising out of, related to or connected with this Agreement or any related agreement, shall be brought only in a federal or state court located in the County of New York, State of New York.</w:t>
      </w:r>
    </w:p>
    <w:p>
      <w:pPr>
        <w:spacing w:after="0" w:line="17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b w:val="1"/>
          <w:bCs w:val="1"/>
          <w:u w:val="single" w:color="auto"/>
          <w:color w:val="auto"/>
        </w:rPr>
        <w:t>Entire Understanding</w:t>
      </w:r>
      <w:r>
        <w:rPr>
          <w:rFonts w:ascii="Times New Roman" w:cs="Times New Roman" w:eastAsia="Times New Roman" w:hAnsi="Times New Roman"/>
          <w:sz w:val="22"/>
          <w:szCs w:val="22"/>
          <w:b w:val="1"/>
          <w:bCs w:val="1"/>
          <w:color w:val="auto"/>
        </w:rPr>
        <w:t>.</w:t>
      </w:r>
    </w:p>
    <w:p>
      <w:pPr>
        <w:spacing w:after="0" w:line="210" w:lineRule="exact"/>
        <w:rPr>
          <w:sz w:val="20"/>
          <w:szCs w:val="20"/>
          <w:color w:val="auto"/>
        </w:rPr>
      </w:pPr>
    </w:p>
    <w:p>
      <w:pPr>
        <w:jc w:val="both"/>
        <w:ind w:firstLine="1497"/>
        <w:spacing w:after="0" w:line="234" w:lineRule="auto"/>
        <w:rPr>
          <w:sz w:val="20"/>
          <w:szCs w:val="20"/>
          <w:color w:val="auto"/>
        </w:rPr>
      </w:pPr>
      <w:r>
        <w:rPr>
          <w:rFonts w:ascii="Times New Roman" w:cs="Times New Roman" w:eastAsia="Times New Roman" w:hAnsi="Times New Roman"/>
          <w:sz w:val="22"/>
          <w:szCs w:val="22"/>
          <w:color w:val="auto"/>
        </w:rPr>
        <w:t>This Agreement and the documents executed concurrently herewith contain the entire understanding between each Credit Party, Agent and each Lender and supersedes all prior agreements and understandings, if any, relating to the subject matter hereof. Any promises, representations, warranties or guarantees not herein contained and hereinafter made shall have no force and effect unless in writing, signed by a Responsible Officer of each Credit Party and Agent's and each Lender's respective officers. Neither this Agreement nor any portion or provisions hereof may be changed, modified, amended, waived, supplemented, discharged, cancelled or terminated orally or by any course of dealing, or in any manner other than by an agreement in writing, signed by the party to be charged. Each Credit Party acknowledges that it has been advised by counsel in connection with the execution of this Agreement and Other Documents and is not relying upon oral representations or statements inconsistent with the terms and provisions of this Agreement.</w:t>
      </w:r>
    </w:p>
    <w:p>
      <w:pPr>
        <w:spacing w:after="0" w:line="183" w:lineRule="exact"/>
        <w:rPr>
          <w:sz w:val="20"/>
          <w:szCs w:val="20"/>
          <w:color w:val="auto"/>
        </w:rPr>
      </w:pPr>
    </w:p>
    <w:p>
      <w:pPr>
        <w:jc w:val="both"/>
        <w:ind w:firstLine="1497"/>
        <w:spacing w:after="0" w:line="236" w:lineRule="auto"/>
        <w:rPr>
          <w:sz w:val="20"/>
          <w:szCs w:val="20"/>
          <w:color w:val="auto"/>
        </w:rPr>
      </w:pPr>
      <w:r>
        <w:rPr>
          <w:rFonts w:ascii="Times New Roman" w:cs="Times New Roman" w:eastAsia="Times New Roman" w:hAnsi="Times New Roman"/>
          <w:sz w:val="22"/>
          <w:szCs w:val="22"/>
          <w:color w:val="auto"/>
        </w:rPr>
        <w:t xml:space="preserve">Required Lenders, Agent with the consent in writing of Required Lenders, and Borrowers may, subject to the provisions of this Section 16.2(b), from time to time enter into written supplemental agreements to this Agreement or the Other Documents executed by Borrowers, for the purpose of adding or deleting any provisions or otherwise changing, amending, varying or waiving in any manner the rights of Lenders, Agent or Borrowers hereunder or thereunder or the conditions, provisions or terms hereof or thereof or waiving any Event of Default thereunder, but only to the extent specified in such written agreements;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no such supplemental agreement shall:</w:t>
      </w:r>
    </w:p>
    <w:p>
      <w:pPr>
        <w:spacing w:after="0" w:line="181"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increase or extend the Revolving Commitment, the Revolving Commitment Percentage or the Revolving Commitment Amount of any Lender without the consent of such Lender;</w:t>
      </w:r>
    </w:p>
    <w:p>
      <w:pPr>
        <w:spacing w:after="0" w:line="158" w:lineRule="exact"/>
        <w:rPr>
          <w:sz w:val="20"/>
          <w:szCs w:val="20"/>
          <w:color w:val="auto"/>
        </w:rPr>
      </w:pPr>
    </w:p>
    <w:p>
      <w:pPr>
        <w:jc w:val="both"/>
        <w:ind w:firstLine="1497"/>
        <w:spacing w:after="0" w:line="236" w:lineRule="auto"/>
        <w:rPr>
          <w:sz w:val="20"/>
          <w:szCs w:val="20"/>
          <w:color w:val="auto"/>
        </w:rPr>
      </w:pPr>
      <w:r>
        <w:rPr>
          <w:rFonts w:ascii="Times New Roman" w:cs="Times New Roman" w:eastAsia="Times New Roman" w:hAnsi="Times New Roman"/>
          <w:sz w:val="22"/>
          <w:szCs w:val="22"/>
          <w:color w:val="auto"/>
        </w:rPr>
        <w:t>waive, extend or postpone the Maturity Date or any date fixed by this Agreement or any Other Document for any scheduled payment of principal or interest of any Advance (excluding the due date of any mandatory prepayment of an Advance), or any fee payable to any Lender, or reduce the principal amount of or the rate of interest borne by any Advances or reduce any fee payable to any Lender, without the consent of each Lender directly affected thereby (except that Required Lenders may elect to waive or rescind any imposition of the Default Rate under Section 3.1 or of default rates of Letter of Credit fees under Section 3.2 (unless imposed by Agent));</w:t>
      </w:r>
    </w:p>
    <w:p>
      <w:pPr>
        <w:spacing w:after="0" w:line="181"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except in connection with any increase pursuant to Section 2.24 hereof, increase the Maximum Revolving Advance Amount without the consent of all Lenders;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10" w:name="page211"/>
    <w:bookmarkEnd w:id="210"/>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alter the definition of the term Required Lenders or Supermajority Lenders or alter, amend or modify this Section 16.2(b) or any provision of this Agreement providing for consent or other action by all Lenders, without the consent of all Lenders;</w:t>
      </w:r>
    </w:p>
    <w:p>
      <w:pPr>
        <w:spacing w:after="0" w:line="173" w:lineRule="exact"/>
        <w:rPr>
          <w:sz w:val="20"/>
          <w:szCs w:val="20"/>
          <w:color w:val="auto"/>
        </w:rPr>
      </w:pPr>
    </w:p>
    <w:p>
      <w:pPr>
        <w:jc w:val="both"/>
        <w:ind w:right="20" w:firstLine="1497"/>
        <w:spacing w:after="0" w:line="244" w:lineRule="auto"/>
        <w:rPr>
          <w:sz w:val="20"/>
          <w:szCs w:val="20"/>
          <w:color w:val="auto"/>
        </w:rPr>
      </w:pPr>
      <w:r>
        <w:rPr>
          <w:rFonts w:ascii="Times New Roman" w:cs="Times New Roman" w:eastAsia="Times New Roman" w:hAnsi="Times New Roman"/>
          <w:sz w:val="22"/>
          <w:szCs w:val="22"/>
          <w:color w:val="auto"/>
        </w:rPr>
        <w:t>alter, amend or modify the provisions of Section 2.6(e), 2.20, 11.5 or any other provision of this Agreement providing for the pro rata treatment of the Lenders (to the extent such alteration, amendment or modification would affect such pro rata treatment) without the consent of all Lenders;</w:t>
      </w:r>
    </w:p>
    <w:p>
      <w:pPr>
        <w:spacing w:after="0" w:line="17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except as permitted by Section 14.14, release all or substantially all of the Collateral without the consent of all</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Lenders;</w:t>
      </w:r>
    </w:p>
    <w:p>
      <w:pPr>
        <w:spacing w:after="0" w:line="182"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color w:val="auto"/>
        </w:rPr>
        <w:t>other than in connection with a liquidation, dissolution or disposition of a Credit Party permitted by the terms hereof or otherwise consented to by Required Lenders or the payment in full of the Obligations, release any Credit Party from its liability for the Obligations without the consent of all of the Lenders (other than a release expressly permitted under Section 14.14);</w:t>
      </w:r>
    </w:p>
    <w:p>
      <w:pPr>
        <w:spacing w:after="0" w:line="180" w:lineRule="exact"/>
        <w:rPr>
          <w:sz w:val="20"/>
          <w:szCs w:val="20"/>
          <w:color w:val="auto"/>
        </w:rPr>
      </w:pPr>
    </w:p>
    <w:p>
      <w:pPr>
        <w:jc w:val="both"/>
        <w:ind w:firstLine="1497"/>
        <w:spacing w:after="0" w:line="282" w:lineRule="auto"/>
        <w:rPr>
          <w:sz w:val="20"/>
          <w:szCs w:val="20"/>
          <w:color w:val="auto"/>
        </w:rPr>
      </w:pPr>
      <w:r>
        <w:rPr>
          <w:rFonts w:ascii="Times New Roman" w:cs="Times New Roman" w:eastAsia="Times New Roman" w:hAnsi="Times New Roman"/>
          <w:sz w:val="21"/>
          <w:szCs w:val="21"/>
          <w:color w:val="auto"/>
        </w:rPr>
        <w:t>except in connection with the sale or disposition of a Guarantor consented to by Required Lenders, release the Guaranty by a Guarantor without the consent of all of the Lenders (other than a release expressly permitted under Section 14.14);</w:t>
      </w:r>
    </w:p>
    <w:p>
      <w:pPr>
        <w:spacing w:after="0" w:line="135" w:lineRule="exact"/>
        <w:rPr>
          <w:sz w:val="20"/>
          <w:szCs w:val="20"/>
          <w:color w:val="auto"/>
        </w:rPr>
      </w:pPr>
    </w:p>
    <w:p>
      <w:pPr>
        <w:jc w:val="both"/>
        <w:ind w:right="20" w:firstLine="1497"/>
        <w:spacing w:after="0" w:line="244" w:lineRule="auto"/>
        <w:rPr>
          <w:sz w:val="20"/>
          <w:szCs w:val="20"/>
          <w:color w:val="auto"/>
        </w:rPr>
      </w:pPr>
      <w:r>
        <w:rPr>
          <w:rFonts w:ascii="Times New Roman" w:cs="Times New Roman" w:eastAsia="Times New Roman" w:hAnsi="Times New Roman"/>
          <w:sz w:val="22"/>
          <w:szCs w:val="22"/>
          <w:color w:val="auto"/>
        </w:rPr>
        <w:t>increase the Advance Rates above the Advance Rates in effect on the Closing Date or otherwise modify the Formula Amount, the Gross Amount or the Foreign Fleet Asset Maximum Amount if the effect is to increase the amount available to be borrowed by Borrowers, in each case without the consent of the Supermajority Lenders;</w:t>
      </w:r>
    </w:p>
    <w:p>
      <w:pPr>
        <w:spacing w:after="0" w:line="17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increase the Green Loan Sublimit without the consent of all Lenders; or</w:t>
      </w:r>
    </w:p>
    <w:p>
      <w:pPr>
        <w:spacing w:after="0" w:line="206" w:lineRule="exact"/>
        <w:rPr>
          <w:sz w:val="20"/>
          <w:szCs w:val="20"/>
          <w:color w:val="auto"/>
        </w:rPr>
      </w:pPr>
    </w:p>
    <w:p>
      <w:pPr>
        <w:jc w:val="both"/>
        <w:ind w:firstLine="1505"/>
        <w:spacing w:after="0" w:line="238" w:lineRule="auto"/>
        <w:tabs>
          <w:tab w:leader="none" w:pos="1772"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subordinate any of the Obligations to any other Indebtedness or (II) subordinate the Lien securing any of the Obligations on all or substantially all of the Collateral to any other Lien securing any other Indebtedness (except to the holder of any Lien on such property that is permitted by Section 7.2, or if approved, authorized or ratified in writing by Agent and the Required Lenders in connection with a debtor-in-possession financing provided to any Credit Party), in each case, without the consent of each Lender affected thereby.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Notwithstanding the foregoing:</w:t>
      </w:r>
    </w:p>
    <w:p>
      <w:pPr>
        <w:spacing w:after="0" w:line="229"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No amendment, waiver, modification, elimination, or consent shall amend, modify, or waive any provision of this Agreement or the Other Documents pertaining to Issuer, or any other rights or duties of Issuer under this Agreement or the Other Documents, without the written consent of Issuer, Agent, Borrowers and the Required Lenders;</w:t>
      </w:r>
    </w:p>
    <w:p>
      <w:pPr>
        <w:spacing w:after="0" w:line="173"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color w:val="auto"/>
        </w:rPr>
        <w:t>No amendment, waiver, modification, elimination, or consent shall amend, modify, or waive any provision of this Agreement or the Other Documents pertaining to Swing Loan Lender, or any other rights or duties of Swing Loan Lender under this Agreement or the Other Documents, without the written consent of Swing Loan Lender, Agent, Borrowers and the Required Lenders;</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11" w:name="page212"/>
    <w:bookmarkEnd w:id="211"/>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No amendment, waiver, modification, elimination, or consent shall amend, modify, or waive any provision of this Agreement or the Other Documents pertaining to Agent, or any other rights or duties of Agent under this Agreement or the Other Documents, without the written consent of Agent, Borrowers and the Required Lenders;</w:t>
      </w:r>
    </w:p>
    <w:p>
      <w:pPr>
        <w:spacing w:after="0" w:line="173" w:lineRule="exact"/>
        <w:rPr>
          <w:sz w:val="20"/>
          <w:szCs w:val="20"/>
          <w:color w:val="auto"/>
        </w:rPr>
      </w:pPr>
    </w:p>
    <w:p>
      <w:pPr>
        <w:jc w:val="both"/>
        <w:ind w:firstLine="1497"/>
        <w:spacing w:after="0" w:line="236" w:lineRule="auto"/>
        <w:rPr>
          <w:sz w:val="20"/>
          <w:szCs w:val="20"/>
          <w:color w:val="auto"/>
        </w:rPr>
      </w:pPr>
      <w:r>
        <w:rPr>
          <w:rFonts w:ascii="Times New Roman" w:cs="Times New Roman" w:eastAsia="Times New Roman" w:hAnsi="Times New Roman"/>
          <w:sz w:val="22"/>
          <w:szCs w:val="22"/>
          <w:color w:val="auto"/>
        </w:rPr>
        <w:t>Anything in this Section 16.2(b) to the contrary notwithstanding, (i) any amendment, modification, elimination, waiver, consent, termination, or release of, or with respect to, any provision of this Agreement or any Other Document that relates only to the relationship of the Lenders among themselves, and that does not affect the rights or obligations of any Credit Party, shall not require consent by or the agreement of any Credit Party, and (ii) any amendment, waiver, modification, elimination, or consent of or with respect to any provision of this Agreement or any Other Document may be entered into without the consent of, or over the objection of, any Defaulting Lender; and</w:t>
      </w:r>
    </w:p>
    <w:p>
      <w:pPr>
        <w:spacing w:after="0" w:line="181"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The Fee Letter may only be amended with the consent of Agent and Borrowers (it being understood that no Lender's consent shall be required).</w:t>
      </w:r>
    </w:p>
    <w:p>
      <w:pPr>
        <w:spacing w:after="0" w:line="158"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color w:val="auto"/>
        </w:rPr>
        <w:t>Any such supplemental agreement shall apply equally to each Lender and shall be binding upon Borrowers, Lenders and Agent and all future holders of the Obligations. In the case of any waiver, Borrowers, Agent and Lenders shall be restored to their former positions and rights, and any Event of Default waived shall be deemed to be cured and not continuing, but no waiver of a specific Event of Default shall extend to any subsequent Event of Default (whether or not the subsequent Event of Default is the same as the Event of Default which was waived), or impair any right consequent thereon.</w:t>
      </w:r>
    </w:p>
    <w:p>
      <w:pPr>
        <w:spacing w:after="0" w:line="177" w:lineRule="exact"/>
        <w:rPr>
          <w:sz w:val="20"/>
          <w:szCs w:val="20"/>
          <w:color w:val="auto"/>
        </w:rPr>
      </w:pPr>
    </w:p>
    <w:p>
      <w:pPr>
        <w:jc w:val="both"/>
        <w:ind w:firstLine="1497"/>
        <w:spacing w:after="0" w:line="234" w:lineRule="auto"/>
        <w:rPr>
          <w:sz w:val="20"/>
          <w:szCs w:val="20"/>
          <w:color w:val="auto"/>
        </w:rPr>
      </w:pPr>
      <w:r>
        <w:rPr>
          <w:rFonts w:ascii="Times New Roman" w:cs="Times New Roman" w:eastAsia="Times New Roman" w:hAnsi="Times New Roman"/>
          <w:sz w:val="22"/>
          <w:szCs w:val="22"/>
          <w:color w:val="auto"/>
        </w:rPr>
        <w:t>In the event that Agent or Borrowing Agent requests the consent of a Lender pursuant to this Section 16.2 and such consent is denied, then Agent or Borrowing Agent may, at its option, require such Lender to assign its interest in the Advances to Agent or to another Lender or to any other Person designated by Agent or Borrowing Agent in compliance with Sections 3.11 and 16.3 (the "</w:t>
      </w:r>
      <w:r>
        <w:rPr>
          <w:rFonts w:ascii="Times New Roman" w:cs="Times New Roman" w:eastAsia="Times New Roman" w:hAnsi="Times New Roman"/>
          <w:sz w:val="22"/>
          <w:szCs w:val="22"/>
          <w:u w:val="single" w:color="auto"/>
          <w:color w:val="auto"/>
        </w:rPr>
        <w:t>Designated Lender</w:t>
      </w:r>
      <w:r>
        <w:rPr>
          <w:rFonts w:ascii="Times New Roman" w:cs="Times New Roman" w:eastAsia="Times New Roman" w:hAnsi="Times New Roman"/>
          <w:sz w:val="22"/>
          <w:szCs w:val="22"/>
          <w:color w:val="auto"/>
        </w:rPr>
        <w:t>"), for a price equal to (i) the then outstanding principal amount thereof plus (ii) accrued and unpaid interest and fees due such Lender, which interest and fees shall be paid when collected from Borrowers. In the event Agent elects to require any Lender to assign its interest to Agent or to the Designated Lender, Agent will so notify such Lender in writing within ten (10) days following such Lender's denial, and such Lender will assign its interest to Agent or the Designated Lender no later than five (5) days following receipt of such notice pursuant to a Commitment Transfer Supplement executed by such Lender, Agent or the Designated Lender, as appropriate, and Agent.</w:t>
      </w:r>
    </w:p>
    <w:p>
      <w:pPr>
        <w:spacing w:after="0" w:line="183" w:lineRule="exact"/>
        <w:rPr>
          <w:sz w:val="20"/>
          <w:szCs w:val="20"/>
          <w:color w:val="auto"/>
        </w:rPr>
      </w:pPr>
    </w:p>
    <w:p>
      <w:pPr>
        <w:jc w:val="both"/>
        <w:ind w:firstLine="1497"/>
        <w:spacing w:after="0" w:line="248" w:lineRule="auto"/>
        <w:rPr>
          <w:sz w:val="20"/>
          <w:szCs w:val="20"/>
          <w:color w:val="auto"/>
        </w:rPr>
      </w:pPr>
      <w:r>
        <w:rPr>
          <w:rFonts w:ascii="Times New Roman" w:cs="Times New Roman" w:eastAsia="Times New Roman" w:hAnsi="Times New Roman"/>
          <w:sz w:val="21"/>
          <w:szCs w:val="21"/>
          <w:color w:val="auto"/>
        </w:rPr>
        <w:t>Notwithstanding (i) the existence of a Default or an Event of Default, (ii) that any of the other applicable conditions precedent set forth in Section 8.2 hereof have not been satisfied or the commitments of Lenders to make Revolving Advances hereunder have been terminated for any reason, or (iii) any other contrary provision of this Agreement at any time an Out-of-Formula Loan exists or Borrowers make a request for an Advance that would result in an Out-of-Formula Loan, Agent may in its discretion and without the consent of any Lender, knowingly and intentionally, continue to make Revolving Advances (any such intentional Revolving Advance, an "</w:t>
      </w:r>
      <w:r>
        <w:rPr>
          <w:rFonts w:ascii="Times New Roman" w:cs="Times New Roman" w:eastAsia="Times New Roman" w:hAnsi="Times New Roman"/>
          <w:sz w:val="21"/>
          <w:szCs w:val="21"/>
          <w:u w:val="single" w:color="auto"/>
          <w:color w:val="auto"/>
        </w:rPr>
        <w:t>Intentional Overadvance</w:t>
      </w:r>
      <w:r>
        <w:rPr>
          <w:rFonts w:ascii="Times New Roman" w:cs="Times New Roman" w:eastAsia="Times New Roman" w:hAnsi="Times New Roman"/>
          <w:sz w:val="21"/>
          <w:szCs w:val="21"/>
          <w:color w:val="auto"/>
        </w:rPr>
        <w:t>") to Borrowers for a period of sixty (60) days (as such period may be extended by Required Lenders) unless such authorization is revoked by Required Lenders effective</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12" w:name="page213"/>
    <w:bookmarkEnd w:id="212"/>
    <w:p>
      <w:pPr>
        <w:jc w:val="both"/>
        <w:spacing w:after="0" w:line="232" w:lineRule="auto"/>
        <w:rPr>
          <w:sz w:val="20"/>
          <w:szCs w:val="20"/>
          <w:color w:val="auto"/>
        </w:rPr>
      </w:pPr>
      <w:r>
        <w:rPr>
          <w:rFonts w:ascii="Times New Roman" w:cs="Times New Roman" w:eastAsia="Times New Roman" w:hAnsi="Times New Roman"/>
          <w:sz w:val="22"/>
          <w:szCs w:val="22"/>
          <w:color w:val="auto"/>
        </w:rPr>
        <w:t xml:space="preserve">upon receipt by Agent of written notice of such revocation from Required Lenders;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Agent may not make any Intentional Overadvance if, after giving effect to such Intentional Overadvance, the aggregate outstanding Intentional Overadvances would exceed ten percent (10%) of the Maximum Revolving Advance Amount (or such higher amount as Required Lenders may consent to) or would cause the Advances to exceed the Maximum Revolving Advance Amount. If Agent is willing in its sole and absolute discretion to make Intentional Overadvances, Lenders holding the Revolving Commitments shall be obligated to fund such Intentional Overadvances in accordance with their respective Revolving Commitment Percentages, and such Intentional Overadvances shall be payable on demand and shall bear interest at the rate applicable for Revolving Advances consisting of Domestic Rate Loans;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Agent does make Intentional Overadvances, neither Agent nor Lenders shall be deemed thereby to have changed the limits of Section 2.1(a) nor shall any Lender be obligated to fund Revolving Advances in excess of its Revolving Commitment Amount. For purposes of this paragraph, the discretion granted to Agent hereunder to make Intentional Overadvances shall not be limited by the amount of the Out-of-Formula Loan. To the extent any Intentional Overadvances are not actually funded by the other Lenders as provided for in this Section 16.2(e), Agent may elect in its discretion to fund such Intentional Overadvances and any such Intentional Overadvances so funded by Agent shall be deemed to be Revolving Advances made by and owing to Agent, and Agent shall be entitled to all rights (including accrual of interest) and remedies of a Lender holding a Revolving Commitment under this Agreement and the Other Documents with respect to such Revolving Advances.</w:t>
      </w:r>
    </w:p>
    <w:p>
      <w:pPr>
        <w:spacing w:after="0" w:line="191" w:lineRule="exact"/>
        <w:rPr>
          <w:sz w:val="20"/>
          <w:szCs w:val="20"/>
          <w:color w:val="auto"/>
        </w:rPr>
      </w:pPr>
    </w:p>
    <w:p>
      <w:pPr>
        <w:jc w:val="both"/>
        <w:ind w:firstLine="1505"/>
        <w:spacing w:after="0" w:line="244" w:lineRule="auto"/>
        <w:tabs>
          <w:tab w:leader="none" w:pos="1929" w:val="left"/>
        </w:tabs>
        <w:numPr>
          <w:ilvl w:val="0"/>
          <w:numId w:val="1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addition to (and not in substitution of) the discretionary Revolving Advances permitted above in this Section 16.2, Agent is hereby authorized by Borrowers and Lenders, at any time in Agent's sole discretion, regardless of (i) the existence of a Default or an Event of Default, (ii) whether any of the other applicable conditions precedent set forth in Section 8.2 hereof have not been satisfied or the commitments of Lenders to make Revolving Advances hereunder have been terminated for any reason, (iii) whether an Out-of-Formula Loan exists, or (iv) any other contrary provision of this Agreement, to make Revolving Advances (the "</w:t>
      </w:r>
      <w:r>
        <w:rPr>
          <w:rFonts w:ascii="Times New Roman" w:cs="Times New Roman" w:eastAsia="Times New Roman" w:hAnsi="Times New Roman"/>
          <w:sz w:val="21"/>
          <w:szCs w:val="21"/>
          <w:u w:val="single" w:color="auto"/>
          <w:color w:val="auto"/>
        </w:rPr>
        <w:t>Protective Advances</w:t>
      </w:r>
      <w:r>
        <w:rPr>
          <w:rFonts w:ascii="Times New Roman" w:cs="Times New Roman" w:eastAsia="Times New Roman" w:hAnsi="Times New Roman"/>
          <w:sz w:val="21"/>
          <w:szCs w:val="21"/>
          <w:color w:val="auto"/>
        </w:rPr>
        <w:t xml:space="preserve">") to Borrowers on behalf of Lenders (unless such authorization is revoked by Required Lenders effective ten (10) days after receipt by Agent of prior written notice of such revocation from Required Lenders) which Agent, in its Permitted Discretion, deems necessary or desirable (a) to preserve or protect the Collateral, or any portion thereof, (b) to enhance the likelihood of, or maximize the amount of, repayment of the Advances and other Obligations, or (c) to pay any other amount chargeable to Borrowers pursuant to the terms of this Agreement;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the Protective Advances made hereunder shall not exceed ten percent (10%) of the Maximum Revolving Advance Amount (unless Required Lenders agree to a higher amount). Lenders holding the Revolving Commitments shall be obligated to fund such Protective Advances and effect a settlement with Agent therefor upon demand of Agent in accordance with their respective Revolving Commitment Percentages. To the extent any Protective Advances are not actually funded by the other Lenders as provided for in this Section 16.2(f), any such Protective Advances funded by Agent shall be deemed to be Revolving Advances made by and owing to Agent, and Agent shall be entitled to all rights (including accrual of interest) and remedies of a Lender holding a Revolving Commitment under this Agreement and the Other Documents with respect to such Revolving Advances.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13" w:name="page214"/>
    <w:bookmarkEnd w:id="213"/>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Notwithstanding the foregoing Sections 16.2(e) and 16.2(f), at no time shall the aggregate total outstanding Intentional Overadvances and Protective Advances exceed ten percent (10%) of the Maximum Revolving Advance Amount.</w:t>
      </w:r>
    </w:p>
    <w:p>
      <w:pPr>
        <w:spacing w:after="0" w:line="15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b w:val="1"/>
          <w:bCs w:val="1"/>
          <w:u w:val="single" w:color="auto"/>
          <w:color w:val="auto"/>
        </w:rPr>
        <w:t>Successors and Assigns; Participations; New Lenders</w:t>
      </w:r>
      <w:r>
        <w:rPr>
          <w:rFonts w:ascii="Times New Roman" w:cs="Times New Roman" w:eastAsia="Times New Roman" w:hAnsi="Times New Roman"/>
          <w:sz w:val="22"/>
          <w:szCs w:val="22"/>
          <w:b w:val="1"/>
          <w:bCs w:val="1"/>
          <w:color w:val="auto"/>
        </w:rPr>
        <w:t>.</w:t>
      </w:r>
    </w:p>
    <w:p>
      <w:pPr>
        <w:spacing w:after="0" w:line="210"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This Agreement shall be binding upon and inure to the benefit of Borrowers, Agent, each Lender, all future holders of the Obligations and their respective successors and assigns, except that no Borrower may assign or transfer any of its rights or obligations under this Agreement without the prior written consent of Agent and each Lender.</w:t>
      </w:r>
    </w:p>
    <w:p>
      <w:pPr>
        <w:spacing w:after="0" w:line="173" w:lineRule="exact"/>
        <w:rPr>
          <w:sz w:val="20"/>
          <w:szCs w:val="20"/>
          <w:color w:val="auto"/>
        </w:rPr>
      </w:pPr>
    </w:p>
    <w:p>
      <w:pPr>
        <w:jc w:val="both"/>
        <w:ind w:firstLine="1497"/>
        <w:spacing w:after="0" w:line="231" w:lineRule="auto"/>
        <w:rPr>
          <w:sz w:val="20"/>
          <w:szCs w:val="20"/>
          <w:color w:val="auto"/>
        </w:rPr>
      </w:pPr>
      <w:r>
        <w:rPr>
          <w:rFonts w:ascii="Times New Roman" w:cs="Times New Roman" w:eastAsia="Times New Roman" w:hAnsi="Times New Roman"/>
          <w:sz w:val="22"/>
          <w:szCs w:val="22"/>
          <w:color w:val="auto"/>
        </w:rPr>
        <w:t>Each Borrower acknowledges that in the regular course of commercial banking business one or more Lenders may at any time and from time to time sell participating interests in the Advances to other Persons (each such transferee or purchaser of a participating interest, a "</w:t>
      </w:r>
      <w:r>
        <w:rPr>
          <w:rFonts w:ascii="Times New Roman" w:cs="Times New Roman" w:eastAsia="Times New Roman" w:hAnsi="Times New Roman"/>
          <w:sz w:val="22"/>
          <w:szCs w:val="22"/>
          <w:u w:val="single" w:color="auto"/>
          <w:color w:val="auto"/>
        </w:rPr>
        <w:t>Participant</w:t>
      </w:r>
      <w:r>
        <w:rPr>
          <w:rFonts w:ascii="Times New Roman" w:cs="Times New Roman" w:eastAsia="Times New Roman" w:hAnsi="Times New Roman"/>
          <w:sz w:val="22"/>
          <w:szCs w:val="22"/>
          <w:color w:val="auto"/>
        </w:rPr>
        <w:t>"); provided that (x) such Lender's obligations under this Agreement and the Other Documents shall remain unchanged, (y) such Lender shall remain solely responsible to the other parties hereto and thereto for the performance of such obligations, and (z) the Borrowers, Agent, Issuer and Lenders shall continue to deal solely and directly with such Lender in connection with such Lender's rights and obligations under this Agreement and the Other Documents. Each Participant may exercise all rights of payment (including rights of set-off) with respect to the portion of such Advances held by it or other Obligations payable hereunder as fully as if such Participant were the direct holder thereof provided that (i) Borrowers shall not be required to pay to any Participant more than the amount which it would have been required to pay to Lender which granted an interest in its Advances or other Obligations payable hereunder to such Participant had such Lender retained such interest in the Advances hereunder or other Obligations payable hereunder unless the sale of the participation to such Participant is made with Borrower's prior written consent, and (ii) in no event shall Borrowers be required to pay any such amount arising from the same circumstances and with respect to the same Advances or other Obligations payable hereunder to both such Lender and such Participant. Notwithstanding the foregoing, for the avoidance of doubt, the Credit Parties agree that each Participant shall be entitled to the benefits of Section 3.10 as if such Participant were a Lender, provided that such Participant complies with Sections 3.10(e), (f), and (g). Each Borrower hereby grants to any Participant a continuing security interest in any deposits, moneys or other property actually or constructively held by such Participant as security for the Participant's interest in the Advances. Each Lender that sells a participation shall, acting solely for this purpose as a non-fiduciary agent of the Borrowers, maintain a register on which it enters the name and address of each Participant and the principal amounts (and stated interest) of each Participant's interest in the loans and Advances (the "</w:t>
      </w:r>
      <w:r>
        <w:rPr>
          <w:rFonts w:ascii="Times New Roman" w:cs="Times New Roman" w:eastAsia="Times New Roman" w:hAnsi="Times New Roman"/>
          <w:sz w:val="22"/>
          <w:szCs w:val="22"/>
          <w:u w:val="single" w:color="auto"/>
          <w:color w:val="auto"/>
        </w:rPr>
        <w:t>Participant Register</w:t>
      </w:r>
      <w:r>
        <w:rPr>
          <w:rFonts w:ascii="Times New Roman" w:cs="Times New Roman" w:eastAsia="Times New Roman" w:hAnsi="Times New Roman"/>
          <w:sz w:val="22"/>
          <w:szCs w:val="22"/>
          <w:color w:val="auto"/>
        </w:rPr>
        <w:t>"); provided that no Lender shall have any obligation to disclose all or any portion of the Participant Register (including the identity of any Participant or any information relating to a Participant's interest in any commitments, loans, letters of credit or its other obligations under this Agreement or any Other Document) to any Person except to the extent that such disclosure is necessary to establish that such commitment, loan, letter of credit or other obligation is in registered form under Section 5f.103-1(c) of the United States Treasury Regulations. No participation shall be transferrable except as recorded in the Participant Register.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14" w:name="page215"/>
    <w:bookmarkEnd w:id="214"/>
    <w:p>
      <w:pPr>
        <w:jc w:val="both"/>
        <w:spacing w:after="0" w:line="244" w:lineRule="auto"/>
        <w:rPr>
          <w:sz w:val="20"/>
          <w:szCs w:val="20"/>
          <w:color w:val="auto"/>
        </w:rPr>
      </w:pPr>
      <w:r>
        <w:rPr>
          <w:rFonts w:ascii="Times New Roman" w:cs="Times New Roman" w:eastAsia="Times New Roman" w:hAnsi="Times New Roman"/>
          <w:sz w:val="22"/>
          <w:szCs w:val="22"/>
          <w:color w:val="auto"/>
        </w:rPr>
        <w:t>the avoidance of doubt, the Agent (in its capacity as Agent) shall have no responsibility for maintaining a Participant Register. It is intended that the Participant Register be maintained in such a manner that the loans and Advances are in "registered form" for the purposes of the Code.</w:t>
      </w:r>
    </w:p>
    <w:p>
      <w:pPr>
        <w:spacing w:after="0" w:line="17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Any Lender, with the consent of Agent and Borrowing Agent (provided, that the consent of Borrowing Agent</w:t>
      </w:r>
    </w:p>
    <w:p>
      <w:pPr>
        <w:spacing w:after="0" w:line="14" w:lineRule="exact"/>
        <w:rPr>
          <w:sz w:val="20"/>
          <w:szCs w:val="20"/>
          <w:color w:val="auto"/>
        </w:rPr>
      </w:pPr>
    </w:p>
    <w:p>
      <w:pPr>
        <w:jc w:val="both"/>
        <w:ind w:firstLine="8"/>
        <w:spacing w:after="0" w:line="231" w:lineRule="auto"/>
        <w:tabs>
          <w:tab w:leader="none" w:pos="360"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shall not be unreasonably withheld or delayed (provided further that if such consent is not granted, it shall not be considered unreasonably withheld or delayed if the proposed assignment is to a Person set forth on Schedule 16.3) and (B) shall not be required if an Event of Default exists or such assignment is to a Permitted Assignee), may sell, assign or transfer all or any part of its rights and obligations under or relating to Revolving Advances under this Agreement and the Other Documents to one or more additional Persons and one or more additional Persons may commit to make Advances hereunder (each a "</w:t>
      </w:r>
      <w:r>
        <w:rPr>
          <w:rFonts w:ascii="Times New Roman" w:cs="Times New Roman" w:eastAsia="Times New Roman" w:hAnsi="Times New Roman"/>
          <w:sz w:val="22"/>
          <w:szCs w:val="22"/>
          <w:u w:val="single" w:color="auto"/>
          <w:color w:val="auto"/>
        </w:rPr>
        <w:t>Purchasing Lender</w:t>
      </w:r>
      <w:r>
        <w:rPr>
          <w:rFonts w:ascii="Times New Roman" w:cs="Times New Roman" w:eastAsia="Times New Roman" w:hAnsi="Times New Roman"/>
          <w:sz w:val="22"/>
          <w:szCs w:val="22"/>
          <w:color w:val="auto"/>
        </w:rPr>
        <w:t>"), in minimum amounts of not less than $5,000,000, pursuant to a Commitment Transfer Supplement, executed by a Purchasing Lender, the transferor Lender, and Agent and delivered to Agent for recording. Upon such execution, delivery, acceptance and recording, from and after the transfer effective date determined pursuant to such Commitment Transfer Supplement, (i) Purchasing Lender thereunder shall be a party hereto and, to the extent provided in such Commitment Transfer Supplement, have the rights and obligations of a Lender thereunder with a Revolving Commitment Percentage as set forth therein, and (ii) the transferor Lender thereunder shall, to the extent provided in such Commitment Transfer Supplement, be released from its obligations under this Agreement, the Commitment Transfer Supplement creating a novation for that purpose. Such Commitment Transfer Supplement shall be deemed to amend this Agreement to the extent, and only to the extent, necessary to reflect the addition of such Purchasing Lender and the resulting adjustment of the Revolving Commitment Percentages arising from the purchase by such Purchasing Lender of all or a portion of the rights and obligations of such transferor Lender under this Agreement and the Other Documents. Each Borrower hereby consents to the addition of such Purchasing Lender and the resulting adjustment of the Revolving Commitment Percentages. Borrowers shall execute and deliver such further documents and do such further acts and things in order to effectuate the foregoing. Borrowers shall be deemed to have consented to any such assignment unless it shall object thereto by written notice to Agent within five (5) Business Days after having received prior notice thereof.</w:t>
      </w:r>
    </w:p>
    <w:p>
      <w:pPr>
        <w:spacing w:after="0" w:line="182" w:lineRule="exact"/>
        <w:rPr>
          <w:sz w:val="20"/>
          <w:szCs w:val="20"/>
          <w:color w:val="auto"/>
        </w:rPr>
      </w:pPr>
    </w:p>
    <w:p>
      <w:pPr>
        <w:jc w:val="both"/>
        <w:ind w:firstLine="1497"/>
        <w:spacing w:after="0" w:line="233" w:lineRule="auto"/>
        <w:rPr>
          <w:sz w:val="20"/>
          <w:szCs w:val="20"/>
          <w:color w:val="auto"/>
        </w:rPr>
      </w:pPr>
      <w:r>
        <w:rPr>
          <w:rFonts w:ascii="Times New Roman" w:cs="Times New Roman" w:eastAsia="Times New Roman" w:hAnsi="Times New Roman"/>
          <w:sz w:val="22"/>
          <w:szCs w:val="22"/>
          <w:color w:val="auto"/>
        </w:rPr>
        <w:t>Any Lender, with the consent of Agent which shall not be unreasonably withheld or delayed, may directly or indirectly sell, assign or transfer all or any portion of its rights and obligations under or relating to Revolving Advances under this Agreement and the Other Documents to an entity, whether a corporation, partnership, trust, limited liability company or other entity that (i) is engaged in making, purchasing, holding or otherwise investing in bank loans and similar extensions of credit in the ordinary course of its business and (ii) is administered, serviced or managed by the assigning Lender or an Affiliate of such Lender (a "</w:t>
      </w:r>
      <w:r>
        <w:rPr>
          <w:rFonts w:ascii="Times New Roman" w:cs="Times New Roman" w:eastAsia="Times New Roman" w:hAnsi="Times New Roman"/>
          <w:sz w:val="22"/>
          <w:szCs w:val="22"/>
          <w:u w:val="single" w:color="auto"/>
          <w:color w:val="auto"/>
        </w:rPr>
        <w:t>Purchasing CLO</w:t>
      </w:r>
      <w:r>
        <w:rPr>
          <w:rFonts w:ascii="Times New Roman" w:cs="Times New Roman" w:eastAsia="Times New Roman" w:hAnsi="Times New Roman"/>
          <w:sz w:val="22"/>
          <w:szCs w:val="22"/>
          <w:color w:val="auto"/>
        </w:rPr>
        <w:t>" and together with each Participant and Purchasing Lender, each a "</w:t>
      </w:r>
      <w:r>
        <w:rPr>
          <w:rFonts w:ascii="Times New Roman" w:cs="Times New Roman" w:eastAsia="Times New Roman" w:hAnsi="Times New Roman"/>
          <w:sz w:val="22"/>
          <w:szCs w:val="22"/>
          <w:u w:val="single" w:color="auto"/>
          <w:color w:val="auto"/>
        </w:rPr>
        <w:t>Transferee</w:t>
      </w:r>
      <w:r>
        <w:rPr>
          <w:rFonts w:ascii="Times New Roman" w:cs="Times New Roman" w:eastAsia="Times New Roman" w:hAnsi="Times New Roman"/>
          <w:sz w:val="22"/>
          <w:szCs w:val="22"/>
          <w:color w:val="auto"/>
        </w:rPr>
        <w:t>" and collectively the "</w:t>
      </w:r>
      <w:r>
        <w:rPr>
          <w:rFonts w:ascii="Times New Roman" w:cs="Times New Roman" w:eastAsia="Times New Roman" w:hAnsi="Times New Roman"/>
          <w:sz w:val="22"/>
          <w:szCs w:val="22"/>
          <w:u w:val="single" w:color="auto"/>
          <w:color w:val="auto"/>
        </w:rPr>
        <w:t>Transferees</w:t>
      </w:r>
      <w:r>
        <w:rPr>
          <w:rFonts w:ascii="Times New Roman" w:cs="Times New Roman" w:eastAsia="Times New Roman" w:hAnsi="Times New Roman"/>
          <w:sz w:val="22"/>
          <w:szCs w:val="22"/>
          <w:color w:val="auto"/>
        </w:rPr>
        <w:t>"), pursuant to a Commitment Transfer Supplement modified as appropriate to reflect the interest being assigned ("</w:t>
      </w:r>
      <w:r>
        <w:rPr>
          <w:rFonts w:ascii="Times New Roman" w:cs="Times New Roman" w:eastAsia="Times New Roman" w:hAnsi="Times New Roman"/>
          <w:sz w:val="22"/>
          <w:szCs w:val="22"/>
          <w:u w:val="single" w:color="auto"/>
          <w:color w:val="auto"/>
        </w:rPr>
        <w:t>Modified Commitment Transfer Supplement</w:t>
      </w:r>
      <w:r>
        <w:rPr>
          <w:rFonts w:ascii="Times New Roman" w:cs="Times New Roman" w:eastAsia="Times New Roman" w:hAnsi="Times New Roman"/>
          <w:sz w:val="22"/>
          <w:szCs w:val="22"/>
          <w:color w:val="auto"/>
        </w:rPr>
        <w:t>"), executed by any intermediate purchaser, the Purchasing CLO, the transferor Lender, and Agent as appropriate and delivered to Agent for recording. Upon such execution and delivery, from and after the transfer effective date determined pursuant to such Modified Commitment Transfer Supplement, (i) Purchasing CLO thereunder shall be a party hereto and, to the extent provided in such Modified Commitment Transfer Supplement, have the rights and obligations of a Lender thereunder and (ii)</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15" w:name="page216"/>
    <w:bookmarkEnd w:id="215"/>
    <w:p>
      <w:pPr>
        <w:jc w:val="both"/>
        <w:spacing w:after="0" w:line="236" w:lineRule="auto"/>
        <w:rPr>
          <w:sz w:val="20"/>
          <w:szCs w:val="20"/>
          <w:color w:val="auto"/>
        </w:rPr>
      </w:pPr>
      <w:r>
        <w:rPr>
          <w:rFonts w:ascii="Times New Roman" w:cs="Times New Roman" w:eastAsia="Times New Roman" w:hAnsi="Times New Roman"/>
          <w:sz w:val="22"/>
          <w:szCs w:val="22"/>
          <w:color w:val="auto"/>
        </w:rPr>
        <w:t>the transferor Lender thereunder shall, to the extent provided in such Modified Commitment Transfer Supplement, be released from its obligations under this Agreement, the Modified Commitment Transfer Supplement creating a novation for that purpose. Such Modified Commitment Transfer Supplement shall be deemed to amend this Agreement to the extent, and only to the extent, necessary to reflect the addition of such Purchasing CLO. Each Borrower hereby consents to the addition of such Purchasing CLO. Borrowers shall execute and deliver such further documents and do such further acts and things in order to effectuate the foregoing.</w:t>
      </w:r>
    </w:p>
    <w:p>
      <w:pPr>
        <w:spacing w:after="0" w:line="181" w:lineRule="exact"/>
        <w:rPr>
          <w:sz w:val="20"/>
          <w:szCs w:val="20"/>
          <w:color w:val="auto"/>
        </w:rPr>
      </w:pPr>
    </w:p>
    <w:p>
      <w:pPr>
        <w:jc w:val="both"/>
        <w:ind w:firstLine="1497"/>
        <w:spacing w:after="0" w:line="234" w:lineRule="auto"/>
        <w:rPr>
          <w:sz w:val="20"/>
          <w:szCs w:val="20"/>
          <w:color w:val="auto"/>
        </w:rPr>
      </w:pPr>
      <w:r>
        <w:rPr>
          <w:rFonts w:ascii="Times New Roman" w:cs="Times New Roman" w:eastAsia="Times New Roman" w:hAnsi="Times New Roman"/>
          <w:sz w:val="22"/>
          <w:szCs w:val="22"/>
          <w:color w:val="auto"/>
        </w:rPr>
        <w:t>Agent shall maintain at its address a copy of each Commitment Transfer Supplement and Modified Commitment Transfer Supplement delivered to it and a register (the "</w:t>
      </w:r>
      <w:r>
        <w:rPr>
          <w:rFonts w:ascii="Times New Roman" w:cs="Times New Roman" w:eastAsia="Times New Roman" w:hAnsi="Times New Roman"/>
          <w:sz w:val="22"/>
          <w:szCs w:val="22"/>
          <w:u w:val="single" w:color="auto"/>
          <w:color w:val="auto"/>
        </w:rPr>
        <w:t>Register</w:t>
      </w:r>
      <w:r>
        <w:rPr>
          <w:rFonts w:ascii="Times New Roman" w:cs="Times New Roman" w:eastAsia="Times New Roman" w:hAnsi="Times New Roman"/>
          <w:sz w:val="22"/>
          <w:szCs w:val="22"/>
          <w:color w:val="auto"/>
        </w:rPr>
        <w:t>") for the recordation of the names and addresses of each Lender and the outstanding principal, accrued and unpaid interest and other fees due hereunder. The entries in the Register shall be conclusive, in the absence of manifest error, and each Borrower, Agent and Lenders may treat each Person whose name is recorded in the Register as the owner of the Advance recorded therein for the purposes of this Agreement. It is intended that the Register be maintained in such a manner that the loans and Advances are in "registered form" for the purposes of the Code. The Register shall be available for inspection by Borrowing Agent or any Lender at any reasonable time and from time to time upon reasonable prior notice. Agent shall receive a fee in the amount of $3,500 payable by the applicable Purchasing Lender and/or Purchasing CLO upon the effective date of each transfer or assignment (other than to an intermediate purchaser) to such Purchasing Lender and/or Purchasing CLO.</w:t>
      </w:r>
    </w:p>
    <w:p>
      <w:pPr>
        <w:spacing w:after="0" w:line="179"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Each Borrower authorizes each Lender to disclose to any Transferee and any prospective Transferee any and all financial information in such Lender's possession concerning such Borrower which has been delivered to such Lender by or on behalf of such Borrower pursuant to this Agreement or in connection with such Lender's credit evaluation of such Borrower.</w:t>
      </w:r>
    </w:p>
    <w:p>
      <w:pPr>
        <w:spacing w:after="0" w:line="173"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color w:val="auto"/>
        </w:rPr>
        <w:t xml:space="preserve">Notwithstanding anything to the contrary contained in this Agreement, any Lender may at any time and from time to time pledge or assign a security interest in all or any portion of its rights under this Agreement to secure obligations of such Lender, including any pledge or assignment to secure obligations to a Federal Reserve Bank;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 such pledge or assignment shall release such Lender from any of its obligations hereunder or substitute any such pledgee or assignee for such Lender as a party hereto.</w:t>
      </w:r>
    </w:p>
    <w:p>
      <w:pPr>
        <w:spacing w:after="0" w:line="177"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No such assignments by a Lender shall be made to (i) any Defaulting Lender or any of its Subsidiaries, or any Person who, upon becoming a Lender hereunder, would constitute a Defaulting Lender or a Subsidiary thereof, or (ii) a natural Person.</w:t>
      </w:r>
    </w:p>
    <w:p>
      <w:pPr>
        <w:spacing w:after="0" w:line="169" w:lineRule="exact"/>
        <w:rPr>
          <w:sz w:val="20"/>
          <w:szCs w:val="20"/>
          <w:color w:val="auto"/>
        </w:rPr>
      </w:pPr>
    </w:p>
    <w:p>
      <w:pPr>
        <w:jc w:val="both"/>
        <w:ind w:firstLine="1497"/>
        <w:spacing w:after="0" w:line="236" w:lineRule="auto"/>
        <w:rPr>
          <w:sz w:val="20"/>
          <w:szCs w:val="20"/>
          <w:color w:val="auto"/>
        </w:rPr>
      </w:pPr>
      <w:r>
        <w:rPr>
          <w:rFonts w:ascii="Times New Roman" w:cs="Times New Roman" w:eastAsia="Times New Roman" w:hAnsi="Times New Roman"/>
          <w:sz w:val="22"/>
          <w:szCs w:val="22"/>
          <w:b w:val="1"/>
          <w:bCs w:val="1"/>
          <w:u w:val="single" w:color="auto"/>
          <w:color w:val="auto"/>
        </w:rPr>
        <w:t>Application of Payments</w:t>
      </w:r>
      <w:r>
        <w:rPr>
          <w:rFonts w:ascii="Times New Roman" w:cs="Times New Roman" w:eastAsia="Times New Roman" w:hAnsi="Times New Roman"/>
          <w:sz w:val="22"/>
          <w:szCs w:val="22"/>
          <w:b w:val="1"/>
          <w:bCs w:val="1"/>
          <w:color w:val="auto"/>
        </w:rPr>
        <w:t>. Agent shall have the continuing and exclusive right to apply or reverse and re-apply any payment and any and all proceeds of Collateral to any portion of the Obligations. To the extent that any Borrower makes a payment or Agent or any Lender receives any payment or proceeds of the Collateral for any Borrower's benefit, which are subsequently invalidated, declared to be fraudulent or preferential, set aside or required to be repaid to a trustee, debtor in possession, receiver, custodian or any other party under any bankruptcy law, common law or equitable cause, then, to such extent, the Obligations or part thereof intended to be satisfied shall be revived and continue as if such payment or proceeds had not been received by Agent or such Lender.</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16" w:name="page217"/>
    <w:bookmarkEnd w:id="216"/>
    <w:p>
      <w:pPr>
        <w:jc w:val="both"/>
        <w:ind w:firstLine="1497"/>
        <w:spacing w:after="0" w:line="231" w:lineRule="auto"/>
        <w:rPr>
          <w:sz w:val="20"/>
          <w:szCs w:val="20"/>
          <w:color w:val="auto"/>
        </w:rPr>
      </w:pPr>
      <w:r>
        <w:rPr>
          <w:rFonts w:ascii="Times New Roman" w:cs="Times New Roman" w:eastAsia="Times New Roman" w:hAnsi="Times New Roman"/>
          <w:sz w:val="22"/>
          <w:szCs w:val="22"/>
          <w:b w:val="1"/>
          <w:bCs w:val="1"/>
          <w:u w:val="single" w:color="auto"/>
          <w:color w:val="auto"/>
        </w:rPr>
        <w:t>Indemnity</w:t>
      </w:r>
      <w:r>
        <w:rPr>
          <w:rFonts w:ascii="Times New Roman" w:cs="Times New Roman" w:eastAsia="Times New Roman" w:hAnsi="Times New Roman"/>
          <w:sz w:val="22"/>
          <w:szCs w:val="22"/>
          <w:b w:val="1"/>
          <w:bCs w:val="1"/>
          <w:color w:val="auto"/>
        </w:rPr>
        <w:t>. Each Borrower shall defend, protect, indemnify, pay and save harmless Agent, Green Loan Coordinator, Issuer, each Lender, each of their Affiliates and each of their respective officers, directors, attorneys, employees and agents (each an "</w:t>
      </w:r>
      <w:r>
        <w:rPr>
          <w:rFonts w:ascii="Times New Roman" w:cs="Times New Roman" w:eastAsia="Times New Roman" w:hAnsi="Times New Roman"/>
          <w:sz w:val="22"/>
          <w:szCs w:val="22"/>
          <w:b w:val="1"/>
          <w:bCs w:val="1"/>
          <w:u w:val="single" w:color="auto"/>
          <w:color w:val="auto"/>
        </w:rPr>
        <w:t>Indemnified Party</w:t>
      </w:r>
      <w:r>
        <w:rPr>
          <w:rFonts w:ascii="Times New Roman" w:cs="Times New Roman" w:eastAsia="Times New Roman" w:hAnsi="Times New Roman"/>
          <w:sz w:val="22"/>
          <w:szCs w:val="22"/>
          <w:b w:val="1"/>
          <w:bCs w:val="1"/>
          <w:color w:val="auto"/>
        </w:rPr>
        <w:t>") for and from and against any and all claims, demands, liabilities, obligations, losses, damages, penalties, fines, actions, judgments, suits, costs, charges, expenses and disbursements of any kind or nature whatsoever (including reasonable and documented fees and disbursements of counsel (including reasonable allocated costs of internal counsel)) (collectively, "</w:t>
      </w:r>
      <w:r>
        <w:rPr>
          <w:rFonts w:ascii="Times New Roman" w:cs="Times New Roman" w:eastAsia="Times New Roman" w:hAnsi="Times New Roman"/>
          <w:sz w:val="22"/>
          <w:szCs w:val="22"/>
          <w:b w:val="1"/>
          <w:bCs w:val="1"/>
          <w:u w:val="single" w:color="auto"/>
          <w:color w:val="auto"/>
        </w:rPr>
        <w:t>Claims</w:t>
      </w:r>
      <w:r>
        <w:rPr>
          <w:rFonts w:ascii="Times New Roman" w:cs="Times New Roman" w:eastAsia="Times New Roman" w:hAnsi="Times New Roman"/>
          <w:sz w:val="22"/>
          <w:szCs w:val="22"/>
          <w:b w:val="1"/>
          <w:bCs w:val="1"/>
          <w:color w:val="auto"/>
        </w:rPr>
        <w:t>") which may be imposed on, incurred by, or asserted by any Person (including, without limitation, any Credit Party) against any Indemnified Party in arising out of or in any way relating to or as a consequence, direct or indirect, of: (i) this Agreement, the Other Documents, the Advances and other Obligations and/or the transactions contemplated hereby including the Transactions, (ii) any action or failure to act or action taken only after delay or the satisfaction of any conditions by any Indemnified Party in connection with and/or relating to the negotiation, execution, delivery or administration of the Agreement and the Other Documents, the credit facilities established hereunder and thereunder and/or the transactions contemplated hereby including the Transactions, (iii) any Borrower's or any Guarantor's failure to observe, perform or discharge any of its covenants, obligations, agreements or duties under or breach of any of the representations or warranties made in this Agreement and the Other Documents, (iv) the enforcement of any of the rights and remedies of Agent, Green Loan Coordinator, Issuer or any Lender under the Agreement and the Other Documents, (v) any threatened or actual imposition of fines or penalties, or disgorgement of benefits, for violation of any Anti-Terrorism Law by any Borrower, any Covered Entity or Subsidiary of any Borrowers, or any Guarantor, and (vi) any claim, litigation, proceeding or investigation instituted or conducted by any Governmental Body or instrumentality or any other Person with respect to any aspect of, or any transaction contemplated by, or referred to in, or any matter related to, this Agreement or the Other Documents, whether or not Agent, Green Loan Coordinator or any Lender is a party thereto. Without limiting the generality of any of the foregoing, each Borrower shall defend, protect, indemnify, pay and save harmless each Indemnified Party from (x) any Claims which may be imposed on, incurred by, or asserted against any Indemnified Party by any Person (including, without limitation, any Credit Party) and arising out of or in any way relating to or as a consequence, direct or indirect, of the issuance of any Letter of Credit hereunder and (y) any Claims which may be imposed on, incurred by, or asserted against any Indemnified Party by any Person (including, without limitation, any Credit Party) under any Environmental Laws with respect to or in connection with the Real Property owned, leased or occupied by any Borrower, any discharge of Hazardous Material, the presence of any Hazardous Materials affecting the Real Property owned, leased or occupied by any Borrower (whether or not the same originates or emerges from such Real Property or any contiguous real estate), including any Claims consisting of or relating to the imposition or assertion of any Lien on any of the Real Property owned, leased or occupied by any Borrower under any Environmental Laws and any loss of value of the Real Property owned, leased or occupied by any Borrower as a result of the foregoing except to the extent such loss, liability, damage and expense is attributable to any discharge of Hazardous Material resulting from actions on the part of Agent, Green Loan Coordinator or any Lender. Borrowers' obligations under this Section 16.5 owned, leased or occupied by any Borrower shall arise upon the discovery of the presence of any Hazardous Materials at the Real Property, whether or not any federal, state, or local environmental agency has taken or threatened any action in connection with the presence of any Hazardous Materials, in each such case except to the extent that any of the foregoing arises out of the gross negligence, bad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17" w:name="page218"/>
    <w:bookmarkEnd w:id="217"/>
    <w:p>
      <w:pPr>
        <w:jc w:val="both"/>
        <w:spacing w:after="0" w:line="233" w:lineRule="auto"/>
        <w:rPr>
          <w:sz w:val="20"/>
          <w:szCs w:val="20"/>
          <w:color w:val="auto"/>
        </w:rPr>
      </w:pPr>
      <w:r>
        <w:rPr>
          <w:rFonts w:ascii="Times New Roman" w:cs="Times New Roman" w:eastAsia="Times New Roman" w:hAnsi="Times New Roman"/>
          <w:sz w:val="22"/>
          <w:szCs w:val="22"/>
          <w:b w:val="1"/>
          <w:bCs w:val="1"/>
          <w:color w:val="auto"/>
        </w:rPr>
        <w:t>faith or willful misconduct of the Indemnified Party (as determined by a court of competent jurisdiction in a final and non-appealable judgment). Without limiting the generality of the foregoing, this indemnity shall extend to any liabilities, obligations, losses, damages, penalties, actions, judgments, suits, costs, expenses and disbursements of any kind or nature whatsoever (including reasonable and documented fees and disbursements of counsel) asserted against or incurred by any of the Indemnified Parties by any Person (including, without limitation, any Credit Party) under any Environmental Laws or similar laws by reason of any Borrower's or any other Person's failure to comply with laws applicable to solid or hazardous waste materials, including Hazardous Materials or other Toxic Substances. Additionally, if any taxes (excluding taxes imposed upon or measured solely by the net income of Agent and Lenders, but including any intangibles taxes, stamp tax, recording tax or franchise tax) shall be payable by Agent, Lenders or Borrowers on account of the execution or delivery of this Agreement, or the execution, delivery, issuance or recording of any of the Other Documents, or the creation or repayment of any of the Obligations hereunder, by reason of any Applicable Law now or hereafter in effect, Borrowers will pay (or will promptly reimburse Agent and Lenders for payment of) all such taxes, including interest and penalties thereon, and will indemnify and hold the Indemnified Parties harmless from and against all liability in connection therewith. This Section 16.5 shall not apply with respect to Taxes other than any Taxes that represent losses, claims or damages arising from any non-Tax claim.</w:t>
      </w:r>
    </w:p>
    <w:p>
      <w:pPr>
        <w:spacing w:after="0" w:line="177" w:lineRule="exact"/>
        <w:rPr>
          <w:sz w:val="20"/>
          <w:szCs w:val="20"/>
          <w:color w:val="auto"/>
        </w:rPr>
      </w:pPr>
    </w:p>
    <w:p>
      <w:pPr>
        <w:jc w:val="both"/>
        <w:ind w:firstLine="1497"/>
        <w:spacing w:after="0" w:line="245" w:lineRule="auto"/>
        <w:rPr>
          <w:sz w:val="20"/>
          <w:szCs w:val="20"/>
          <w:color w:val="auto"/>
        </w:rPr>
      </w:pPr>
      <w:r>
        <w:rPr>
          <w:rFonts w:ascii="Times New Roman" w:cs="Times New Roman" w:eastAsia="Times New Roman" w:hAnsi="Times New Roman"/>
          <w:sz w:val="21"/>
          <w:szCs w:val="21"/>
          <w:b w:val="1"/>
          <w:bCs w:val="1"/>
          <w:u w:val="single" w:color="auto"/>
          <w:color w:val="auto"/>
        </w:rPr>
        <w:t>Notice</w:t>
      </w:r>
      <w:r>
        <w:rPr>
          <w:rFonts w:ascii="Times New Roman" w:cs="Times New Roman" w:eastAsia="Times New Roman" w:hAnsi="Times New Roman"/>
          <w:sz w:val="21"/>
          <w:szCs w:val="21"/>
          <w:b w:val="1"/>
          <w:bCs w:val="1"/>
          <w:color w:val="auto"/>
        </w:rPr>
        <w:t>. Any notice or request hereunder may be given to Borrowing Agent or any Borrower or to Agent or any Lender at their respective addresses set forth below or at such other address as may hereafter be specified in a notice designated as a notice of change of address under this Section. Any notice, request, demand, direction or other communication (for purposes of this Section 16.6 only, a "</w:t>
      </w:r>
      <w:r>
        <w:rPr>
          <w:rFonts w:ascii="Times New Roman" w:cs="Times New Roman" w:eastAsia="Times New Roman" w:hAnsi="Times New Roman"/>
          <w:sz w:val="21"/>
          <w:szCs w:val="21"/>
          <w:b w:val="1"/>
          <w:bCs w:val="1"/>
          <w:u w:val="single" w:color="auto"/>
          <w:color w:val="auto"/>
        </w:rPr>
        <w:t>Notice</w:t>
      </w:r>
      <w:r>
        <w:rPr>
          <w:rFonts w:ascii="Times New Roman" w:cs="Times New Roman" w:eastAsia="Times New Roman" w:hAnsi="Times New Roman"/>
          <w:sz w:val="21"/>
          <w:szCs w:val="21"/>
          <w:b w:val="1"/>
          <w:bCs w:val="1"/>
          <w:color w:val="auto"/>
        </w:rPr>
        <w:t>") to be given to or made upon any party hereto under any provision of this Agreement shall be given or made by telephone or in writing (which includes by means of electronic transmission (i.e., "e-mail") or facsimile transmission or by setting forth such Notice on a website to which Borrowers are directed (an "</w:t>
      </w:r>
      <w:r>
        <w:rPr>
          <w:rFonts w:ascii="Times New Roman" w:cs="Times New Roman" w:eastAsia="Times New Roman" w:hAnsi="Times New Roman"/>
          <w:sz w:val="21"/>
          <w:szCs w:val="21"/>
          <w:b w:val="1"/>
          <w:bCs w:val="1"/>
          <w:u w:val="single" w:color="auto"/>
          <w:color w:val="auto"/>
        </w:rPr>
        <w:t>Internet Posting</w:t>
      </w:r>
      <w:r>
        <w:rPr>
          <w:rFonts w:ascii="Times New Roman" w:cs="Times New Roman" w:eastAsia="Times New Roman" w:hAnsi="Times New Roman"/>
          <w:sz w:val="21"/>
          <w:szCs w:val="21"/>
          <w:b w:val="1"/>
          <w:bCs w:val="1"/>
          <w:color w:val="auto"/>
        </w:rPr>
        <w:t>") if Notice of such Internet Posting (including the information necessary to access such site) has previously been delivered to the applicable parties hereto by another means set forth in this Section 16.6) in accordance with this Section 16.6. Any such Notice must be delivered to the applicable parties hereto at the addresses and numbers set forth under their respective names on Section 16.6 hereof or in accordance with any subsequent unrevoked Notice from any such party that is given in accordance with this Section 16.6. Any Notice shall be effective:</w:t>
      </w:r>
    </w:p>
    <w:p>
      <w:pPr>
        <w:spacing w:after="0" w:line="18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In the case of hand-delivery, when delivered;</w:t>
      </w:r>
    </w:p>
    <w:p>
      <w:pPr>
        <w:spacing w:after="0" w:line="206"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If given by mail, four (4) days after such Notice is deposited with the United States Postal Service, with first-class postage prepaid, return receipt requested;</w:t>
      </w:r>
    </w:p>
    <w:p>
      <w:pPr>
        <w:spacing w:after="0" w:line="158"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In the case of a telephonic Notice, when a party is contacted by telephone, if delivery of such telephonic Notice is confirmed no later than the next Business Day by hand delivery, a facsimile or electronic transmission, an Internet Posting or an overnight courier delivery of a confirmatory Notice (received at or before noon on such next Business Day);</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18" w:name="page219"/>
    <w:bookmarkEnd w:id="218"/>
    <w:p>
      <w:pPr>
        <w:ind w:firstLine="1497"/>
        <w:spacing w:after="0" w:line="258" w:lineRule="auto"/>
        <w:rPr>
          <w:sz w:val="20"/>
          <w:szCs w:val="20"/>
          <w:color w:val="auto"/>
        </w:rPr>
      </w:pPr>
      <w:r>
        <w:rPr>
          <w:rFonts w:ascii="Times New Roman" w:cs="Times New Roman" w:eastAsia="Times New Roman" w:hAnsi="Times New Roman"/>
          <w:sz w:val="22"/>
          <w:szCs w:val="22"/>
          <w:color w:val="auto"/>
        </w:rPr>
        <w:t>In the case of a facsimile transmission, when sent to the applicable party's facsimile machine's telephone number, if the party sending such Notice receives confirmation of the delivery thereof from its own facsimile machine;</w:t>
      </w:r>
    </w:p>
    <w:p>
      <w:pPr>
        <w:spacing w:after="0" w:line="15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In the case of electronic transmission, when actually received;</w:t>
      </w:r>
    </w:p>
    <w:p>
      <w:pPr>
        <w:spacing w:after="0" w:line="206" w:lineRule="exact"/>
        <w:rPr>
          <w:sz w:val="20"/>
          <w:szCs w:val="20"/>
          <w:color w:val="auto"/>
        </w:rPr>
      </w:pPr>
    </w:p>
    <w:p>
      <w:pPr>
        <w:ind w:firstLine="1497"/>
        <w:spacing w:after="0" w:line="258" w:lineRule="auto"/>
        <w:rPr>
          <w:sz w:val="20"/>
          <w:szCs w:val="20"/>
          <w:color w:val="auto"/>
        </w:rPr>
      </w:pPr>
      <w:r>
        <w:rPr>
          <w:rFonts w:ascii="Times New Roman" w:cs="Times New Roman" w:eastAsia="Times New Roman" w:hAnsi="Times New Roman"/>
          <w:sz w:val="22"/>
          <w:szCs w:val="22"/>
          <w:color w:val="auto"/>
        </w:rPr>
        <w:t>In the case of an Internet Posting, upon delivery of a Notice of such posting (including the information necessary to access such site) by another means set forth in this Section 16.6; and</w:t>
      </w:r>
    </w:p>
    <w:p>
      <w:pPr>
        <w:spacing w:after="0" w:line="15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If given by any other means (including by overnight courier), when actually received.</w:t>
      </w:r>
    </w:p>
    <w:p>
      <w:pPr>
        <w:spacing w:after="0" w:line="210" w:lineRule="exact"/>
        <w:rPr>
          <w:sz w:val="20"/>
          <w:szCs w:val="20"/>
          <w:color w:val="auto"/>
        </w:rPr>
      </w:pPr>
    </w:p>
    <w:p>
      <w:pPr>
        <w:ind w:right="20" w:firstLine="749"/>
        <w:spacing w:after="0" w:line="295" w:lineRule="auto"/>
        <w:rPr>
          <w:sz w:val="20"/>
          <w:szCs w:val="20"/>
          <w:color w:val="auto"/>
        </w:rPr>
      </w:pPr>
      <w:r>
        <w:rPr>
          <w:rFonts w:ascii="Times New Roman" w:cs="Times New Roman" w:eastAsia="Times New Roman" w:hAnsi="Times New Roman"/>
          <w:sz w:val="22"/>
          <w:szCs w:val="22"/>
          <w:color w:val="auto"/>
        </w:rPr>
        <w:t>Any Lender giving a Notice to Borrowing Agent or any Borrower shall concurrently send a copy thereof to Agent, and Agent shall promptly notify the other Lenders of its receipt of such Notice.</w:t>
      </w:r>
    </w:p>
    <w:p>
      <w:pPr>
        <w:spacing w:after="0" w:line="131"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2"/>
          <w:szCs w:val="22"/>
          <w:color w:val="auto"/>
        </w:rPr>
        <w:t>(A) If to Agent or PNC at:</w:t>
      </w:r>
    </w:p>
    <w:p>
      <w:pPr>
        <w:spacing w:after="0" w:line="233"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color w:val="auto"/>
        </w:rPr>
        <w:t>PNC Bank, National Association</w:t>
      </w:r>
    </w:p>
    <w:p>
      <w:pPr>
        <w:spacing w:after="0" w:line="4"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color w:val="auto"/>
        </w:rPr>
        <w:t>One North Franklin, Suite 2500</w:t>
      </w:r>
    </w:p>
    <w:p>
      <w:pPr>
        <w:ind w:left="3000"/>
        <w:spacing w:after="0" w:line="230" w:lineRule="auto"/>
        <w:rPr>
          <w:sz w:val="20"/>
          <w:szCs w:val="20"/>
          <w:color w:val="auto"/>
        </w:rPr>
      </w:pPr>
      <w:r>
        <w:rPr>
          <w:rFonts w:ascii="Times New Roman" w:cs="Times New Roman" w:eastAsia="Times New Roman" w:hAnsi="Times New Roman"/>
          <w:sz w:val="22"/>
          <w:szCs w:val="22"/>
          <w:color w:val="auto"/>
        </w:rPr>
        <w:t>Chicago, Illinois 60606</w:t>
      </w:r>
    </w:p>
    <w:p>
      <w:pPr>
        <w:ind w:left="3000"/>
        <w:spacing w:after="0" w:line="231" w:lineRule="auto"/>
        <w:tabs>
          <w:tab w:leader="none" w:pos="4280" w:val="left"/>
        </w:tabs>
        <w:rPr>
          <w:sz w:val="20"/>
          <w:szCs w:val="20"/>
          <w:color w:val="auto"/>
        </w:rPr>
      </w:pPr>
      <w:r>
        <w:rPr>
          <w:rFonts w:ascii="Times New Roman" w:cs="Times New Roman" w:eastAsia="Times New Roman" w:hAnsi="Times New Roman"/>
          <w:sz w:val="22"/>
          <w:szCs w:val="22"/>
          <w:color w:val="auto"/>
        </w:rPr>
        <w:t>Attention:</w:t>
      </w:r>
      <w:r>
        <w:rPr>
          <w:sz w:val="20"/>
          <w:szCs w:val="20"/>
          <w:color w:val="auto"/>
        </w:rPr>
        <w:tab/>
      </w:r>
      <w:r>
        <w:rPr>
          <w:rFonts w:ascii="Times New Roman" w:cs="Times New Roman" w:eastAsia="Times New Roman" w:hAnsi="Times New Roman"/>
          <w:sz w:val="22"/>
          <w:szCs w:val="22"/>
          <w:color w:val="auto"/>
        </w:rPr>
        <w:t>Great Lakes Dredge &amp; Dock Portfolio Manager</w:t>
      </w:r>
    </w:p>
    <w:p>
      <w:pPr>
        <w:ind w:left="3000"/>
        <w:spacing w:after="0"/>
        <w:tabs>
          <w:tab w:leader="none" w:pos="4280" w:val="left"/>
        </w:tabs>
        <w:rPr>
          <w:sz w:val="20"/>
          <w:szCs w:val="20"/>
          <w:color w:val="auto"/>
        </w:rPr>
      </w:pPr>
      <w:r>
        <w:rPr>
          <w:rFonts w:ascii="Times New Roman" w:cs="Times New Roman" w:eastAsia="Times New Roman" w:hAnsi="Times New Roman"/>
          <w:sz w:val="22"/>
          <w:szCs w:val="22"/>
          <w:color w:val="auto"/>
        </w:rPr>
        <w:t>Facsimile:</w:t>
      </w:r>
      <w:r>
        <w:rPr>
          <w:sz w:val="20"/>
          <w:szCs w:val="20"/>
          <w:color w:val="auto"/>
        </w:rPr>
        <w:tab/>
      </w:r>
      <w:r>
        <w:rPr>
          <w:rFonts w:ascii="Times New Roman" w:cs="Times New Roman" w:eastAsia="Times New Roman" w:hAnsi="Times New Roman"/>
          <w:sz w:val="22"/>
          <w:szCs w:val="22"/>
          <w:color w:val="auto"/>
        </w:rPr>
        <w:t>(312) 338-8284</w:t>
      </w:r>
    </w:p>
    <w:p>
      <w:pPr>
        <w:spacing w:after="0" w:line="182"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22"/>
          <w:szCs w:val="22"/>
          <w:color w:val="auto"/>
        </w:rPr>
        <w:t>with a copy to:</w:t>
      </w:r>
    </w:p>
    <w:p>
      <w:pPr>
        <w:spacing w:after="0" w:line="233"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color w:val="auto"/>
        </w:rPr>
        <w:t>PNC Bank, National Association</w:t>
      </w:r>
    </w:p>
    <w:p>
      <w:pPr>
        <w:spacing w:after="0" w:line="4"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color w:val="auto"/>
        </w:rPr>
        <w:t>PNC Agency Services</w:t>
      </w:r>
    </w:p>
    <w:p>
      <w:pPr>
        <w:ind w:left="3000"/>
        <w:spacing w:after="0" w:line="230" w:lineRule="auto"/>
        <w:rPr>
          <w:sz w:val="20"/>
          <w:szCs w:val="20"/>
          <w:color w:val="auto"/>
        </w:rPr>
      </w:pPr>
      <w:r>
        <w:rPr>
          <w:rFonts w:ascii="Times New Roman" w:cs="Times New Roman" w:eastAsia="Times New Roman" w:hAnsi="Times New Roman"/>
          <w:sz w:val="22"/>
          <w:szCs w:val="22"/>
          <w:color w:val="auto"/>
        </w:rPr>
        <w:t>PNC Firstside Center</w:t>
      </w:r>
    </w:p>
    <w:p>
      <w:pPr>
        <w:ind w:left="3000"/>
        <w:spacing w:after="0" w:line="231" w:lineRule="auto"/>
        <w:rPr>
          <w:sz w:val="20"/>
          <w:szCs w:val="20"/>
          <w:color w:val="auto"/>
        </w:rPr>
      </w:pPr>
      <w:r>
        <w:rPr>
          <w:rFonts w:ascii="Times New Roman" w:cs="Times New Roman" w:eastAsia="Times New Roman" w:hAnsi="Times New Roman"/>
          <w:sz w:val="22"/>
          <w:szCs w:val="22"/>
          <w:color w:val="auto"/>
        </w:rPr>
        <w:t>500 First Avenue, 4th Floor</w:t>
      </w:r>
    </w:p>
    <w:p>
      <w:pPr>
        <w:ind w:left="3000"/>
        <w:spacing w:after="0" w:line="230" w:lineRule="auto"/>
        <w:rPr>
          <w:sz w:val="20"/>
          <w:szCs w:val="20"/>
          <w:color w:val="auto"/>
        </w:rPr>
      </w:pPr>
      <w:r>
        <w:rPr>
          <w:rFonts w:ascii="Times New Roman" w:cs="Times New Roman" w:eastAsia="Times New Roman" w:hAnsi="Times New Roman"/>
          <w:sz w:val="22"/>
          <w:szCs w:val="22"/>
          <w:color w:val="auto"/>
        </w:rPr>
        <w:t>Pittsburgh, Pennsylvania 15219</w:t>
      </w:r>
    </w:p>
    <w:p>
      <w:pPr>
        <w:ind w:left="3000"/>
        <w:spacing w:after="0" w:line="231" w:lineRule="auto"/>
        <w:tabs>
          <w:tab w:leader="none" w:pos="4280" w:val="left"/>
        </w:tabs>
        <w:rPr>
          <w:sz w:val="20"/>
          <w:szCs w:val="20"/>
          <w:color w:val="auto"/>
        </w:rPr>
      </w:pPr>
      <w:r>
        <w:rPr>
          <w:rFonts w:ascii="Times New Roman" w:cs="Times New Roman" w:eastAsia="Times New Roman" w:hAnsi="Times New Roman"/>
          <w:sz w:val="22"/>
          <w:szCs w:val="22"/>
          <w:color w:val="auto"/>
        </w:rPr>
        <w:t>Attention:</w:t>
      </w:r>
      <w:r>
        <w:rPr>
          <w:sz w:val="20"/>
          <w:szCs w:val="20"/>
          <w:color w:val="auto"/>
        </w:rPr>
        <w:tab/>
      </w:r>
      <w:r>
        <w:rPr>
          <w:rFonts w:ascii="Times New Roman" w:cs="Times New Roman" w:eastAsia="Times New Roman" w:hAnsi="Times New Roman"/>
          <w:sz w:val="22"/>
          <w:szCs w:val="22"/>
          <w:color w:val="auto"/>
        </w:rPr>
        <w:t>Lori Killmeyer</w:t>
      </w:r>
    </w:p>
    <w:p>
      <w:pPr>
        <w:ind w:left="3000"/>
        <w:spacing w:after="0" w:line="230" w:lineRule="auto"/>
        <w:tabs>
          <w:tab w:leader="none" w:pos="4280" w:val="left"/>
        </w:tabs>
        <w:rPr>
          <w:sz w:val="20"/>
          <w:szCs w:val="20"/>
          <w:color w:val="auto"/>
        </w:rPr>
      </w:pPr>
      <w:r>
        <w:rPr>
          <w:rFonts w:ascii="Times New Roman" w:cs="Times New Roman" w:eastAsia="Times New Roman" w:hAnsi="Times New Roman"/>
          <w:sz w:val="22"/>
          <w:szCs w:val="22"/>
          <w:color w:val="auto"/>
        </w:rPr>
        <w:t>Telephone:</w:t>
        <w:tab/>
        <w:t>(412) 762-7002</w:t>
      </w:r>
    </w:p>
    <w:p>
      <w:pPr>
        <w:spacing w:after="0" w:line="1" w:lineRule="exact"/>
        <w:rPr>
          <w:sz w:val="20"/>
          <w:szCs w:val="20"/>
          <w:color w:val="auto"/>
        </w:rPr>
      </w:pPr>
    </w:p>
    <w:p>
      <w:pPr>
        <w:ind w:left="3000"/>
        <w:spacing w:after="0"/>
        <w:tabs>
          <w:tab w:leader="none" w:pos="4280" w:val="left"/>
        </w:tabs>
        <w:rPr>
          <w:sz w:val="20"/>
          <w:szCs w:val="20"/>
          <w:color w:val="auto"/>
        </w:rPr>
      </w:pPr>
      <w:r>
        <w:rPr>
          <w:rFonts w:ascii="Times New Roman" w:cs="Times New Roman" w:eastAsia="Times New Roman" w:hAnsi="Times New Roman"/>
          <w:sz w:val="22"/>
          <w:szCs w:val="22"/>
          <w:color w:val="auto"/>
        </w:rPr>
        <w:t>Facsimile:</w:t>
      </w:r>
      <w:r>
        <w:rPr>
          <w:sz w:val="20"/>
          <w:szCs w:val="20"/>
          <w:color w:val="auto"/>
        </w:rPr>
        <w:tab/>
      </w:r>
      <w:r>
        <w:rPr>
          <w:rFonts w:ascii="Times New Roman" w:cs="Times New Roman" w:eastAsia="Times New Roman" w:hAnsi="Times New Roman"/>
          <w:sz w:val="22"/>
          <w:szCs w:val="22"/>
          <w:color w:val="auto"/>
        </w:rPr>
        <w:t>(412) 762-8672</w:t>
      </w:r>
    </w:p>
    <w:p>
      <w:pPr>
        <w:spacing w:after="0" w:line="182"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22"/>
          <w:szCs w:val="22"/>
          <w:color w:val="auto"/>
        </w:rPr>
        <w:t>with an additional copy to:</w:t>
      </w:r>
    </w:p>
    <w:p>
      <w:pPr>
        <w:spacing w:after="0" w:line="233"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color w:val="auto"/>
        </w:rPr>
        <w:t>Goldberg Kohn Ltd.</w:t>
      </w:r>
    </w:p>
    <w:p>
      <w:pPr>
        <w:spacing w:after="0" w:line="4"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color w:val="auto"/>
        </w:rPr>
        <w:t>55 East Monroe Street, Suite 3300</w:t>
      </w:r>
    </w:p>
    <w:p>
      <w:pPr>
        <w:ind w:left="3000"/>
        <w:spacing w:after="0" w:line="230" w:lineRule="auto"/>
        <w:rPr>
          <w:sz w:val="20"/>
          <w:szCs w:val="20"/>
          <w:color w:val="auto"/>
        </w:rPr>
      </w:pPr>
      <w:r>
        <w:rPr>
          <w:rFonts w:ascii="Times New Roman" w:cs="Times New Roman" w:eastAsia="Times New Roman" w:hAnsi="Times New Roman"/>
          <w:sz w:val="22"/>
          <w:szCs w:val="22"/>
          <w:color w:val="auto"/>
        </w:rPr>
        <w:t>Chicago, Illinois 60603</w:t>
      </w:r>
    </w:p>
    <w:tbl>
      <w:tblPr>
        <w:tblLayout w:type="fixed"/>
        <w:tblInd w:w="3000" w:type="dxa"/>
        <w:tblCellMar>
          <w:top w:w="0" w:type="dxa"/>
          <w:left w:w="0" w:type="dxa"/>
          <w:bottom w:w="0" w:type="dxa"/>
          <w:right w:w="0" w:type="dxa"/>
        </w:tblCellMar>
      </w:tblPr>
      <w:tr>
        <w:trPr>
          <w:trHeight w:val="220"/>
        </w:trPr>
        <w:tc>
          <w:tcPr>
            <w:tcW w:w="1140" w:type="dxa"/>
            <w:vAlign w:val="bottom"/>
          </w:tcPr>
          <w:p>
            <w:pPr>
              <w:spacing w:after="0" w:line="220" w:lineRule="exact"/>
              <w:rPr>
                <w:sz w:val="20"/>
                <w:szCs w:val="20"/>
                <w:color w:val="auto"/>
              </w:rPr>
            </w:pPr>
            <w:r>
              <w:rPr>
                <w:rFonts w:ascii="Times New Roman" w:cs="Times New Roman" w:eastAsia="Times New Roman" w:hAnsi="Times New Roman"/>
                <w:sz w:val="22"/>
                <w:szCs w:val="22"/>
                <w:color w:val="auto"/>
              </w:rPr>
              <w:t>Attention:</w:t>
            </w:r>
          </w:p>
        </w:tc>
        <w:tc>
          <w:tcPr>
            <w:tcW w:w="1940" w:type="dxa"/>
            <w:vAlign w:val="bottom"/>
          </w:tcPr>
          <w:p>
            <w:pPr>
              <w:ind w:left="160"/>
              <w:spacing w:after="0" w:line="220" w:lineRule="exact"/>
              <w:rPr>
                <w:sz w:val="20"/>
                <w:szCs w:val="20"/>
                <w:color w:val="auto"/>
              </w:rPr>
            </w:pPr>
            <w:r>
              <w:rPr>
                <w:rFonts w:ascii="Times New Roman" w:cs="Times New Roman" w:eastAsia="Times New Roman" w:hAnsi="Times New Roman"/>
                <w:sz w:val="22"/>
                <w:szCs w:val="22"/>
                <w:color w:val="auto"/>
                <w:w w:val="96"/>
              </w:rPr>
              <w:t>Jeffrey Dunlop, Esq.</w:t>
            </w:r>
          </w:p>
        </w:tc>
      </w:tr>
      <w:tr>
        <w:trPr>
          <w:trHeight w:val="243"/>
        </w:trPr>
        <w:tc>
          <w:tcPr>
            <w:tcW w:w="11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Telephone:</w:t>
            </w:r>
          </w:p>
        </w:tc>
        <w:tc>
          <w:tcPr>
            <w:tcW w:w="194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(312)-863-7128</w:t>
            </w:r>
          </w:p>
        </w:tc>
      </w:tr>
      <w:tr>
        <w:trPr>
          <w:trHeight w:val="282"/>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Facsimile:</w:t>
            </w:r>
          </w:p>
        </w:tc>
        <w:tc>
          <w:tcPr>
            <w:tcW w:w="194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(312) 863-7828</w:t>
            </w:r>
          </w:p>
        </w:tc>
      </w:tr>
    </w:tbl>
    <w:p>
      <w:pPr>
        <w:spacing w:after="0" w:line="177" w:lineRule="exact"/>
        <w:rPr>
          <w:sz w:val="20"/>
          <w:szCs w:val="20"/>
          <w:color w:val="auto"/>
        </w:rPr>
      </w:pPr>
    </w:p>
    <w:p>
      <w:pPr>
        <w:ind w:left="5400" w:right="2100" w:hanging="3146"/>
        <w:spacing w:after="0" w:line="847" w:lineRule="auto"/>
        <w:tabs>
          <w:tab w:leader="none" w:pos="2696"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to a Lender other than Agent, as specified on the signature pages hereof. -169-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wp:posOffset>
            </wp:positionV>
            <wp:extent cx="7157720" cy="425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19" w:name="page220"/>
    <w:bookmarkEnd w:id="219"/>
    <w:p>
      <w:pPr>
        <w:ind w:left="2260"/>
        <w:spacing w:after="0"/>
        <w:rPr>
          <w:sz w:val="20"/>
          <w:szCs w:val="20"/>
          <w:color w:val="auto"/>
        </w:rPr>
      </w:pPr>
      <w:r>
        <w:rPr>
          <w:rFonts w:ascii="Times New Roman" w:cs="Times New Roman" w:eastAsia="Times New Roman" w:hAnsi="Times New Roman"/>
          <w:sz w:val="22"/>
          <w:szCs w:val="22"/>
          <w:color w:val="auto"/>
        </w:rPr>
        <w:t>(C)  If to Borrowing Agent or any Borrower:</w:t>
      </w:r>
    </w:p>
    <w:p>
      <w:pPr>
        <w:spacing w:after="0" w:line="233"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color w:val="auto"/>
        </w:rPr>
        <w:t>Great Lakes Dredge &amp; Dock Corporation</w:t>
      </w:r>
    </w:p>
    <w:p>
      <w:pPr>
        <w:spacing w:after="0" w:line="4"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color w:val="auto"/>
        </w:rPr>
        <w:t>9811 Katy Freeway, Suite 1200</w:t>
      </w:r>
    </w:p>
    <w:p>
      <w:pPr>
        <w:ind w:left="3000"/>
        <w:spacing w:after="0" w:line="230" w:lineRule="auto"/>
        <w:rPr>
          <w:sz w:val="20"/>
          <w:szCs w:val="20"/>
          <w:color w:val="auto"/>
        </w:rPr>
      </w:pPr>
      <w:r>
        <w:rPr>
          <w:rFonts w:ascii="Times New Roman" w:cs="Times New Roman" w:eastAsia="Times New Roman" w:hAnsi="Times New Roman"/>
          <w:sz w:val="22"/>
          <w:szCs w:val="22"/>
          <w:color w:val="auto"/>
        </w:rPr>
        <w:t>Houston, Texas 77024</w:t>
      </w:r>
    </w:p>
    <w:p>
      <w:pPr>
        <w:ind w:left="3000"/>
        <w:spacing w:after="0" w:line="231" w:lineRule="auto"/>
        <w:tabs>
          <w:tab w:leader="none" w:pos="4280" w:val="left"/>
        </w:tabs>
        <w:rPr>
          <w:sz w:val="20"/>
          <w:szCs w:val="20"/>
          <w:color w:val="auto"/>
        </w:rPr>
      </w:pPr>
      <w:r>
        <w:rPr>
          <w:rFonts w:ascii="Times New Roman" w:cs="Times New Roman" w:eastAsia="Times New Roman" w:hAnsi="Times New Roman"/>
          <w:sz w:val="22"/>
          <w:szCs w:val="22"/>
          <w:color w:val="auto"/>
        </w:rPr>
        <w:t>Attention:</w:t>
      </w:r>
      <w:r>
        <w:rPr>
          <w:sz w:val="20"/>
          <w:szCs w:val="20"/>
          <w:color w:val="auto"/>
        </w:rPr>
        <w:tab/>
      </w:r>
      <w:r>
        <w:rPr>
          <w:rFonts w:ascii="Times New Roman" w:cs="Times New Roman" w:eastAsia="Times New Roman" w:hAnsi="Times New Roman"/>
          <w:sz w:val="22"/>
          <w:szCs w:val="22"/>
          <w:color w:val="auto"/>
        </w:rPr>
        <w:t>Chief Financial Officer</w:t>
      </w:r>
    </w:p>
    <w:p>
      <w:pPr>
        <w:ind w:left="3000"/>
        <w:spacing w:after="0"/>
        <w:tabs>
          <w:tab w:leader="none" w:pos="4280" w:val="left"/>
        </w:tabs>
        <w:rPr>
          <w:sz w:val="20"/>
          <w:szCs w:val="20"/>
          <w:color w:val="auto"/>
        </w:rPr>
      </w:pPr>
      <w:r>
        <w:rPr>
          <w:rFonts w:ascii="Times New Roman" w:cs="Times New Roman" w:eastAsia="Times New Roman" w:hAnsi="Times New Roman"/>
          <w:sz w:val="22"/>
          <w:szCs w:val="22"/>
          <w:color w:val="auto"/>
        </w:rPr>
        <w:t>Telephone:</w:t>
        <w:tab/>
        <w:t>(832) 262-9266</w:t>
      </w:r>
    </w:p>
    <w:p>
      <w:pPr>
        <w:spacing w:after="0" w:line="182"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22"/>
          <w:szCs w:val="22"/>
          <w:color w:val="auto"/>
        </w:rPr>
        <w:t>with a copy to:</w:t>
      </w:r>
    </w:p>
    <w:p>
      <w:pPr>
        <w:spacing w:after="0" w:line="233"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color w:val="auto"/>
        </w:rPr>
        <w:t>Great Lakes Dredge &amp; Dock Corporation</w:t>
      </w:r>
    </w:p>
    <w:p>
      <w:pPr>
        <w:spacing w:after="0" w:line="4"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color w:val="auto"/>
        </w:rPr>
        <w:t>9811 Katy Freeway, Suite 1200</w:t>
      </w:r>
    </w:p>
    <w:p>
      <w:pPr>
        <w:ind w:left="3000"/>
        <w:spacing w:after="0" w:line="230" w:lineRule="auto"/>
        <w:rPr>
          <w:sz w:val="20"/>
          <w:szCs w:val="20"/>
          <w:color w:val="auto"/>
        </w:rPr>
      </w:pPr>
      <w:r>
        <w:rPr>
          <w:rFonts w:ascii="Times New Roman" w:cs="Times New Roman" w:eastAsia="Times New Roman" w:hAnsi="Times New Roman"/>
          <w:sz w:val="22"/>
          <w:szCs w:val="22"/>
          <w:color w:val="auto"/>
        </w:rPr>
        <w:t>Houston, Texas 77024</w:t>
      </w:r>
    </w:p>
    <w:p>
      <w:pPr>
        <w:ind w:left="3000"/>
        <w:spacing w:after="0" w:line="231" w:lineRule="auto"/>
        <w:tabs>
          <w:tab w:leader="none" w:pos="4280" w:val="left"/>
        </w:tabs>
        <w:rPr>
          <w:sz w:val="20"/>
          <w:szCs w:val="20"/>
          <w:color w:val="auto"/>
        </w:rPr>
      </w:pPr>
      <w:r>
        <w:rPr>
          <w:rFonts w:ascii="Times New Roman" w:cs="Times New Roman" w:eastAsia="Times New Roman" w:hAnsi="Times New Roman"/>
          <w:sz w:val="22"/>
          <w:szCs w:val="22"/>
          <w:color w:val="auto"/>
        </w:rPr>
        <w:t>Attention:</w:t>
      </w:r>
      <w:r>
        <w:rPr>
          <w:sz w:val="20"/>
          <w:szCs w:val="20"/>
          <w:color w:val="auto"/>
        </w:rPr>
        <w:tab/>
      </w:r>
      <w:r>
        <w:rPr>
          <w:rFonts w:ascii="Times New Roman" w:cs="Times New Roman" w:eastAsia="Times New Roman" w:hAnsi="Times New Roman"/>
          <w:sz w:val="22"/>
          <w:szCs w:val="22"/>
          <w:color w:val="auto"/>
        </w:rPr>
        <w:t>Chief Legal Counsel</w:t>
      </w:r>
    </w:p>
    <w:p>
      <w:pPr>
        <w:ind w:left="3000"/>
        <w:spacing w:after="0"/>
        <w:tabs>
          <w:tab w:leader="none" w:pos="4280" w:val="left"/>
        </w:tabs>
        <w:rPr>
          <w:sz w:val="20"/>
          <w:szCs w:val="20"/>
          <w:color w:val="auto"/>
        </w:rPr>
      </w:pPr>
      <w:r>
        <w:rPr>
          <w:rFonts w:ascii="Times New Roman" w:cs="Times New Roman" w:eastAsia="Times New Roman" w:hAnsi="Times New Roman"/>
          <w:sz w:val="22"/>
          <w:szCs w:val="22"/>
          <w:color w:val="auto"/>
        </w:rPr>
        <w:t>Telephone:</w:t>
        <w:tab/>
        <w:t>(346) 359-1034</w:t>
      </w:r>
    </w:p>
    <w:p>
      <w:pPr>
        <w:spacing w:after="0" w:line="182"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22"/>
          <w:szCs w:val="22"/>
          <w:color w:val="auto"/>
        </w:rPr>
        <w:t>with an additional copy to:</w:t>
      </w:r>
    </w:p>
    <w:p>
      <w:pPr>
        <w:spacing w:after="0" w:line="233"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color w:val="auto"/>
        </w:rPr>
        <w:t>Jones Walker LLP</w:t>
      </w:r>
    </w:p>
    <w:p>
      <w:pPr>
        <w:spacing w:after="0" w:line="4"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color w:val="auto"/>
        </w:rPr>
        <w:t>201 St. Charles Avenue, Suite 5100</w:t>
      </w:r>
    </w:p>
    <w:p>
      <w:pPr>
        <w:ind w:left="3000"/>
        <w:spacing w:after="0" w:line="230" w:lineRule="auto"/>
        <w:rPr>
          <w:sz w:val="20"/>
          <w:szCs w:val="20"/>
          <w:color w:val="auto"/>
        </w:rPr>
      </w:pPr>
      <w:r>
        <w:rPr>
          <w:rFonts w:ascii="Times New Roman" w:cs="Times New Roman" w:eastAsia="Times New Roman" w:hAnsi="Times New Roman"/>
          <w:sz w:val="22"/>
          <w:szCs w:val="22"/>
          <w:color w:val="auto"/>
        </w:rPr>
        <w:t>New Orleans, Louisiana 70170</w:t>
      </w:r>
    </w:p>
    <w:p>
      <w:pPr>
        <w:ind w:left="3000"/>
        <w:spacing w:after="0" w:line="231" w:lineRule="auto"/>
        <w:tabs>
          <w:tab w:leader="none" w:pos="4280" w:val="left"/>
        </w:tabs>
        <w:rPr>
          <w:sz w:val="20"/>
          <w:szCs w:val="20"/>
          <w:color w:val="auto"/>
        </w:rPr>
      </w:pPr>
      <w:r>
        <w:rPr>
          <w:rFonts w:ascii="Times New Roman" w:cs="Times New Roman" w:eastAsia="Times New Roman" w:hAnsi="Times New Roman"/>
          <w:sz w:val="22"/>
          <w:szCs w:val="22"/>
          <w:color w:val="auto"/>
        </w:rPr>
        <w:t>Attention:</w:t>
      </w:r>
      <w:r>
        <w:rPr>
          <w:sz w:val="20"/>
          <w:szCs w:val="20"/>
          <w:color w:val="auto"/>
        </w:rPr>
        <w:tab/>
      </w:r>
      <w:r>
        <w:rPr>
          <w:rFonts w:ascii="Times New Roman" w:cs="Times New Roman" w:eastAsia="Times New Roman" w:hAnsi="Times New Roman"/>
          <w:sz w:val="22"/>
          <w:szCs w:val="22"/>
          <w:color w:val="auto"/>
        </w:rPr>
        <w:t>Amy Scafidel</w:t>
      </w:r>
    </w:p>
    <w:p>
      <w:pPr>
        <w:ind w:left="3000"/>
        <w:spacing w:after="0"/>
        <w:tabs>
          <w:tab w:leader="none" w:pos="4280" w:val="left"/>
        </w:tabs>
        <w:rPr>
          <w:sz w:val="20"/>
          <w:szCs w:val="20"/>
          <w:color w:val="auto"/>
        </w:rPr>
      </w:pPr>
      <w:r>
        <w:rPr>
          <w:rFonts w:ascii="Times New Roman" w:cs="Times New Roman" w:eastAsia="Times New Roman" w:hAnsi="Times New Roman"/>
          <w:sz w:val="22"/>
          <w:szCs w:val="22"/>
          <w:color w:val="auto"/>
        </w:rPr>
        <w:t>Telephone:</w:t>
        <w:tab/>
        <w:t>(504) 582-8462</w:t>
      </w:r>
    </w:p>
    <w:p>
      <w:pPr>
        <w:spacing w:after="0" w:line="178" w:lineRule="exact"/>
        <w:rPr>
          <w:sz w:val="20"/>
          <w:szCs w:val="20"/>
          <w:color w:val="auto"/>
        </w:rPr>
      </w:pPr>
    </w:p>
    <w:p>
      <w:pPr>
        <w:jc w:val="both"/>
        <w:ind w:firstLine="1497"/>
        <w:spacing w:after="0" w:line="246" w:lineRule="auto"/>
        <w:rPr>
          <w:sz w:val="20"/>
          <w:szCs w:val="20"/>
          <w:color w:val="auto"/>
        </w:rPr>
      </w:pPr>
      <w:r>
        <w:rPr>
          <w:rFonts w:ascii="Times New Roman" w:cs="Times New Roman" w:eastAsia="Times New Roman" w:hAnsi="Times New Roman"/>
          <w:sz w:val="22"/>
          <w:szCs w:val="22"/>
          <w:b w:val="1"/>
          <w:bCs w:val="1"/>
          <w:u w:val="single" w:color="auto"/>
          <w:color w:val="auto"/>
        </w:rPr>
        <w:t>Survival</w:t>
      </w:r>
      <w:r>
        <w:rPr>
          <w:rFonts w:ascii="Times New Roman" w:cs="Times New Roman" w:eastAsia="Times New Roman" w:hAnsi="Times New Roman"/>
          <w:sz w:val="22"/>
          <w:szCs w:val="22"/>
          <w:b w:val="1"/>
          <w:bCs w:val="1"/>
          <w:color w:val="auto"/>
        </w:rPr>
        <w:t>. The obligations of Borrowers under Sections 2.2(f), 2.2(g), 2.2(h), 3.7, 3.8, 3.9, 3.10, 16.5 and 16.9 and the obligations of Lenders under Sections 2.2, 2.15(b), 2.16, 2.18, 2.19, 14.8 and 16.5, shall survive termination of this Agreement and the Other Documents and payment in full of the Obligations.</w:t>
      </w:r>
    </w:p>
    <w:p>
      <w:pPr>
        <w:spacing w:after="0" w:line="167" w:lineRule="exact"/>
        <w:rPr>
          <w:sz w:val="20"/>
          <w:szCs w:val="20"/>
          <w:color w:val="auto"/>
        </w:rPr>
      </w:pPr>
    </w:p>
    <w:p>
      <w:pPr>
        <w:jc w:val="both"/>
        <w:ind w:firstLine="1497"/>
        <w:spacing w:after="0" w:line="246" w:lineRule="auto"/>
        <w:rPr>
          <w:sz w:val="20"/>
          <w:szCs w:val="20"/>
          <w:color w:val="auto"/>
        </w:rPr>
      </w:pPr>
      <w:r>
        <w:rPr>
          <w:rFonts w:ascii="Times New Roman" w:cs="Times New Roman" w:eastAsia="Times New Roman" w:hAnsi="Times New Roman"/>
          <w:sz w:val="22"/>
          <w:szCs w:val="22"/>
          <w:b w:val="1"/>
          <w:bCs w:val="1"/>
          <w:u w:val="single" w:color="auto"/>
          <w:color w:val="auto"/>
        </w:rPr>
        <w:t>Severability</w:t>
      </w:r>
      <w:r>
        <w:rPr>
          <w:rFonts w:ascii="Times New Roman" w:cs="Times New Roman" w:eastAsia="Times New Roman" w:hAnsi="Times New Roman"/>
          <w:sz w:val="22"/>
          <w:szCs w:val="22"/>
          <w:b w:val="1"/>
          <w:bCs w:val="1"/>
          <w:color w:val="auto"/>
        </w:rPr>
        <w:t>. If any part of this Agreement is contrary to, prohibited by, or deemed invalid under Applicable Laws, such provision shall be inapplicable and deemed omitted to the extent so contrary, prohibited or invalid, but the remainder hereof shall not be invalidated thereby and shall be given effect so far as possible.</w:t>
      </w:r>
    </w:p>
    <w:p>
      <w:pPr>
        <w:spacing w:after="0" w:line="167" w:lineRule="exact"/>
        <w:rPr>
          <w:sz w:val="20"/>
          <w:szCs w:val="20"/>
          <w:color w:val="auto"/>
        </w:rPr>
      </w:pPr>
    </w:p>
    <w:p>
      <w:pPr>
        <w:jc w:val="both"/>
        <w:ind w:firstLine="1497"/>
        <w:spacing w:after="0" w:line="234" w:lineRule="auto"/>
        <w:rPr>
          <w:sz w:val="20"/>
          <w:szCs w:val="20"/>
          <w:color w:val="auto"/>
        </w:rPr>
      </w:pPr>
      <w:r>
        <w:rPr>
          <w:rFonts w:ascii="Times New Roman" w:cs="Times New Roman" w:eastAsia="Times New Roman" w:hAnsi="Times New Roman"/>
          <w:sz w:val="22"/>
          <w:szCs w:val="22"/>
          <w:b w:val="1"/>
          <w:bCs w:val="1"/>
          <w:u w:val="single" w:color="auto"/>
          <w:color w:val="auto"/>
        </w:rPr>
        <w:t>Expenses</w:t>
      </w:r>
      <w:r>
        <w:rPr>
          <w:rFonts w:ascii="Times New Roman" w:cs="Times New Roman" w:eastAsia="Times New Roman" w:hAnsi="Times New Roman"/>
          <w:sz w:val="22"/>
          <w:szCs w:val="22"/>
          <w:b w:val="1"/>
          <w:bCs w:val="1"/>
          <w:color w:val="auto"/>
        </w:rPr>
        <w:t>. Borrowers shall pay (i) all out-of-pocket expenses incurred by Agent, Green Loan Coordinator and their Affiliates (including the reasonable and documented fees, charges and disbursements of counsel for Agent), and shall pay all fees and time charges and disbursements for attorneys who may be employees of Agent, in connection with the syndication of the credit facilities provided for herein, the preparation, negotiation, execution, delivery and administration of this Agreement and the Other Documents or any amendments, modifications or waivers of the provisions hereof or thereof (whether or not the transactions contemplated hereby or thereby shall be consummated), (ii) all out-of-pocket expenses incurred by Issuer in connection with the issuance, amendment, renewal or extension of any Letter of Credit or any demand for payment thereunder, (iii) all out-of-pocket expenses incurred by Agent, Green Loan Coordinator, any Lender or Issuer (including the reasonable and documented fees, charges and disbursements of any counsel for Agent, Green Loan Coordinator, any Lender or Issuer), and shall pay all fees and time charges for attorneys who may be employees of Agent, Green Loan Coordinator, any</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20" w:name="page221"/>
    <w:bookmarkEnd w:id="220"/>
    <w:p>
      <w:pPr>
        <w:jc w:val="both"/>
        <w:spacing w:after="0" w:line="250" w:lineRule="auto"/>
        <w:rPr>
          <w:sz w:val="20"/>
          <w:szCs w:val="20"/>
          <w:color w:val="auto"/>
        </w:rPr>
      </w:pPr>
      <w:r>
        <w:rPr>
          <w:rFonts w:ascii="Times New Roman" w:cs="Times New Roman" w:eastAsia="Times New Roman" w:hAnsi="Times New Roman"/>
          <w:sz w:val="21"/>
          <w:szCs w:val="21"/>
          <w:b w:val="1"/>
          <w:bCs w:val="1"/>
          <w:color w:val="auto"/>
        </w:rPr>
        <w:t>Lender or Issuer, in connection with the enforcement or protection of its rights (A) in connection with this Agreement and the Other Documents, including its rights under this Section, or (B) in connection with the Advances made or Letters of Credit issued hereunder, including all such out-of-pocket expenses incurred during any workout, restructuring or negotiations in respect of such Loans or Letters of Credit, and (iv) subject to any limitations set forth in Section 3.4 reasonable out-of-pocket expenses of Agent's regular employees and agents engaged periodically to perform audits of the any Borrower's or any Borrower's Affiliate's or Subsidiary's books, records and business properties.</w:t>
      </w:r>
    </w:p>
    <w:p>
      <w:pPr>
        <w:spacing w:after="0" w:line="165"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b w:val="1"/>
          <w:bCs w:val="1"/>
          <w:u w:val="single" w:color="auto"/>
          <w:color w:val="auto"/>
        </w:rPr>
        <w:t>Injunctive Relief</w:t>
      </w:r>
      <w:r>
        <w:rPr>
          <w:rFonts w:ascii="Times New Roman" w:cs="Times New Roman" w:eastAsia="Times New Roman" w:hAnsi="Times New Roman"/>
          <w:sz w:val="22"/>
          <w:szCs w:val="22"/>
          <w:b w:val="1"/>
          <w:bCs w:val="1"/>
          <w:color w:val="auto"/>
        </w:rPr>
        <w:t>. Each Borrower recognizes that, in the event any Borrower fails to perform, observe or discharge any of its obligations or liabilities under this Agreement, or threatens to fail to perform, observe or discharge such obligations or liabilities, any remedy at law may prove to be inadequate relief to Lenders; therefor, Agent, if Agent so requests, shall be entitled to temporary and permanent injunctive relief in any such case without the necessity of proving that actual damages are not an adequate remedy.</w:t>
      </w:r>
    </w:p>
    <w:p>
      <w:pPr>
        <w:spacing w:after="0" w:line="177"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b w:val="1"/>
          <w:bCs w:val="1"/>
          <w:u w:val="single" w:color="auto"/>
          <w:color w:val="auto"/>
        </w:rPr>
        <w:t>Consequential Damages</w:t>
      </w:r>
      <w:r>
        <w:rPr>
          <w:rFonts w:ascii="Times New Roman" w:cs="Times New Roman" w:eastAsia="Times New Roman" w:hAnsi="Times New Roman"/>
          <w:sz w:val="22"/>
          <w:szCs w:val="22"/>
          <w:b w:val="1"/>
          <w:bCs w:val="1"/>
          <w:color w:val="auto"/>
        </w:rPr>
        <w:t>. Neither Agent nor any Lender, nor any agent or attorney for any of them, shall be liable to any Borrower, or any Guarantor (or any Affiliate of any such Person) for indirect, punitive, exemplary or consequential damages (as opposed to direct or actual damages) arising from any breach of contract, tort or other wrong relating to the establishment, administration or collection of the Obligations or as a result of any transaction contemplated under this Agreement or any Other Document.</w:t>
      </w:r>
    </w:p>
    <w:p>
      <w:pPr>
        <w:spacing w:after="0" w:line="177" w:lineRule="exact"/>
        <w:rPr>
          <w:sz w:val="20"/>
          <w:szCs w:val="20"/>
          <w:color w:val="auto"/>
        </w:rPr>
      </w:pPr>
    </w:p>
    <w:p>
      <w:pPr>
        <w:jc w:val="both"/>
        <w:ind w:firstLine="1497"/>
        <w:spacing w:after="0" w:line="262" w:lineRule="auto"/>
        <w:rPr>
          <w:sz w:val="20"/>
          <w:szCs w:val="20"/>
          <w:color w:val="auto"/>
        </w:rPr>
      </w:pPr>
      <w:r>
        <w:rPr>
          <w:rFonts w:ascii="Times New Roman" w:cs="Times New Roman" w:eastAsia="Times New Roman" w:hAnsi="Times New Roman"/>
          <w:sz w:val="22"/>
          <w:szCs w:val="22"/>
          <w:b w:val="1"/>
          <w:bCs w:val="1"/>
          <w:u w:val="single" w:color="auto"/>
          <w:color w:val="auto"/>
        </w:rPr>
        <w:t>Captions</w:t>
      </w:r>
      <w:r>
        <w:rPr>
          <w:rFonts w:ascii="Times New Roman" w:cs="Times New Roman" w:eastAsia="Times New Roman" w:hAnsi="Times New Roman"/>
          <w:sz w:val="22"/>
          <w:szCs w:val="22"/>
          <w:b w:val="1"/>
          <w:bCs w:val="1"/>
          <w:color w:val="auto"/>
        </w:rPr>
        <w:t>. The captions at various places in this Agreement are intended for convenience only and do not constitute and shall not be interpreted as part of this Agreement.</w:t>
      </w:r>
    </w:p>
    <w:p>
      <w:pPr>
        <w:spacing w:after="0" w:line="150" w:lineRule="exact"/>
        <w:rPr>
          <w:sz w:val="20"/>
          <w:szCs w:val="20"/>
          <w:color w:val="auto"/>
        </w:rPr>
      </w:pPr>
    </w:p>
    <w:p>
      <w:pPr>
        <w:jc w:val="both"/>
        <w:ind w:firstLine="1497"/>
        <w:spacing w:after="0" w:line="256" w:lineRule="auto"/>
        <w:rPr>
          <w:sz w:val="20"/>
          <w:szCs w:val="20"/>
          <w:color w:val="auto"/>
        </w:rPr>
      </w:pPr>
      <w:r>
        <w:rPr>
          <w:rFonts w:ascii="Times New Roman" w:cs="Times New Roman" w:eastAsia="Times New Roman" w:hAnsi="Times New Roman"/>
          <w:sz w:val="21"/>
          <w:szCs w:val="21"/>
          <w:b w:val="1"/>
          <w:bCs w:val="1"/>
          <w:u w:val="single" w:color="auto"/>
          <w:color w:val="auto"/>
        </w:rPr>
        <w:t>Counterparts; Facsimile Signatures</w:t>
      </w:r>
      <w:r>
        <w:rPr>
          <w:rFonts w:ascii="Times New Roman" w:cs="Times New Roman" w:eastAsia="Times New Roman" w:hAnsi="Times New Roman"/>
          <w:sz w:val="21"/>
          <w:szCs w:val="21"/>
          <w:b w:val="1"/>
          <w:bCs w:val="1"/>
          <w:color w:val="auto"/>
        </w:rPr>
        <w:t>. This Agreement may be executed in any number of and by different parties hereto on separate counterparts, all of which, when so executed, shall be deemed an original, but all such counterparts shall constitute one and the same agreement. Any signature delivered by a party by facsimile or electronic transmission (including email transmission of a PDF image) shall be deemed to be an original signature hereto.</w:t>
      </w:r>
    </w:p>
    <w:p>
      <w:pPr>
        <w:spacing w:after="0" w:line="158" w:lineRule="exact"/>
        <w:rPr>
          <w:sz w:val="20"/>
          <w:szCs w:val="20"/>
          <w:color w:val="auto"/>
        </w:rPr>
      </w:pPr>
    </w:p>
    <w:p>
      <w:pPr>
        <w:jc w:val="both"/>
        <w:ind w:firstLine="1497"/>
        <w:spacing w:after="0" w:line="246" w:lineRule="auto"/>
        <w:rPr>
          <w:sz w:val="20"/>
          <w:szCs w:val="20"/>
          <w:color w:val="auto"/>
        </w:rPr>
      </w:pPr>
      <w:r>
        <w:rPr>
          <w:rFonts w:ascii="Times New Roman" w:cs="Times New Roman" w:eastAsia="Times New Roman" w:hAnsi="Times New Roman"/>
          <w:sz w:val="22"/>
          <w:szCs w:val="22"/>
          <w:b w:val="1"/>
          <w:bCs w:val="1"/>
          <w:u w:val="single" w:color="auto"/>
          <w:color w:val="auto"/>
        </w:rPr>
        <w:t>Construction</w:t>
      </w:r>
      <w:r>
        <w:rPr>
          <w:rFonts w:ascii="Times New Roman" w:cs="Times New Roman" w:eastAsia="Times New Roman" w:hAnsi="Times New Roman"/>
          <w:sz w:val="22"/>
          <w:szCs w:val="22"/>
          <w:b w:val="1"/>
          <w:bCs w:val="1"/>
          <w:color w:val="auto"/>
        </w:rPr>
        <w:t>. The parties acknowledge that each party and its counsel have reviewed this Agreement and that the normal rule of construction to the effect that any ambiguities are to be resolved against the drafting party shall not be employed in the interpretation of this Agreement or any amendments, schedules or exhibits thereto.</w:t>
      </w:r>
    </w:p>
    <w:p>
      <w:pPr>
        <w:spacing w:after="0" w:line="167" w:lineRule="exact"/>
        <w:rPr>
          <w:sz w:val="20"/>
          <w:szCs w:val="20"/>
          <w:color w:val="auto"/>
        </w:rPr>
      </w:pPr>
    </w:p>
    <w:p>
      <w:pPr>
        <w:jc w:val="both"/>
        <w:ind w:firstLine="1497"/>
        <w:spacing w:after="0" w:line="235" w:lineRule="auto"/>
        <w:rPr>
          <w:sz w:val="20"/>
          <w:szCs w:val="20"/>
          <w:color w:val="auto"/>
        </w:rPr>
      </w:pPr>
      <w:r>
        <w:rPr>
          <w:rFonts w:ascii="Times New Roman" w:cs="Times New Roman" w:eastAsia="Times New Roman" w:hAnsi="Times New Roman"/>
          <w:sz w:val="22"/>
          <w:szCs w:val="22"/>
          <w:b w:val="1"/>
          <w:bCs w:val="1"/>
          <w:u w:val="single" w:color="auto"/>
          <w:color w:val="auto"/>
        </w:rPr>
        <w:t>Confidentiality; Sharing Information</w:t>
      </w:r>
      <w:r>
        <w:rPr>
          <w:rFonts w:ascii="Times New Roman" w:cs="Times New Roman" w:eastAsia="Times New Roman" w:hAnsi="Times New Roman"/>
          <w:sz w:val="22"/>
          <w:szCs w:val="22"/>
          <w:b w:val="1"/>
          <w:bCs w:val="1"/>
          <w:color w:val="auto"/>
        </w:rPr>
        <w:t>. Agent, Green Loan Coordinator, Issuer, each Lender and each Transferee agrees to maintain the confidentiality of, and shall hold, all Information obtained by Agent, Green Loan Coordinator, Issuer, such Lender or such Transferee pursuant to the requirements of this Agreement in accordance with Agent's, Green Loan Coordinator's, such Lender's and such Transferee's customary procedures for handling confidential information of this nature and exercise the same degree of care to maintain the confidentiality of such Information as such Person would accord to its own confidential information; provided, however, Agent, Green Loan Coordinator, Issuer, each Lender and each Transferee may disclose such Information (a) to its examiners, Affiliates, outside auditors, counsel and other professional advisors (it being understood that the Persons to whom such disclosure is made will be informed</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21" w:name="page222"/>
    <w:bookmarkEnd w:id="221"/>
    <w:p>
      <w:pPr>
        <w:jc w:val="both"/>
        <w:spacing w:after="0" w:line="247" w:lineRule="auto"/>
        <w:rPr>
          <w:sz w:val="20"/>
          <w:szCs w:val="20"/>
          <w:color w:val="auto"/>
        </w:rPr>
      </w:pPr>
      <w:r>
        <w:rPr>
          <w:rFonts w:ascii="Times New Roman" w:cs="Times New Roman" w:eastAsia="Times New Roman" w:hAnsi="Times New Roman"/>
          <w:sz w:val="21"/>
          <w:szCs w:val="21"/>
          <w:b w:val="1"/>
          <w:bCs w:val="1"/>
          <w:color w:val="auto"/>
        </w:rPr>
        <w:t>of the confidential nature of such Information and instructed to keep such Information confidential in accordance with customary procedures for handling confidential information of this nature), (b) to Agent, Green Loan Coordinator, Issuer, any Lender or to any prospective Transferees (it being understood that such prospective Transferees to whom such disclosure is made will be informed of the confidential nature of such Information and instructed to keep such Information confidential in accordance with customary procedures for handling confidential information of this nature),</w:t>
      </w:r>
    </w:p>
    <w:p>
      <w:pPr>
        <w:jc w:val="both"/>
        <w:ind w:firstLine="8"/>
        <w:spacing w:after="0" w:line="241" w:lineRule="auto"/>
        <w:tabs>
          <w:tab w:leader="none" w:pos="302" w:val="left"/>
        </w:tabs>
        <w:numPr>
          <w:ilvl w:val="0"/>
          <w:numId w:val="11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as required or requested by any Governmental Body or representative thereof or pursuant to legal process and (d) in connection with, and to the extent reasonably necessary for, the exercise of any secured creditor remedy under this Agreement or under any Other Document; provided, further that (i) unless specifically prohibited by Applicable Law, Agent, Green Loan Coordinator, Issuer, each Lender and each Transferee shall use its reasonable best efforts prior to disclosure thereof, to notify the applicable Borrower of the applicable request for disclosure of such Information (A) by a Governmental Body or representative thereof (other than any such request in connection with an examination of the financial condition of a Lender, Issuer or a Transferee by such Governmental Body) or (B) pursuant to legal process and</w:t>
      </w:r>
    </w:p>
    <w:p>
      <w:pPr>
        <w:spacing w:after="0" w:line="3" w:lineRule="exact"/>
        <w:rPr>
          <w:rFonts w:ascii="Times New Roman" w:cs="Times New Roman" w:eastAsia="Times New Roman" w:hAnsi="Times New Roman"/>
          <w:sz w:val="21"/>
          <w:szCs w:val="21"/>
          <w:b w:val="1"/>
          <w:bCs w:val="1"/>
          <w:color w:val="auto"/>
        </w:rPr>
      </w:pPr>
    </w:p>
    <w:p>
      <w:pPr>
        <w:jc w:val="both"/>
        <w:ind w:firstLine="8"/>
        <w:spacing w:after="0" w:line="242" w:lineRule="auto"/>
        <w:tabs>
          <w:tab w:leader="none" w:pos="338" w:val="left"/>
        </w:tabs>
        <w:numPr>
          <w:ilvl w:val="0"/>
          <w:numId w:val="11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in no event shall Agent, Green Loan Coordinator, Issuer, any Lender or any Transferee be obligated to return any materials furnished by any Borrower other than those documents and instruments in possession of Agent or any Lender in order to perfect its Lien on the Collateral once the Obligations have been paid in full and this Agreement has been terminated. Each Borrower acknowledges that from time to time financial advisory, investment banking and other services may be offered or provided to such Borrower or one or more of its Affiliates (in connection with this Agreement or otherwise) by any Lender or by one or more Subsidiaries or Affiliates of such Lender and each Borrower hereby authorizes each Lender to share any Information delivered to such Lender by such Borrower and its Subsidiaries pursuant to this Agreement, or in connection with the decision of such Lender to enter into this Agreement, to any such Subsidiary or Affiliate of such Lender, it being understood that any such Subsidiary or Affiliate of any Lender receiving such Information shall be bound by the provisions of this Section 16.15 as if it were a Lender hereunder. Such authorization shall survive the repayment of the other Obligations and the termination of this Agreement. Notwithstanding any non-disclosure agreement or similar document executed by Agent or Green Loan Coordinator in favor of any Borrower or any of any Borrower's Affiliates, the provisions of this Agreement shall supersede such agreements. "Information" means all information received from any Credit Party or any Subsidiary thereof relating to any Credit Party or any Subsidiary thereof or any of their respective businesses, other than (a) any such information that is publicly available to Agent, Green Loan Coordinator, Issuer, any Lender or any Transferee prior to disclosure by any Credit Party or any Subsidiary thereof other than as a result of a breach of this Section, or (b) information not customarily considered confidential unless identified as confidential in writing by the Credit Parties.</w:t>
      </w:r>
    </w:p>
    <w:p>
      <w:pPr>
        <w:spacing w:after="0" w:line="179" w:lineRule="exact"/>
        <w:rPr>
          <w:sz w:val="20"/>
          <w:szCs w:val="20"/>
          <w:color w:val="auto"/>
        </w:rPr>
      </w:pPr>
    </w:p>
    <w:p>
      <w:pPr>
        <w:jc w:val="both"/>
        <w:ind w:firstLine="1497"/>
        <w:spacing w:after="0" w:line="241" w:lineRule="auto"/>
        <w:rPr>
          <w:sz w:val="20"/>
          <w:szCs w:val="20"/>
          <w:color w:val="auto"/>
        </w:rPr>
      </w:pPr>
      <w:r>
        <w:rPr>
          <w:rFonts w:ascii="Times New Roman" w:cs="Times New Roman" w:eastAsia="Times New Roman" w:hAnsi="Times New Roman"/>
          <w:sz w:val="22"/>
          <w:szCs w:val="22"/>
          <w:b w:val="1"/>
          <w:bCs w:val="1"/>
          <w:u w:val="single" w:color="auto"/>
          <w:color w:val="auto"/>
        </w:rPr>
        <w:t>Publicity</w:t>
      </w:r>
      <w:r>
        <w:rPr>
          <w:rFonts w:ascii="Times New Roman" w:cs="Times New Roman" w:eastAsia="Times New Roman" w:hAnsi="Times New Roman"/>
          <w:sz w:val="22"/>
          <w:szCs w:val="22"/>
          <w:b w:val="1"/>
          <w:bCs w:val="1"/>
          <w:color w:val="auto"/>
        </w:rPr>
        <w:t>. Each Borrower and each Lender hereby authorizes Agent and each Lender to make appropriate announcements of the financial arrangement entered into among Borrowers, Agent and Lenders, including announcements which are commonly known as tombstones, in such publications and to such selected parties as Agent or such Lender shall in its sole and absolute discretion deem appropriate.</w:t>
      </w: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22" w:name="page223"/>
    <w:bookmarkEnd w:id="222"/>
    <w:p>
      <w:pPr>
        <w:ind w:left="1500"/>
        <w:spacing w:after="0"/>
        <w:rPr>
          <w:sz w:val="20"/>
          <w:szCs w:val="20"/>
          <w:color w:val="auto"/>
        </w:rPr>
      </w:pPr>
      <w:r>
        <w:rPr>
          <w:rFonts w:ascii="Times New Roman" w:cs="Times New Roman" w:eastAsia="Times New Roman" w:hAnsi="Times New Roman"/>
          <w:sz w:val="22"/>
          <w:szCs w:val="22"/>
          <w:b w:val="1"/>
          <w:bCs w:val="1"/>
          <w:u w:val="single" w:color="auto"/>
          <w:color w:val="auto"/>
        </w:rPr>
        <w:t>Certifications From Banks and Participants; USA PATRIOT Act</w:t>
      </w:r>
      <w:r>
        <w:rPr>
          <w:rFonts w:ascii="Times New Roman" w:cs="Times New Roman" w:eastAsia="Times New Roman" w:hAnsi="Times New Roman"/>
          <w:sz w:val="22"/>
          <w:szCs w:val="22"/>
          <w:b w:val="1"/>
          <w:bCs w:val="1"/>
          <w:color w:val="auto"/>
        </w:rPr>
        <w:t>.</w:t>
      </w:r>
    </w:p>
    <w:p>
      <w:pPr>
        <w:spacing w:after="0" w:line="210" w:lineRule="exact"/>
        <w:rPr>
          <w:sz w:val="20"/>
          <w:szCs w:val="20"/>
          <w:color w:val="auto"/>
        </w:rPr>
      </w:pPr>
    </w:p>
    <w:p>
      <w:pPr>
        <w:jc w:val="both"/>
        <w:ind w:firstLine="1497"/>
        <w:spacing w:after="0" w:line="235" w:lineRule="auto"/>
        <w:rPr>
          <w:sz w:val="20"/>
          <w:szCs w:val="20"/>
          <w:color w:val="auto"/>
        </w:rPr>
      </w:pPr>
      <w:r>
        <w:rPr>
          <w:rFonts w:ascii="Times New Roman" w:cs="Times New Roman" w:eastAsia="Times New Roman" w:hAnsi="Times New Roman"/>
          <w:sz w:val="22"/>
          <w:szCs w:val="22"/>
          <w:color w:val="auto"/>
        </w:rPr>
        <w:t>Each Lender or assignee or participant of a Lender that is not incorporated under the Laws of the United States of America or a state thereof (and is not excepted from the certification requirement contained in Section 313 of the USA PATRIOT Act and the applicable regulations because it is both (i) an affiliate of a depository institution or foreign bank that maintains a physical presence in the United States or foreign country, and (ii) subject to supervision by a banking authority regulating such affiliated depository institution or foreign bank) shall deliver to Agent the certification, or, if applicable, recertification, certifying that such Lender is not a "shell" and certifying to other matters as required by Section 313 of the USA PATRIOT Act and the applicable regulations: (1) within ten (10) days after the Closing Date, and (2) as such other times as are required under the USA PATRIOT Act.</w:t>
      </w:r>
    </w:p>
    <w:p>
      <w:pPr>
        <w:spacing w:after="0" w:line="178"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color w:val="auto"/>
        </w:rPr>
        <w:t>The USA PATRIOT Act requires all financial institutions to obtain, verify and record certain information that identifies individuals or business entities which open an "account" with such financial institution. Consequently, Lender may from time to time request, and each Borrower shall provide to Lender, such Borrower's name, address, tax identification number and/or such other identifying information as shall be necessary for Lender to comply with the USA PATRIOT Act and any other Anti-Terrorism Law.</w:t>
      </w:r>
    </w:p>
    <w:p>
      <w:pPr>
        <w:spacing w:after="0" w:line="17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b w:val="1"/>
          <w:bCs w:val="1"/>
          <w:u w:val="single" w:color="auto"/>
          <w:color w:val="auto"/>
        </w:rPr>
        <w:t>Anti-Terrorism Laws; Anti-Corruption Laws</w:t>
      </w:r>
      <w:r>
        <w:rPr>
          <w:rFonts w:ascii="Times New Roman" w:cs="Times New Roman" w:eastAsia="Times New Roman" w:hAnsi="Times New Roman"/>
          <w:sz w:val="22"/>
          <w:szCs w:val="22"/>
          <w:b w:val="1"/>
          <w:bCs w:val="1"/>
          <w:color w:val="auto"/>
        </w:rPr>
        <w:t>.</w:t>
      </w:r>
    </w:p>
    <w:p>
      <w:pPr>
        <w:spacing w:after="0" w:line="210" w:lineRule="exact"/>
        <w:rPr>
          <w:sz w:val="20"/>
          <w:szCs w:val="20"/>
          <w:color w:val="auto"/>
        </w:rPr>
      </w:pPr>
    </w:p>
    <w:p>
      <w:pPr>
        <w:jc w:val="both"/>
        <w:ind w:firstLine="1497"/>
        <w:spacing w:after="0" w:line="248" w:lineRule="auto"/>
        <w:rPr>
          <w:sz w:val="20"/>
          <w:szCs w:val="20"/>
          <w:color w:val="auto"/>
        </w:rPr>
      </w:pPr>
      <w:r>
        <w:rPr>
          <w:rFonts w:ascii="Times New Roman" w:cs="Times New Roman" w:eastAsia="Times New Roman" w:hAnsi="Times New Roman"/>
          <w:sz w:val="21"/>
          <w:szCs w:val="21"/>
          <w:color w:val="auto"/>
        </w:rPr>
        <w:t>Each Borrower represents and warrants that (i) no Covered Entity, or to the knowledge of the Credit Parties and their Subsidiaries, any director, officer, employee, agent, affiliate or representative thereof, is a Sanctioned Person and (ii) no Covered Entity, or to the knowledge of the Credit Parties and their Subsidiaries, any director, officer, employee, agent, affiliate or representative thereof, either in its own right or through any third party, (A) has any of its assets in a Sanctioned Jurisdiction or in the possession, custody or control of a Sanctioned Person in violation of any Anti-Terrorism Law; (B) does business in or with, or derives any of its income from investments in or transactions with, any Sanctioned Jurisdiction or Sanctioned Person in violation of any Anti-Terrorism Law; or (C) engages in any dealings or transactions prohibited by any Anti-Terrorism Law.</w:t>
      </w:r>
    </w:p>
    <w:p>
      <w:pPr>
        <w:spacing w:after="0" w:line="170" w:lineRule="exact"/>
        <w:rPr>
          <w:sz w:val="20"/>
          <w:szCs w:val="20"/>
          <w:color w:val="auto"/>
        </w:rPr>
      </w:pPr>
    </w:p>
    <w:p>
      <w:pPr>
        <w:jc w:val="both"/>
        <w:ind w:firstLine="1497"/>
        <w:spacing w:after="0" w:line="234" w:lineRule="auto"/>
        <w:rPr>
          <w:sz w:val="20"/>
          <w:szCs w:val="20"/>
          <w:color w:val="auto"/>
        </w:rPr>
      </w:pPr>
      <w:r>
        <w:rPr>
          <w:rFonts w:ascii="Times New Roman" w:cs="Times New Roman" w:eastAsia="Times New Roman" w:hAnsi="Times New Roman"/>
          <w:sz w:val="22"/>
          <w:szCs w:val="22"/>
          <w:color w:val="auto"/>
        </w:rPr>
        <w:t>Each Borrower covenants and agrees that (i) no Covered Entity, or to the knowledge of the Credit Parties and their Subsidiaries, any director, officer, employee, agent, affiliate or representative thereof, will become a Sanctioned Person, (ii) no Covered Entity, or to the knowledge of the Credit Parties and their Subsidiaries, any director, officer, employee, agent, affiliate or representative thereof, either in its own right or through any third party, will (A) have any of its assets in a Sanctioned Jurisdiction or in the possession, custody or control of a Sanctioned Person in violation of any Anti-Terrorism Law; (B) do business in or with, or derive any of its income from investments in or transactions with, any Sanctioned Jurisdiction or Sanctioned Person in violation of any Anti-Terrorism Law; (C) engage in any dealings or transactions prohibited by any Anti-Terrorism Law or (D) use the Advances to fund any operations in, finance any investments or activities in, or, make any payments to, a Sanctioned Jurisdiction or Sanctioned Person in violation of any Anti-Terrorism Law, (iii) the funds used to repay the Obligations will not be derived from any unlawful activity, (iv) each Covered Entity shall comply with all</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23" w:name="page224"/>
    <w:bookmarkEnd w:id="223"/>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Anti-Terrorism Laws and (v) Borrowers shall promptly notify Agent in writing upon the occurrence of a Reportable Compliance Event.</w:t>
      </w:r>
    </w:p>
    <w:p>
      <w:pPr>
        <w:spacing w:after="0" w:line="158"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Each Borrower covenants and agrees that each Covered Entity shall conduct their business in compliance with all Anti-Corruption Laws and maintain policies and procedures designed to ensure compliance with such Laws.</w:t>
      </w:r>
    </w:p>
    <w:p>
      <w:pPr>
        <w:spacing w:after="0" w:line="15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Each Borrower hereby covenants and agrees that such Credit Party will not, and will not permit any of its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Subsidiaries to, directly or indirectly, use the Loans or any proceeds thereof for any purpose which would breach any Anti-</w:t>
      </w:r>
    </w:p>
    <w:p>
      <w:pPr>
        <w:spacing w:after="0"/>
        <w:rPr>
          <w:sz w:val="20"/>
          <w:szCs w:val="20"/>
          <w:color w:val="auto"/>
        </w:rPr>
      </w:pPr>
      <w:r>
        <w:rPr>
          <w:rFonts w:ascii="Times New Roman" w:cs="Times New Roman" w:eastAsia="Times New Roman" w:hAnsi="Times New Roman"/>
          <w:sz w:val="22"/>
          <w:szCs w:val="22"/>
          <w:color w:val="auto"/>
        </w:rPr>
        <w:t>Corruption Laws in any jurisdiction in which any Covered Entity conducts business.</w:t>
      </w:r>
    </w:p>
    <w:p>
      <w:pPr>
        <w:spacing w:after="0" w:line="148" w:lineRule="exact"/>
        <w:rPr>
          <w:sz w:val="20"/>
          <w:szCs w:val="20"/>
          <w:color w:val="auto"/>
        </w:rPr>
      </w:pPr>
    </w:p>
    <w:p>
      <w:pPr>
        <w:jc w:val="both"/>
        <w:ind w:firstLine="1497"/>
        <w:spacing w:after="0" w:line="258" w:lineRule="exact"/>
        <w:rPr>
          <w:sz w:val="20"/>
          <w:szCs w:val="20"/>
          <w:color w:val="auto"/>
        </w:rPr>
      </w:pPr>
      <w:r>
        <w:rPr>
          <w:rFonts w:ascii="Times New Roman" w:cs="Times New Roman" w:eastAsia="Times New Roman" w:hAnsi="Times New Roman"/>
          <w:sz w:val="22"/>
          <w:szCs w:val="22"/>
          <w:b w:val="1"/>
          <w:bCs w:val="1"/>
          <w:u w:val="single" w:color="auto"/>
          <w:color w:val="auto"/>
        </w:rPr>
        <w:t>Acknowledgment and Consent to Bail</w:t>
      </w:r>
      <w:r>
        <w:rPr>
          <w:rFonts w:ascii="MS PGothic" w:cs="MS PGothic" w:eastAsia="MS PGothic" w:hAnsi="MS PGothic"/>
          <w:sz w:val="22"/>
          <w:szCs w:val="22"/>
          <w:u w:val="single" w:color="auto"/>
          <w:color w:val="auto"/>
          <w:strike w:val="1"/>
        </w:rPr>
        <w:t>‑</w:t>
      </w:r>
      <w:r>
        <w:rPr>
          <w:rFonts w:ascii="Times New Roman" w:cs="Times New Roman" w:eastAsia="Times New Roman" w:hAnsi="Times New Roman"/>
          <w:sz w:val="22"/>
          <w:szCs w:val="22"/>
          <w:b w:val="1"/>
          <w:bCs w:val="1"/>
          <w:u w:val="single" w:color="auto"/>
          <w:color w:val="auto"/>
        </w:rPr>
        <w:t>In of Affected Financial Institutions</w:t>
      </w:r>
      <w:r>
        <w:rPr>
          <w:rFonts w:ascii="Times New Roman" w:cs="Times New Roman" w:eastAsia="Times New Roman" w:hAnsi="Times New Roman"/>
          <w:sz w:val="22"/>
          <w:szCs w:val="22"/>
          <w:b w:val="1"/>
          <w:bCs w:val="1"/>
          <w:color w:val="auto"/>
        </w:rPr>
        <w:t>. Notwithstanding anything to the contrary in this Agreement or any Other Document or in any other agreement, arrangement or understanding among any such parties, each party hereto acknowledges that any liability of any Affected Financial Institution arising under this Agreement or any Other Document, to the extent such liability is unsecured, may be subject to the write-down and conversion powers of an applicable Resolution Authority and agrees and consents to, and acknowledges and agrees to be bound by:</w:t>
      </w:r>
    </w:p>
    <w:p>
      <w:pPr>
        <w:spacing w:after="0" w:line="179" w:lineRule="exact"/>
        <w:rPr>
          <w:sz w:val="20"/>
          <w:szCs w:val="20"/>
          <w:color w:val="auto"/>
        </w:rPr>
      </w:pPr>
    </w:p>
    <w:p>
      <w:pPr>
        <w:jc w:val="both"/>
        <w:ind w:right="20" w:firstLine="1497"/>
        <w:spacing w:after="0" w:line="258" w:lineRule="auto"/>
        <w:rPr>
          <w:sz w:val="20"/>
          <w:szCs w:val="20"/>
          <w:color w:val="auto"/>
        </w:rPr>
      </w:pPr>
      <w:r>
        <w:rPr>
          <w:rFonts w:ascii="Times New Roman" w:cs="Times New Roman" w:eastAsia="Times New Roman" w:hAnsi="Times New Roman"/>
          <w:sz w:val="22"/>
          <w:szCs w:val="22"/>
          <w:color w:val="auto"/>
        </w:rPr>
        <w:t>the application of any Write-Down and Conversion Powers by an applicable Resolution Authority to any such liabilities arising hereunder which may be payable to it by any party hereto that is an Affected Financial Institution; and</w:t>
      </w:r>
    </w:p>
    <w:p>
      <w:pPr>
        <w:spacing w:after="0" w:line="15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the effects of any Bail-In Action on any such liability, including, if applicable:</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a reduction in full or in part or cancellation of any such liability;</w:t>
      </w:r>
    </w:p>
    <w:p>
      <w:pPr>
        <w:spacing w:after="0" w:line="206"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color w:val="auto"/>
        </w:rPr>
        <w:t>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Document; or</w:t>
      </w:r>
    </w:p>
    <w:p>
      <w:pPr>
        <w:spacing w:after="0" w:line="180" w:lineRule="exact"/>
        <w:rPr>
          <w:sz w:val="20"/>
          <w:szCs w:val="20"/>
          <w:color w:val="auto"/>
        </w:rPr>
      </w:pPr>
    </w:p>
    <w:p>
      <w:pPr>
        <w:jc w:val="both"/>
        <w:ind w:right="20" w:firstLine="1497"/>
        <w:spacing w:after="0" w:line="258" w:lineRule="auto"/>
        <w:rPr>
          <w:sz w:val="20"/>
          <w:szCs w:val="20"/>
          <w:color w:val="auto"/>
        </w:rPr>
      </w:pPr>
      <w:r>
        <w:rPr>
          <w:rFonts w:ascii="Times New Roman" w:cs="Times New Roman" w:eastAsia="Times New Roman" w:hAnsi="Times New Roman"/>
          <w:sz w:val="22"/>
          <w:szCs w:val="22"/>
          <w:color w:val="auto"/>
        </w:rPr>
        <w:t>the variation of the terms of such liability in connection with the exercise of the write-down and conversion powers of any applicable Resolution Authority.</w:t>
      </w:r>
    </w:p>
    <w:p>
      <w:pPr>
        <w:spacing w:after="0" w:line="154" w:lineRule="exact"/>
        <w:rPr>
          <w:sz w:val="20"/>
          <w:szCs w:val="20"/>
          <w:color w:val="auto"/>
        </w:rPr>
      </w:pPr>
    </w:p>
    <w:p>
      <w:pPr>
        <w:jc w:val="both"/>
        <w:ind w:firstLine="1497"/>
        <w:spacing w:after="0" w:line="247" w:lineRule="auto"/>
        <w:rPr>
          <w:sz w:val="20"/>
          <w:szCs w:val="20"/>
          <w:color w:val="auto"/>
        </w:rPr>
      </w:pPr>
      <w:r>
        <w:rPr>
          <w:rFonts w:ascii="Times New Roman" w:cs="Times New Roman" w:eastAsia="Times New Roman" w:hAnsi="Times New Roman"/>
          <w:sz w:val="21"/>
          <w:szCs w:val="21"/>
          <w:b w:val="1"/>
          <w:bCs w:val="1"/>
          <w:u w:val="single" w:color="auto"/>
          <w:color w:val="auto"/>
        </w:rPr>
        <w:t>Judgment Currency</w:t>
      </w:r>
      <w:r>
        <w:rPr>
          <w:rFonts w:ascii="Times New Roman" w:cs="Times New Roman" w:eastAsia="Times New Roman" w:hAnsi="Times New Roman"/>
          <w:sz w:val="21"/>
          <w:szCs w:val="21"/>
          <w:b w:val="1"/>
          <w:bCs w:val="1"/>
          <w:color w:val="auto"/>
        </w:rPr>
        <w:t>. If, for the purposes of obtaining judgment in any court, it is necessary to convert a sum due hereunder or under any Other Document in one currency into another currency, the rate of exchange used shall be that at which in accordance with normal banking procedures Agent could purchase the first currency with such other currency on the Business Day immediately preceding that on which final judgment is given. The obligation of each Borrower in respect of any such sum due from it to Agent or any Lender hereunder or under of the Other Documents shall, notwithstanding any judgment in a currency (the "Judgment Currency") other than that in which such sum is denominated in accordance with the applicable provisions of this Agreement (the "Agreement Currency"), be discharged only to the extent that on the Business Day following receipt by Agent or such Lender, as the case may be, of any sum adjudged to be so due in the Judgment Currency, Agent or such Lender, as the case may be, may in accordance with</w:t>
      </w: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24" w:name="page225"/>
    <w:bookmarkEnd w:id="224"/>
    <w:p>
      <w:pPr>
        <w:jc w:val="both"/>
        <w:spacing w:after="0" w:line="236" w:lineRule="auto"/>
        <w:rPr>
          <w:sz w:val="20"/>
          <w:szCs w:val="20"/>
          <w:color w:val="auto"/>
        </w:rPr>
      </w:pPr>
      <w:r>
        <w:rPr>
          <w:rFonts w:ascii="Times New Roman" w:cs="Times New Roman" w:eastAsia="Times New Roman" w:hAnsi="Times New Roman"/>
          <w:sz w:val="22"/>
          <w:szCs w:val="22"/>
          <w:b w:val="1"/>
          <w:bCs w:val="1"/>
          <w:color w:val="auto"/>
        </w:rPr>
        <w:t>normal banking procedures purchase the Agreement Currency with the Judgment Currency. If the amount of the Agreement Currency so purchased is less than the sum originally due to Agent or any Lender from any Borrower in the Agreement Currency, such Borrower agrees, as a separate obligation and notwithstanding any such judgment, to indemnify Agent or such Lender, as the case may be, against such loss. If the amount of the Agreement Currency so purchased is greater than the sum originally due to Agent or any Lender in such currency, Agent or such Lender, as the case may be, agrees to return the amount of any excess to such Borrower (or to any other Person that may be entitled thereto under applicable law).</w:t>
      </w:r>
    </w:p>
    <w:p>
      <w:pPr>
        <w:spacing w:after="0" w:line="176" w:lineRule="exact"/>
        <w:rPr>
          <w:sz w:val="20"/>
          <w:szCs w:val="20"/>
          <w:color w:val="auto"/>
        </w:rPr>
      </w:pPr>
    </w:p>
    <w:p>
      <w:pPr>
        <w:jc w:val="both"/>
        <w:ind w:firstLine="1497"/>
        <w:spacing w:after="0" w:line="237" w:lineRule="auto"/>
        <w:rPr>
          <w:sz w:val="20"/>
          <w:szCs w:val="20"/>
          <w:color w:val="auto"/>
        </w:rPr>
      </w:pPr>
      <w:r>
        <w:rPr>
          <w:rFonts w:ascii="Times New Roman" w:cs="Times New Roman" w:eastAsia="Times New Roman" w:hAnsi="Times New Roman"/>
          <w:sz w:val="22"/>
          <w:szCs w:val="22"/>
          <w:b w:val="1"/>
          <w:bCs w:val="1"/>
          <w:u w:val="single" w:color="auto"/>
          <w:color w:val="auto"/>
        </w:rPr>
        <w:t>Creditor-Debtor Relationship</w:t>
      </w:r>
      <w:r>
        <w:rPr>
          <w:rFonts w:ascii="Times New Roman" w:cs="Times New Roman" w:eastAsia="Times New Roman" w:hAnsi="Times New Roman"/>
          <w:sz w:val="22"/>
          <w:szCs w:val="22"/>
          <w:b w:val="1"/>
          <w:bCs w:val="1"/>
          <w:color w:val="auto"/>
        </w:rPr>
        <w:t>. The relationship between the Lenders and Agent, on the one hand, and the Credit Parties, on the other hand, is solely that of creditor and debtor. Neither Agent nor any Lender has (or shall be deemed to have) any fiduciary relationship or duty to any Credit Party arising out of or in connection with this Agreement or any Other Document or the transactions contemplated thereby, and there is no agency or joint venture relationship between Agent and Lenders, on the one hand, and the Credit Parties, on the other hand, by virtue of this Agreement or any Other Document or any transaction contemplated therein.</w:t>
      </w:r>
    </w:p>
    <w:p>
      <w:pPr>
        <w:spacing w:after="0" w:line="175" w:lineRule="exact"/>
        <w:rPr>
          <w:sz w:val="20"/>
          <w:szCs w:val="20"/>
          <w:color w:val="auto"/>
        </w:rPr>
      </w:pPr>
    </w:p>
    <w:p>
      <w:pPr>
        <w:jc w:val="both"/>
        <w:ind w:firstLine="1497"/>
        <w:spacing w:after="0" w:line="235" w:lineRule="auto"/>
        <w:rPr>
          <w:sz w:val="20"/>
          <w:szCs w:val="20"/>
          <w:color w:val="auto"/>
        </w:rPr>
      </w:pPr>
      <w:r>
        <w:rPr>
          <w:rFonts w:ascii="Times New Roman" w:cs="Times New Roman" w:eastAsia="Times New Roman" w:hAnsi="Times New Roman"/>
          <w:sz w:val="22"/>
          <w:szCs w:val="22"/>
          <w:b w:val="1"/>
          <w:bCs w:val="1"/>
          <w:u w:val="single" w:color="auto"/>
          <w:color w:val="auto"/>
        </w:rPr>
        <w:t>Acknowledgement Regarding Any Supported QFCs</w:t>
      </w:r>
      <w:r>
        <w:rPr>
          <w:rFonts w:ascii="Times New Roman" w:cs="Times New Roman" w:eastAsia="Times New Roman" w:hAnsi="Times New Roman"/>
          <w:sz w:val="22"/>
          <w:szCs w:val="22"/>
          <w:b w:val="1"/>
          <w:bCs w:val="1"/>
          <w:color w:val="auto"/>
        </w:rPr>
        <w:t>. To the extent that the Other Documents provide support, through a guarantee or otherwise, for Lender-Provided Interest Rate Hedge or Lender-Provided Foreign Currency Hedge or any other agreement or instrument that is a QFC (such support, "</w:t>
      </w:r>
      <w:r>
        <w:rPr>
          <w:rFonts w:ascii="Times New Roman" w:cs="Times New Roman" w:eastAsia="Times New Roman" w:hAnsi="Times New Roman"/>
          <w:sz w:val="22"/>
          <w:szCs w:val="22"/>
          <w:b w:val="1"/>
          <w:bCs w:val="1"/>
          <w:u w:val="single" w:color="auto"/>
          <w:color w:val="auto"/>
        </w:rPr>
        <w:t>QFC Credit Support</w:t>
      </w:r>
      <w:r>
        <w:rPr>
          <w:rFonts w:ascii="Times New Roman" w:cs="Times New Roman" w:eastAsia="Times New Roman" w:hAnsi="Times New Roman"/>
          <w:sz w:val="22"/>
          <w:szCs w:val="22"/>
          <w:b w:val="1"/>
          <w:bCs w:val="1"/>
          <w:color w:val="auto"/>
        </w:rPr>
        <w:t>" and each such QFC a "</w:t>
      </w:r>
      <w:r>
        <w:rPr>
          <w:rFonts w:ascii="Times New Roman" w:cs="Times New Roman" w:eastAsia="Times New Roman" w:hAnsi="Times New Roman"/>
          <w:sz w:val="22"/>
          <w:szCs w:val="22"/>
          <w:b w:val="1"/>
          <w:bCs w:val="1"/>
          <w:u w:val="single" w:color="auto"/>
          <w:color w:val="auto"/>
        </w:rPr>
        <w:t>Supported QFC</w:t>
      </w:r>
      <w:r>
        <w:rPr>
          <w:rFonts w:ascii="Times New Roman" w:cs="Times New Roman" w:eastAsia="Times New Roman" w:hAnsi="Times New Roman"/>
          <w:sz w:val="22"/>
          <w:szCs w:val="22"/>
          <w:b w:val="1"/>
          <w:bCs w:val="1"/>
          <w:color w:val="auto"/>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 w:cs="Times New Roman" w:eastAsia="Times New Roman" w:hAnsi="Times New Roman"/>
          <w:sz w:val="22"/>
          <w:szCs w:val="22"/>
          <w:b w:val="1"/>
          <w:bCs w:val="1"/>
          <w:u w:val="single" w:color="auto"/>
          <w:color w:val="auto"/>
        </w:rPr>
        <w:t>U.S. Special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Resolution Regimes</w:t>
      </w:r>
      <w:r>
        <w:rPr>
          <w:rFonts w:ascii="Times New Roman" w:cs="Times New Roman" w:eastAsia="Times New Roman" w:hAnsi="Times New Roman"/>
          <w:sz w:val="22"/>
          <w:szCs w:val="22"/>
          <w:b w:val="1"/>
          <w:bCs w:val="1"/>
          <w:color w:val="auto"/>
        </w:rPr>
        <w:t>") in respect of such Supported QFC and QFC Credit Support (with the provisions below applicable notwithstanding that the Other Documents and any Supported QFC may in fact be stated to be governed by the laws of the State of New York or of the United States or any other state of the United States):</w:t>
      </w:r>
    </w:p>
    <w:p>
      <w:pPr>
        <w:spacing w:after="0" w:line="178" w:lineRule="exact"/>
        <w:rPr>
          <w:sz w:val="20"/>
          <w:szCs w:val="20"/>
          <w:color w:val="auto"/>
        </w:rPr>
      </w:pPr>
    </w:p>
    <w:p>
      <w:pPr>
        <w:jc w:val="both"/>
        <w:ind w:firstLine="1505"/>
        <w:spacing w:after="0" w:line="245" w:lineRule="auto"/>
        <w:tabs>
          <w:tab w:leader="none" w:pos="1929" w:val="left"/>
        </w:tabs>
        <w:numPr>
          <w:ilvl w:val="0"/>
          <w:numId w:val="1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a QFC Covered Entity (as defined below) that is party to a Supported QFC (each, a "</w:t>
      </w:r>
      <w:r>
        <w:rPr>
          <w:rFonts w:ascii="Times New Roman" w:cs="Times New Roman" w:eastAsia="Times New Roman" w:hAnsi="Times New Roman"/>
          <w:sz w:val="21"/>
          <w:szCs w:val="21"/>
          <w:u w:val="single" w:color="auto"/>
          <w:color w:val="auto"/>
        </w:rPr>
        <w:t>Covered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Party</w:t>
      </w:r>
      <w:r>
        <w:rPr>
          <w:rFonts w:ascii="Times New Roman" w:cs="Times New Roman" w:eastAsia="Times New Roman" w:hAnsi="Times New Roman"/>
          <w:sz w:val="21"/>
          <w:szCs w:val="21"/>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Other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Other Documents were governed by the laws of the United States or a state of the United States.</w:t>
      </w:r>
    </w:p>
    <w:p>
      <w:pPr>
        <w:spacing w:after="0" w:line="177" w:lineRule="exact"/>
        <w:rPr>
          <w:rFonts w:ascii="Times New Roman" w:cs="Times New Roman" w:eastAsia="Times New Roman" w:hAnsi="Times New Roman"/>
          <w:sz w:val="21"/>
          <w:szCs w:val="21"/>
          <w:color w:val="auto"/>
        </w:rPr>
      </w:pPr>
    </w:p>
    <w:p>
      <w:pPr>
        <w:ind w:left="1940" w:hanging="435"/>
        <w:spacing w:after="0"/>
        <w:tabs>
          <w:tab w:leader="none" w:pos="1940"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used in this Section 16.22, the following terms have the following meanings: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25" w:name="page226"/>
    <w:bookmarkEnd w:id="225"/>
    <w:p>
      <w:pPr>
        <w:ind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BHC Act Affiliate</w:t>
      </w:r>
      <w:r>
        <w:rPr>
          <w:rFonts w:ascii="Times New Roman" w:cs="Times New Roman" w:eastAsia="Times New Roman" w:hAnsi="Times New Roman"/>
          <w:sz w:val="22"/>
          <w:szCs w:val="22"/>
          <w:color w:val="auto"/>
        </w:rPr>
        <w:t>" of a party means an "affiliate" (as such term is defined under, and interpreted in accordance with, 12 U.S.C. 1841(k)) of such party.</w:t>
      </w:r>
    </w:p>
    <w:p>
      <w:pPr>
        <w:spacing w:after="0" w:line="15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Default Right</w:t>
      </w:r>
      <w:r>
        <w:rPr>
          <w:rFonts w:ascii="Times New Roman" w:cs="Times New Roman" w:eastAsia="Times New Roman" w:hAnsi="Times New Roman"/>
          <w:sz w:val="21"/>
          <w:szCs w:val="21"/>
          <w:color w:val="auto"/>
        </w:rPr>
        <w:t>" has the meaning assigned to that term in, and shall be interpreted in accordance with, 12 C.F.R.</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252.81, 47.2 or 382.1, as applicable.</w:t>
      </w:r>
    </w:p>
    <w:p>
      <w:pPr>
        <w:spacing w:after="0" w:line="182" w:lineRule="exact"/>
        <w:rPr>
          <w:sz w:val="20"/>
          <w:szCs w:val="20"/>
          <w:color w:val="auto"/>
        </w:rPr>
      </w:pPr>
    </w:p>
    <w:p>
      <w:pPr>
        <w:ind w:firstLine="14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QFC</w:t>
      </w:r>
      <w:r>
        <w:rPr>
          <w:rFonts w:ascii="Times New Roman" w:cs="Times New Roman" w:eastAsia="Times New Roman" w:hAnsi="Times New Roman"/>
          <w:sz w:val="22"/>
          <w:szCs w:val="22"/>
          <w:color w:val="auto"/>
        </w:rPr>
        <w:t>" has the meaning assigned to the term "qualified financial contract" in, and shall be interpreted in accordance with, 12 U.S.C. 5390(c)(8)(D).</w:t>
      </w:r>
    </w:p>
    <w:p>
      <w:pPr>
        <w:spacing w:after="0" w:line="15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QFC Covered Entity</w:t>
      </w:r>
      <w:r>
        <w:rPr>
          <w:rFonts w:ascii="Times New Roman" w:cs="Times New Roman" w:eastAsia="Times New Roman" w:hAnsi="Times New Roman"/>
          <w:sz w:val="22"/>
          <w:szCs w:val="22"/>
          <w:color w:val="auto"/>
        </w:rPr>
        <w:t>" means any of the following:</w:t>
      </w:r>
    </w:p>
    <w:p>
      <w:pPr>
        <w:spacing w:after="0" w:line="210" w:lineRule="exact"/>
        <w:rPr>
          <w:sz w:val="20"/>
          <w:szCs w:val="20"/>
          <w:color w:val="auto"/>
        </w:rPr>
      </w:pPr>
    </w:p>
    <w:p>
      <w:pPr>
        <w:ind w:left="1960" w:hanging="455"/>
        <w:spacing w:after="0"/>
        <w:tabs>
          <w:tab w:leader="none" w:pos="1960"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"covered entity" as that term is defined in, and interpreted in accordance with, 12 C.F.R. § 252.82(b);</w:t>
      </w:r>
    </w:p>
    <w:p>
      <w:pPr>
        <w:spacing w:after="0" w:line="233" w:lineRule="exact"/>
        <w:rPr>
          <w:rFonts w:ascii="Times New Roman" w:cs="Times New Roman" w:eastAsia="Times New Roman" w:hAnsi="Times New Roman"/>
          <w:sz w:val="22"/>
          <w:szCs w:val="22"/>
          <w:color w:val="auto"/>
        </w:rPr>
      </w:pPr>
    </w:p>
    <w:p>
      <w:pPr>
        <w:ind w:left="1960" w:hanging="455"/>
        <w:spacing w:after="0"/>
        <w:tabs>
          <w:tab w:leader="none" w:pos="1960"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"covered bank" as that term is defined in, and interpreted in accordance with, 12 C.F.R. § 47.3(b); or</w:t>
      </w:r>
    </w:p>
    <w:p>
      <w:pPr>
        <w:spacing w:after="0" w:line="233" w:lineRule="exact"/>
        <w:rPr>
          <w:rFonts w:ascii="Times New Roman" w:cs="Times New Roman" w:eastAsia="Times New Roman" w:hAnsi="Times New Roman"/>
          <w:sz w:val="22"/>
          <w:szCs w:val="22"/>
          <w:color w:val="auto"/>
        </w:rPr>
      </w:pPr>
    </w:p>
    <w:p>
      <w:pPr>
        <w:ind w:left="1960" w:hanging="455"/>
        <w:spacing w:after="0"/>
        <w:tabs>
          <w:tab w:leader="none" w:pos="1960"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"covered FSI" as that term is defined in, and interpreted in accordance with, 12 C.F.R. § 382.2(b).</w:t>
      </w:r>
    </w:p>
    <w:p>
      <w:pPr>
        <w:spacing w:after="0" w:line="225"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b w:val="1"/>
          <w:bCs w:val="1"/>
          <w:u w:val="single" w:color="auto"/>
          <w:color w:val="auto"/>
        </w:rPr>
        <w:t>Intercreditor Agreement (Second Lien)</w:t>
      </w:r>
      <w:r>
        <w:rPr>
          <w:rFonts w:ascii="Times New Roman" w:cs="Times New Roman" w:eastAsia="Times New Roman" w:hAnsi="Times New Roman"/>
          <w:sz w:val="22"/>
          <w:szCs w:val="22"/>
          <w:b w:val="1"/>
          <w:bCs w:val="1"/>
          <w:color w:val="auto"/>
        </w:rPr>
        <w:t>. Anything herein to the contrary notwithstanding, the liens and security interests securing the Obligations under this Agreement, the exercise of any right or remedy with respect thereto, and certain of the rights of the Lenders hereunder are subject to the provisions of the Intercreditor Agreement (Second Lien). In the event of any conflict between the terms of the Intercreditor Agreement and this Agreement, the terms of the Intercreditor Agreement shall govern and control.</w:t>
      </w:r>
    </w:p>
    <w:p>
      <w:pPr>
        <w:spacing w:after="0" w:line="17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signature pages follow</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26" w:name="page227"/>
    <w:bookmarkEnd w:id="226"/>
    <w:tbl>
      <w:tblPr>
        <w:tblLayout w:type="fixed"/>
        <w:tblInd w:w="0" w:type="dxa"/>
        <w:tblCellMar>
          <w:top w:w="0" w:type="dxa"/>
          <w:left w:w="0" w:type="dxa"/>
          <w:bottom w:w="0" w:type="dxa"/>
          <w:right w:w="0" w:type="dxa"/>
        </w:tblCellMar>
      </w:tblPr>
      <w:tr>
        <w:trPr>
          <w:trHeight w:val="253"/>
        </w:trPr>
        <w:tc>
          <w:tcPr>
            <w:tcW w:w="620" w:type="dxa"/>
            <w:vAlign w:val="bottom"/>
          </w:tcPr>
          <w:p>
            <w:pPr>
              <w:spacing w:after="0"/>
              <w:rPr>
                <w:sz w:val="22"/>
                <w:szCs w:val="22"/>
                <w:color w:val="auto"/>
              </w:rPr>
            </w:pPr>
          </w:p>
        </w:tc>
        <w:tc>
          <w:tcPr>
            <w:tcW w:w="302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7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22"/>
                <w:szCs w:val="22"/>
                <w:color w:val="auto"/>
                <w:w w:val="97"/>
              </w:rPr>
              <w:t>Annex I</w:t>
            </w:r>
          </w:p>
        </w:tc>
        <w:tc>
          <w:tcPr>
            <w:tcW w:w="2280" w:type="dxa"/>
            <w:vAlign w:val="bottom"/>
            <w:gridSpan w:val="2"/>
          </w:tcPr>
          <w:p>
            <w:pPr>
              <w:spacing w:after="0"/>
              <w:rPr>
                <w:sz w:val="22"/>
                <w:szCs w:val="22"/>
                <w:color w:val="auto"/>
              </w:rPr>
            </w:pPr>
          </w:p>
        </w:tc>
        <w:tc>
          <w:tcPr>
            <w:tcW w:w="340" w:type="dxa"/>
            <w:vAlign w:val="bottom"/>
          </w:tcPr>
          <w:p>
            <w:pPr>
              <w:spacing w:after="0"/>
              <w:rPr>
                <w:sz w:val="22"/>
                <w:szCs w:val="22"/>
                <w:color w:val="auto"/>
              </w:rPr>
            </w:pPr>
          </w:p>
        </w:tc>
        <w:tc>
          <w:tcPr>
            <w:tcW w:w="2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1"/>
        </w:trPr>
        <w:tc>
          <w:tcPr>
            <w:tcW w:w="62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4520" w:type="dxa"/>
            <w:vAlign w:val="bottom"/>
            <w:gridSpan w:val="5"/>
          </w:tcPr>
          <w:p>
            <w:pPr>
              <w:jc w:val="center"/>
              <w:ind w:right="740"/>
              <w:spacing w:after="0"/>
              <w:rPr>
                <w:sz w:val="20"/>
                <w:szCs w:val="20"/>
                <w:color w:val="auto"/>
              </w:rPr>
            </w:pPr>
            <w:r>
              <w:rPr>
                <w:rFonts w:ascii="Times New Roman" w:cs="Times New Roman" w:eastAsia="Times New Roman" w:hAnsi="Times New Roman"/>
                <w:sz w:val="22"/>
                <w:szCs w:val="22"/>
                <w:color w:val="auto"/>
                <w:w w:val="98"/>
              </w:rPr>
              <w:t>Revolving Commitments</w:t>
            </w:r>
          </w:p>
        </w:tc>
        <w:tc>
          <w:tcPr>
            <w:tcW w:w="3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62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80" w:type="dxa"/>
            <w:vAlign w:val="bottom"/>
            <w:gridSpan w:val="2"/>
          </w:tcPr>
          <w:p>
            <w:pPr>
              <w:jc w:val="right"/>
              <w:ind w:right="1300"/>
              <w:spacing w:after="0"/>
              <w:rPr>
                <w:sz w:val="20"/>
                <w:szCs w:val="20"/>
                <w:color w:val="auto"/>
              </w:rPr>
            </w:pPr>
            <w:r>
              <w:rPr>
                <w:rFonts w:ascii="Times New Roman" w:cs="Times New Roman" w:eastAsia="Times New Roman" w:hAnsi="Times New Roman"/>
                <w:sz w:val="22"/>
                <w:szCs w:val="22"/>
                <w:color w:val="auto"/>
              </w:rPr>
              <w:t>Revolving</w:t>
            </w:r>
          </w:p>
        </w:tc>
        <w:tc>
          <w:tcPr>
            <w:tcW w:w="340" w:type="dxa"/>
            <w:vAlign w:val="bottom"/>
          </w:tcPr>
          <w:p>
            <w:pPr>
              <w:spacing w:after="0"/>
              <w:rPr>
                <w:sz w:val="24"/>
                <w:szCs w:val="24"/>
                <w:color w:val="auto"/>
              </w:rPr>
            </w:pPr>
          </w:p>
        </w:tc>
        <w:tc>
          <w:tcPr>
            <w:tcW w:w="2300" w:type="dxa"/>
            <w:vAlign w:val="bottom"/>
            <w:gridSpan w:val="2"/>
          </w:tcPr>
          <w:p>
            <w:pPr>
              <w:jc w:val="right"/>
              <w:ind w:right="800"/>
              <w:spacing w:after="0"/>
              <w:rPr>
                <w:sz w:val="20"/>
                <w:szCs w:val="20"/>
                <w:color w:val="auto"/>
              </w:rPr>
            </w:pPr>
            <w:r>
              <w:rPr>
                <w:rFonts w:ascii="Times New Roman" w:cs="Times New Roman" w:eastAsia="Times New Roman" w:hAnsi="Times New Roman"/>
                <w:sz w:val="22"/>
                <w:szCs w:val="22"/>
                <w:color w:val="auto"/>
              </w:rPr>
              <w:t>Revolving</w:t>
            </w:r>
          </w:p>
        </w:tc>
        <w:tc>
          <w:tcPr>
            <w:tcW w:w="0" w:type="dxa"/>
            <w:vAlign w:val="bottom"/>
          </w:tcPr>
          <w:p>
            <w:pPr>
              <w:spacing w:after="0"/>
              <w:rPr>
                <w:sz w:val="1"/>
                <w:szCs w:val="1"/>
                <w:color w:val="auto"/>
              </w:rPr>
            </w:pPr>
          </w:p>
        </w:tc>
      </w:tr>
      <w:tr>
        <w:trPr>
          <w:trHeight w:val="230"/>
        </w:trPr>
        <w:tc>
          <w:tcPr>
            <w:tcW w:w="620" w:type="dxa"/>
            <w:vAlign w:val="bottom"/>
          </w:tcPr>
          <w:p>
            <w:pPr>
              <w:spacing w:after="0" w:line="230" w:lineRule="exact"/>
              <w:rPr>
                <w:sz w:val="20"/>
                <w:szCs w:val="20"/>
                <w:color w:val="auto"/>
              </w:rPr>
            </w:pPr>
            <w:r>
              <w:rPr>
                <w:rFonts w:ascii="Times New Roman" w:cs="Times New Roman" w:eastAsia="Times New Roman" w:hAnsi="Times New Roman"/>
                <w:sz w:val="22"/>
                <w:szCs w:val="22"/>
                <w:color w:val="auto"/>
                <w:w w:val="96"/>
              </w:rPr>
              <w:t>Lender</w:t>
            </w:r>
          </w:p>
        </w:tc>
        <w:tc>
          <w:tcPr>
            <w:tcW w:w="30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980" w:type="dxa"/>
            <w:vAlign w:val="bottom"/>
            <w:gridSpan w:val="4"/>
          </w:tcPr>
          <w:p>
            <w:pPr>
              <w:jc w:val="right"/>
              <w:ind w:right="760"/>
              <w:spacing w:after="0" w:line="230" w:lineRule="exact"/>
              <w:rPr>
                <w:sz w:val="20"/>
                <w:szCs w:val="20"/>
                <w:color w:val="auto"/>
              </w:rPr>
            </w:pPr>
            <w:r>
              <w:rPr>
                <w:rFonts w:ascii="Times New Roman" w:cs="Times New Roman" w:eastAsia="Times New Roman" w:hAnsi="Times New Roman"/>
                <w:sz w:val="22"/>
                <w:szCs w:val="22"/>
                <w:color w:val="auto"/>
              </w:rPr>
              <w:t>Commitment Amount</w:t>
            </w:r>
          </w:p>
        </w:tc>
        <w:tc>
          <w:tcPr>
            <w:tcW w:w="2640" w:type="dxa"/>
            <w:vAlign w:val="bottom"/>
            <w:gridSpan w:val="3"/>
          </w:tcPr>
          <w:p>
            <w:pPr>
              <w:jc w:val="right"/>
              <w:ind w:right="160"/>
              <w:spacing w:after="0" w:line="230" w:lineRule="exact"/>
              <w:rPr>
                <w:sz w:val="20"/>
                <w:szCs w:val="20"/>
                <w:color w:val="auto"/>
              </w:rPr>
            </w:pPr>
            <w:r>
              <w:rPr>
                <w:rFonts w:ascii="Times New Roman" w:cs="Times New Roman" w:eastAsia="Times New Roman" w:hAnsi="Times New Roman"/>
                <w:sz w:val="22"/>
                <w:szCs w:val="22"/>
                <w:color w:val="auto"/>
              </w:rPr>
              <w:t>Commitment Percentage</w:t>
            </w:r>
          </w:p>
        </w:tc>
        <w:tc>
          <w:tcPr>
            <w:tcW w:w="0" w:type="dxa"/>
            <w:vAlign w:val="bottom"/>
          </w:tcPr>
          <w:p>
            <w:pPr>
              <w:spacing w:after="0"/>
              <w:rPr>
                <w:sz w:val="1"/>
                <w:szCs w:val="1"/>
                <w:color w:val="auto"/>
              </w:rPr>
            </w:pPr>
          </w:p>
        </w:tc>
      </w:tr>
      <w:tr>
        <w:trPr>
          <w:trHeight w:val="20"/>
        </w:trPr>
        <w:tc>
          <w:tcPr>
            <w:tcW w:w="620" w:type="dxa"/>
            <w:vAlign w:val="bottom"/>
            <w:shd w:val="clear" w:color="auto" w:fill="000000"/>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860" w:type="dxa"/>
            <w:vAlign w:val="bottom"/>
            <w:gridSpan w:val="2"/>
            <w:vMerge w:val="restart"/>
          </w:tcPr>
          <w:p>
            <w:pPr>
              <w:spacing w:after="0" w:line="20" w:lineRule="exact"/>
              <w:rPr>
                <w:sz w:val="1"/>
                <w:szCs w:val="1"/>
                <w:color w:val="auto"/>
              </w:rPr>
            </w:pPr>
          </w:p>
        </w:tc>
        <w:tc>
          <w:tcPr>
            <w:tcW w:w="1900" w:type="dxa"/>
            <w:vAlign w:val="bottom"/>
            <w:gridSpan w:val="2"/>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2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640" w:type="dxa"/>
            <w:vAlign w:val="bottom"/>
            <w:gridSpan w:val="2"/>
          </w:tcPr>
          <w:p>
            <w:pPr>
              <w:spacing w:after="0" w:line="236" w:lineRule="exact"/>
              <w:rPr>
                <w:sz w:val="20"/>
                <w:szCs w:val="20"/>
                <w:color w:val="auto"/>
              </w:rPr>
            </w:pPr>
            <w:r>
              <w:rPr>
                <w:rFonts w:ascii="Times New Roman" w:cs="Times New Roman" w:eastAsia="Times New Roman" w:hAnsi="Times New Roman"/>
                <w:sz w:val="22"/>
                <w:szCs w:val="22"/>
                <w:color w:val="auto"/>
              </w:rPr>
              <w:t>PNC Bank, National Association</w:t>
            </w:r>
          </w:p>
        </w:tc>
        <w:tc>
          <w:tcPr>
            <w:tcW w:w="1860" w:type="dxa"/>
            <w:vAlign w:val="bottom"/>
            <w:gridSpan w:val="2"/>
            <w:vMerge w:val="continue"/>
          </w:tcPr>
          <w:p>
            <w:pPr>
              <w:spacing w:after="0"/>
              <w:rPr>
                <w:sz w:val="20"/>
                <w:szCs w:val="20"/>
                <w:color w:val="auto"/>
              </w:rPr>
            </w:pPr>
          </w:p>
        </w:tc>
        <w:tc>
          <w:tcPr>
            <w:tcW w:w="2660" w:type="dxa"/>
            <w:vAlign w:val="bottom"/>
            <w:gridSpan w:val="3"/>
          </w:tcPr>
          <w:p>
            <w:pPr>
              <w:jc w:val="right"/>
              <w:ind w:right="360"/>
              <w:spacing w:after="0" w:line="236" w:lineRule="exact"/>
              <w:rPr>
                <w:sz w:val="20"/>
                <w:szCs w:val="20"/>
                <w:color w:val="auto"/>
              </w:rPr>
            </w:pPr>
            <w:r>
              <w:rPr>
                <w:rFonts w:ascii="Times New Roman" w:cs="Times New Roman" w:eastAsia="Times New Roman" w:hAnsi="Times New Roman"/>
                <w:sz w:val="22"/>
                <w:szCs w:val="22"/>
                <w:color w:val="auto"/>
              </w:rPr>
              <w:t>$130,000,000</w:t>
            </w:r>
          </w:p>
        </w:tc>
        <w:tc>
          <w:tcPr>
            <w:tcW w:w="340" w:type="dxa"/>
            <w:vAlign w:val="bottom"/>
            <w:vMerge w:val="continue"/>
          </w:tcPr>
          <w:p>
            <w:pPr>
              <w:spacing w:after="0"/>
              <w:rPr>
                <w:sz w:val="20"/>
                <w:szCs w:val="20"/>
                <w:color w:val="auto"/>
              </w:rPr>
            </w:pPr>
          </w:p>
        </w:tc>
        <w:tc>
          <w:tcPr>
            <w:tcW w:w="2300" w:type="dxa"/>
            <w:vAlign w:val="bottom"/>
            <w:gridSpan w:val="2"/>
          </w:tcPr>
          <w:p>
            <w:pPr>
              <w:jc w:val="right"/>
              <w:spacing w:after="0" w:line="236" w:lineRule="exact"/>
              <w:rPr>
                <w:sz w:val="20"/>
                <w:szCs w:val="20"/>
                <w:color w:val="auto"/>
              </w:rPr>
            </w:pPr>
            <w:r>
              <w:rPr>
                <w:rFonts w:ascii="Times New Roman" w:cs="Times New Roman" w:eastAsia="Times New Roman" w:hAnsi="Times New Roman"/>
                <w:sz w:val="22"/>
                <w:szCs w:val="22"/>
                <w:color w:val="auto"/>
              </w:rPr>
              <w:t>39.4%</w:t>
            </w:r>
          </w:p>
        </w:tc>
        <w:tc>
          <w:tcPr>
            <w:tcW w:w="0" w:type="dxa"/>
            <w:vAlign w:val="bottom"/>
          </w:tcPr>
          <w:p>
            <w:pPr>
              <w:spacing w:after="0"/>
              <w:rPr>
                <w:sz w:val="1"/>
                <w:szCs w:val="1"/>
                <w:color w:val="auto"/>
              </w:rPr>
            </w:pPr>
          </w:p>
        </w:tc>
      </w:tr>
      <w:tr>
        <w:trPr>
          <w:trHeight w:val="243"/>
        </w:trPr>
        <w:tc>
          <w:tcPr>
            <w:tcW w:w="36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Truist Bank</w:t>
            </w:r>
          </w:p>
        </w:tc>
        <w:tc>
          <w:tcPr>
            <w:tcW w:w="4520" w:type="dxa"/>
            <w:vAlign w:val="bottom"/>
            <w:gridSpan w:val="5"/>
          </w:tcPr>
          <w:p>
            <w:pPr>
              <w:jc w:val="right"/>
              <w:ind w:right="360"/>
              <w:spacing w:after="0" w:line="243" w:lineRule="exact"/>
              <w:rPr>
                <w:sz w:val="20"/>
                <w:szCs w:val="20"/>
                <w:color w:val="auto"/>
              </w:rPr>
            </w:pPr>
            <w:r>
              <w:rPr>
                <w:rFonts w:ascii="Times New Roman" w:cs="Times New Roman" w:eastAsia="Times New Roman" w:hAnsi="Times New Roman"/>
                <w:sz w:val="22"/>
                <w:szCs w:val="22"/>
                <w:color w:val="auto"/>
              </w:rPr>
              <w:t>$65,000,000</w:t>
            </w:r>
          </w:p>
        </w:tc>
        <w:tc>
          <w:tcPr>
            <w:tcW w:w="2640" w:type="dxa"/>
            <w:vAlign w:val="bottom"/>
            <w:gridSpan w:val="3"/>
          </w:tcPr>
          <w:p>
            <w:pPr>
              <w:jc w:val="right"/>
              <w:spacing w:after="0" w:line="243" w:lineRule="exact"/>
              <w:rPr>
                <w:sz w:val="20"/>
                <w:szCs w:val="20"/>
                <w:color w:val="auto"/>
              </w:rPr>
            </w:pPr>
            <w:r>
              <w:rPr>
                <w:rFonts w:ascii="Times New Roman" w:cs="Times New Roman" w:eastAsia="Times New Roman" w:hAnsi="Times New Roman"/>
                <w:sz w:val="22"/>
                <w:szCs w:val="22"/>
                <w:color w:val="auto"/>
              </w:rPr>
              <w:t>19.7%</w:t>
            </w:r>
          </w:p>
        </w:tc>
        <w:tc>
          <w:tcPr>
            <w:tcW w:w="0" w:type="dxa"/>
            <w:vAlign w:val="bottom"/>
          </w:tcPr>
          <w:p>
            <w:pPr>
              <w:spacing w:after="0"/>
              <w:rPr>
                <w:sz w:val="1"/>
                <w:szCs w:val="1"/>
                <w:color w:val="auto"/>
              </w:rPr>
            </w:pPr>
          </w:p>
        </w:tc>
      </w:tr>
      <w:tr>
        <w:trPr>
          <w:trHeight w:val="243"/>
        </w:trPr>
        <w:tc>
          <w:tcPr>
            <w:tcW w:w="36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CIBC Bank USA</w:t>
            </w:r>
          </w:p>
        </w:tc>
        <w:tc>
          <w:tcPr>
            <w:tcW w:w="4520" w:type="dxa"/>
            <w:vAlign w:val="bottom"/>
            <w:gridSpan w:val="5"/>
          </w:tcPr>
          <w:p>
            <w:pPr>
              <w:jc w:val="right"/>
              <w:ind w:right="360"/>
              <w:spacing w:after="0" w:line="243" w:lineRule="exact"/>
              <w:rPr>
                <w:sz w:val="20"/>
                <w:szCs w:val="20"/>
                <w:color w:val="auto"/>
              </w:rPr>
            </w:pPr>
            <w:r>
              <w:rPr>
                <w:rFonts w:ascii="Times New Roman" w:cs="Times New Roman" w:eastAsia="Times New Roman" w:hAnsi="Times New Roman"/>
                <w:sz w:val="22"/>
                <w:szCs w:val="22"/>
                <w:color w:val="auto"/>
              </w:rPr>
              <w:t>$58,000,000</w:t>
            </w:r>
          </w:p>
        </w:tc>
        <w:tc>
          <w:tcPr>
            <w:tcW w:w="2640" w:type="dxa"/>
            <w:vAlign w:val="bottom"/>
            <w:gridSpan w:val="3"/>
          </w:tcPr>
          <w:p>
            <w:pPr>
              <w:jc w:val="right"/>
              <w:spacing w:after="0" w:line="243" w:lineRule="exact"/>
              <w:rPr>
                <w:sz w:val="20"/>
                <w:szCs w:val="20"/>
                <w:color w:val="auto"/>
              </w:rPr>
            </w:pPr>
            <w:r>
              <w:rPr>
                <w:rFonts w:ascii="Times New Roman" w:cs="Times New Roman" w:eastAsia="Times New Roman" w:hAnsi="Times New Roman"/>
                <w:sz w:val="22"/>
                <w:szCs w:val="22"/>
                <w:color w:val="auto"/>
              </w:rPr>
              <w:t>17.6%</w:t>
            </w:r>
          </w:p>
        </w:tc>
        <w:tc>
          <w:tcPr>
            <w:tcW w:w="0" w:type="dxa"/>
            <w:vAlign w:val="bottom"/>
          </w:tcPr>
          <w:p>
            <w:pPr>
              <w:spacing w:after="0"/>
              <w:rPr>
                <w:sz w:val="1"/>
                <w:szCs w:val="1"/>
                <w:color w:val="auto"/>
              </w:rPr>
            </w:pPr>
          </w:p>
        </w:tc>
      </w:tr>
      <w:tr>
        <w:trPr>
          <w:trHeight w:val="243"/>
        </w:trPr>
        <w:tc>
          <w:tcPr>
            <w:tcW w:w="36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Bank of America, N.A.</w:t>
            </w:r>
          </w:p>
        </w:tc>
        <w:tc>
          <w:tcPr>
            <w:tcW w:w="4520" w:type="dxa"/>
            <w:vAlign w:val="bottom"/>
            <w:gridSpan w:val="5"/>
          </w:tcPr>
          <w:p>
            <w:pPr>
              <w:jc w:val="right"/>
              <w:ind w:right="360"/>
              <w:spacing w:after="0" w:line="243" w:lineRule="exact"/>
              <w:rPr>
                <w:sz w:val="20"/>
                <w:szCs w:val="20"/>
                <w:color w:val="auto"/>
              </w:rPr>
            </w:pPr>
            <w:r>
              <w:rPr>
                <w:rFonts w:ascii="Times New Roman" w:cs="Times New Roman" w:eastAsia="Times New Roman" w:hAnsi="Times New Roman"/>
                <w:sz w:val="22"/>
                <w:szCs w:val="22"/>
                <w:color w:val="auto"/>
              </w:rPr>
              <w:t>$42,000,000</w:t>
            </w:r>
          </w:p>
        </w:tc>
        <w:tc>
          <w:tcPr>
            <w:tcW w:w="2640" w:type="dxa"/>
            <w:vAlign w:val="bottom"/>
            <w:gridSpan w:val="3"/>
          </w:tcPr>
          <w:p>
            <w:pPr>
              <w:jc w:val="right"/>
              <w:spacing w:after="0" w:line="243" w:lineRule="exact"/>
              <w:rPr>
                <w:sz w:val="20"/>
                <w:szCs w:val="20"/>
                <w:color w:val="auto"/>
              </w:rPr>
            </w:pPr>
            <w:r>
              <w:rPr>
                <w:rFonts w:ascii="Times New Roman" w:cs="Times New Roman" w:eastAsia="Times New Roman" w:hAnsi="Times New Roman"/>
                <w:sz w:val="22"/>
                <w:szCs w:val="22"/>
                <w:color w:val="auto"/>
              </w:rPr>
              <w:t>12.7%</w:t>
            </w:r>
          </w:p>
        </w:tc>
        <w:tc>
          <w:tcPr>
            <w:tcW w:w="0" w:type="dxa"/>
            <w:vAlign w:val="bottom"/>
          </w:tcPr>
          <w:p>
            <w:pPr>
              <w:spacing w:after="0"/>
              <w:rPr>
                <w:sz w:val="1"/>
                <w:szCs w:val="1"/>
                <w:color w:val="auto"/>
              </w:rPr>
            </w:pPr>
          </w:p>
        </w:tc>
      </w:tr>
      <w:tr>
        <w:trPr>
          <w:trHeight w:val="239"/>
        </w:trPr>
        <w:tc>
          <w:tcPr>
            <w:tcW w:w="3640" w:type="dxa"/>
            <w:vAlign w:val="bottom"/>
            <w:gridSpan w:val="2"/>
          </w:tcPr>
          <w:p>
            <w:pPr>
              <w:spacing w:after="0" w:line="239" w:lineRule="exact"/>
              <w:rPr>
                <w:sz w:val="20"/>
                <w:szCs w:val="20"/>
                <w:color w:val="auto"/>
              </w:rPr>
            </w:pPr>
            <w:r>
              <w:rPr>
                <w:rFonts w:ascii="Times New Roman" w:cs="Times New Roman" w:eastAsia="Times New Roman" w:hAnsi="Times New Roman"/>
                <w:sz w:val="22"/>
                <w:szCs w:val="22"/>
                <w:color w:val="auto"/>
              </w:rPr>
              <w:t>Texas Capital Bank</w:t>
            </w:r>
          </w:p>
        </w:tc>
        <w:tc>
          <w:tcPr>
            <w:tcW w:w="4520" w:type="dxa"/>
            <w:vAlign w:val="bottom"/>
            <w:gridSpan w:val="5"/>
          </w:tcPr>
          <w:p>
            <w:pPr>
              <w:jc w:val="right"/>
              <w:ind w:right="360"/>
              <w:spacing w:after="0" w:line="239" w:lineRule="exact"/>
              <w:rPr>
                <w:sz w:val="20"/>
                <w:szCs w:val="20"/>
                <w:color w:val="auto"/>
              </w:rPr>
            </w:pPr>
            <w:r>
              <w:rPr>
                <w:rFonts w:ascii="Times New Roman" w:cs="Times New Roman" w:eastAsia="Times New Roman" w:hAnsi="Times New Roman"/>
                <w:sz w:val="22"/>
                <w:szCs w:val="22"/>
                <w:color w:val="auto"/>
              </w:rPr>
              <w:t>$35,000,000</w:t>
            </w:r>
          </w:p>
        </w:tc>
        <w:tc>
          <w:tcPr>
            <w:tcW w:w="2640" w:type="dxa"/>
            <w:vAlign w:val="bottom"/>
            <w:gridSpan w:val="3"/>
          </w:tcPr>
          <w:p>
            <w:pPr>
              <w:jc w:val="right"/>
              <w:spacing w:after="0" w:line="239" w:lineRule="exact"/>
              <w:rPr>
                <w:sz w:val="20"/>
                <w:szCs w:val="20"/>
                <w:color w:val="auto"/>
              </w:rPr>
            </w:pPr>
            <w:r>
              <w:rPr>
                <w:rFonts w:ascii="Times New Roman" w:cs="Times New Roman" w:eastAsia="Times New Roman" w:hAnsi="Times New Roman"/>
                <w:sz w:val="22"/>
                <w:szCs w:val="22"/>
                <w:color w:val="auto"/>
              </w:rPr>
              <w:t>10.6%</w:t>
            </w:r>
          </w:p>
        </w:tc>
        <w:tc>
          <w:tcPr>
            <w:tcW w:w="0" w:type="dxa"/>
            <w:vAlign w:val="bottom"/>
          </w:tcPr>
          <w:p>
            <w:pPr>
              <w:spacing w:after="0"/>
              <w:rPr>
                <w:sz w:val="1"/>
                <w:szCs w:val="1"/>
                <w:color w:val="auto"/>
              </w:rPr>
            </w:pPr>
          </w:p>
        </w:tc>
      </w:tr>
      <w:tr>
        <w:trPr>
          <w:trHeight w:val="286"/>
        </w:trPr>
        <w:tc>
          <w:tcPr>
            <w:tcW w:w="3640" w:type="dxa"/>
            <w:vAlign w:val="bottom"/>
            <w:gridSpan w:val="2"/>
          </w:tcPr>
          <w:p>
            <w:pPr>
              <w:ind w:left="120"/>
              <w:spacing w:after="0"/>
              <w:rPr>
                <w:sz w:val="20"/>
                <w:szCs w:val="20"/>
                <w:color w:val="auto"/>
              </w:rPr>
            </w:pPr>
            <w:r>
              <w:rPr>
                <w:rFonts w:ascii="Times New Roman" w:cs="Times New Roman" w:eastAsia="Times New Roman" w:hAnsi="Times New Roman"/>
                <w:sz w:val="22"/>
                <w:szCs w:val="22"/>
                <w:i w:val="1"/>
                <w:iCs w:val="1"/>
                <w:color w:val="auto"/>
              </w:rPr>
              <w:t>Total</w:t>
            </w:r>
          </w:p>
        </w:tc>
        <w:tc>
          <w:tcPr>
            <w:tcW w:w="4520" w:type="dxa"/>
            <w:vAlign w:val="bottom"/>
            <w:gridSpan w:val="5"/>
          </w:tcPr>
          <w:p>
            <w:pPr>
              <w:jc w:val="right"/>
              <w:ind w:right="360"/>
              <w:spacing w:after="0"/>
              <w:rPr>
                <w:sz w:val="20"/>
                <w:szCs w:val="20"/>
                <w:color w:val="auto"/>
              </w:rPr>
            </w:pPr>
            <w:r>
              <w:rPr>
                <w:rFonts w:ascii="Times New Roman" w:cs="Times New Roman" w:eastAsia="Times New Roman" w:hAnsi="Times New Roman"/>
                <w:sz w:val="22"/>
                <w:szCs w:val="22"/>
                <w:i w:val="1"/>
                <w:iCs w:val="1"/>
                <w:color w:val="auto"/>
              </w:rPr>
              <w:t>$330,000,000.00</w:t>
            </w:r>
          </w:p>
        </w:tc>
        <w:tc>
          <w:tcPr>
            <w:tcW w:w="2640" w:type="dxa"/>
            <w:vAlign w:val="bottom"/>
            <w:gridSpan w:val="3"/>
          </w:tcPr>
          <w:p>
            <w:pPr>
              <w:jc w:val="right"/>
              <w:spacing w:after="0"/>
              <w:rPr>
                <w:sz w:val="20"/>
                <w:szCs w:val="20"/>
                <w:color w:val="auto"/>
              </w:rPr>
            </w:pPr>
            <w:r>
              <w:rPr>
                <w:rFonts w:ascii="Times New Roman" w:cs="Times New Roman" w:eastAsia="Times New Roman" w:hAnsi="Times New Roman"/>
                <w:sz w:val="22"/>
                <w:szCs w:val="22"/>
                <w:i w:val="1"/>
                <w:iCs w:val="1"/>
                <w:color w:val="auto"/>
              </w:rPr>
              <w:t>100.0%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4986020</wp:posOffset>
            </wp:positionV>
            <wp:extent cx="7157720" cy="425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420" w:top="1385" w:right="679" w:bottom="1440" w:gutter="0" w:footer="0" w:header="0"/>
        </w:sectPr>
      </w:pPr>
    </w:p>
    <w:bookmarkStart w:id="227" w:name="page228"/>
    <w:bookmarkEnd w:id="227"/>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Exhibit B</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Amended and Restated Schedules to the Credit Agreement</w:t>
      </w: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[See Attached]</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478155</wp:posOffset>
            </wp:positionV>
            <wp:extent cx="7157720" cy="425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04" w:right="1440" w:bottom="1440" w:gutter="0" w:footer="0" w:header="0"/>
        </w:sectPr>
      </w:pPr>
    </w:p>
    <w:bookmarkStart w:id="228" w:name="page229"/>
    <w:bookmarkEnd w:id="228"/>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Exhibit C</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Closing Checklist</w:t>
      </w: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[See Attached]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478155</wp:posOffset>
            </wp:positionV>
            <wp:extent cx="7157720" cy="425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04" w:right="1440" w:bottom="1440" w:gutter="0" w:footer="0" w:header="0"/>
        </w:sectPr>
      </w:pPr>
    </w:p>
    <w:bookmarkStart w:id="229" w:name="page230"/>
    <w:bookmarkEnd w:id="229"/>
    <w:p>
      <w:pPr>
        <w:jc w:val="center"/>
        <w:ind w:right="-11"/>
        <w:spacing w:after="0"/>
        <w:rPr>
          <w:sz w:val="20"/>
          <w:szCs w:val="20"/>
          <w:color w:val="auto"/>
        </w:rPr>
      </w:pPr>
      <w:r>
        <w:rPr>
          <w:rFonts w:ascii="Times New Roman" w:cs="Times New Roman" w:eastAsia="Times New Roman" w:hAnsi="Times New Roman"/>
          <w:sz w:val="22"/>
          <w:szCs w:val="22"/>
          <w:b w:val="1"/>
          <w:bCs w:val="1"/>
          <w:u w:val="single" w:color="auto"/>
          <w:color w:val="auto"/>
        </w:rPr>
        <w:t>Exhibit D</w:t>
      </w:r>
    </w:p>
    <w:p>
      <w:pPr>
        <w:spacing w:after="0" w:line="233"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2"/>
          <w:szCs w:val="22"/>
          <w:b w:val="1"/>
          <w:bCs w:val="1"/>
          <w:color w:val="auto"/>
        </w:rPr>
        <w:t>Post-Closing Covenants</w:t>
      </w:r>
    </w:p>
    <w:p>
      <w:pPr>
        <w:spacing w:after="0" w:line="237" w:lineRule="exact"/>
        <w:rPr>
          <w:sz w:val="20"/>
          <w:szCs w:val="20"/>
          <w:color w:val="auto"/>
        </w:rPr>
      </w:pPr>
    </w:p>
    <w:p>
      <w:pPr>
        <w:ind w:left="752" w:hanging="752"/>
        <w:spacing w:after="0" w:line="238" w:lineRule="auto"/>
        <w:tabs>
          <w:tab w:leader="none" w:pos="435"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Within thirty (30) days after the Amendment No. 2 Closing Date (or such later date as Agent may agree to, in writing, in its sole discretion), each Credit Party shall enter into and deliver to Agent, in form and substance reasonably satisfactory to Agent, the documentation set forth on the Closing Checklist under the heading “Maritime Security Documents” (together with any other documentation reasonably requested by Agent) to reflect the increase to the Maximum Revolving Advance Amount and other applicable modification under this Amendment.</w:t>
      </w:r>
    </w:p>
    <w:p>
      <w:pPr>
        <w:spacing w:after="0" w:line="200" w:lineRule="exact"/>
        <w:rPr>
          <w:sz w:val="20"/>
          <w:szCs w:val="20"/>
          <w:color w:val="auto"/>
        </w:rPr>
      </w:pPr>
    </w:p>
    <w:p>
      <w:pPr>
        <w:spacing w:after="0" w:line="382"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478155</wp:posOffset>
            </wp:positionV>
            <wp:extent cx="7157720" cy="425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404" w:right="339" w:bottom="1440" w:gutter="0" w:footer="0" w:header="0"/>
        </w:sectPr>
      </w:pPr>
    </w:p>
    <w:bookmarkStart w:id="230" w:name="page231"/>
    <w:bookmarkEnd w:id="23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CERTIFICATIONS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302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Lasse J. Petterson, certify that:</w:t>
      </w:r>
    </w:p>
    <w:p>
      <w:pPr>
        <w:spacing w:after="0" w:line="117" w:lineRule="exact"/>
        <w:rPr>
          <w:sz w:val="20"/>
          <w:szCs w:val="20"/>
          <w:color w:val="auto"/>
        </w:rPr>
      </w:pPr>
    </w:p>
    <w:p>
      <w:pPr>
        <w:ind w:left="520" w:hanging="512"/>
        <w:spacing w:after="0"/>
        <w:tabs>
          <w:tab w:leader="none" w:pos="52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Great Lakes Dredge &amp; Dock Corporation;</w:t>
      </w:r>
    </w:p>
    <w:p>
      <w:pPr>
        <w:spacing w:after="0" w:line="117"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520" w:right="260" w:hanging="512"/>
        <w:spacing w:after="0" w:line="266" w:lineRule="auto"/>
        <w:tabs>
          <w:tab w:leader="none" w:pos="52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020" w:right="180" w:hanging="503"/>
        <w:spacing w:after="0" w:line="266" w:lineRule="auto"/>
        <w:tabs>
          <w:tab w:leader="none" w:pos="1020"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520" w:right="140" w:hanging="512"/>
        <w:spacing w:after="0" w:line="282" w:lineRule="auto"/>
        <w:tabs>
          <w:tab w:leader="none" w:pos="52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5, 2025</w:t>
      </w:r>
    </w:p>
    <w:p>
      <w:pPr>
        <w:spacing w:after="0" w:line="25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LASSE J. PETTERSON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8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1">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Lasse J. Petterson</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31" w:name="page232"/>
    <w:bookmarkEnd w:id="23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CERTIFICATIONS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302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Scott Kornblau, certify that:</w:t>
      </w:r>
    </w:p>
    <w:p>
      <w:pPr>
        <w:spacing w:after="0" w:line="117" w:lineRule="exact"/>
        <w:rPr>
          <w:sz w:val="20"/>
          <w:szCs w:val="20"/>
          <w:color w:val="auto"/>
        </w:rPr>
      </w:pPr>
    </w:p>
    <w:p>
      <w:pPr>
        <w:ind w:left="520" w:hanging="512"/>
        <w:spacing w:after="0"/>
        <w:tabs>
          <w:tab w:leader="none" w:pos="52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Great Lakes Dredge &amp; Dock Corporation;</w:t>
      </w:r>
    </w:p>
    <w:p>
      <w:pPr>
        <w:spacing w:after="0" w:line="117"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520" w:right="260" w:hanging="512"/>
        <w:spacing w:after="0" w:line="266" w:lineRule="auto"/>
        <w:tabs>
          <w:tab w:leader="none" w:pos="52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020" w:right="180" w:hanging="503"/>
        <w:spacing w:after="0" w:line="266" w:lineRule="auto"/>
        <w:tabs>
          <w:tab w:leader="none" w:pos="1020"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520" w:right="140" w:hanging="512"/>
        <w:spacing w:after="0" w:line="282" w:lineRule="auto"/>
        <w:tabs>
          <w:tab w:leader="none" w:pos="52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5, 2025</w:t>
      </w:r>
    </w:p>
    <w:p>
      <w:pPr>
        <w:spacing w:after="0" w:line="25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SCOTT KORNBLAU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89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3">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Scott Kornblau</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32" w:name="page233"/>
    <w:bookmarkEnd w:id="23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Great Lakes Dredge &amp; Dock Corporation (the “Company”) on Form 10-Q for the period ended June 30, 2025, as filed with the Securities and Exchange Commission on the date hereof (the “Report”), I, Lasse J. Petterson, President and Chief Executive Officer of the Company, certify pursuant to 18 U.S.C. Section 1350, as adopted pursuant to Section 906 of the Sarbanes-Oxley Act of 2002, that:</w:t>
      </w:r>
    </w:p>
    <w:p>
      <w:pPr>
        <w:spacing w:after="0" w:line="68" w:lineRule="exact"/>
        <w:rPr>
          <w:sz w:val="20"/>
          <w:szCs w:val="20"/>
          <w:color w:val="auto"/>
        </w:rPr>
      </w:pPr>
    </w:p>
    <w:p>
      <w:pPr>
        <w:ind w:left="1020" w:hanging="503"/>
        <w:spacing w:after="0"/>
        <w:tabs>
          <w:tab w:leader="none" w:pos="102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Section 15(d) of the Securities Exchange Act of 1934, as amended; and</w:t>
      </w:r>
    </w:p>
    <w:p>
      <w:pPr>
        <w:spacing w:after="0" w:line="117"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This certification accompanies the Report pursuant to Section 906 of the Sarbanes-Oxley Act of 2002 and shall not, except to the extent required by the Sarbanes-Oxley Act of 2002, be deemed filed by Great Lakes Dredge &amp; Dock Corporation for purposes of Section 18 of the Securities Exchange Act of 1934, as amended.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LASSE J. PETTERSON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46070"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5">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Lasse J. Petterson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5, 2025</w:t>
      </w:r>
    </w:p>
    <w:p>
      <w:pPr>
        <w:spacing w:after="0" w:line="252"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Great Lakes Dredge &amp; Dock Corporation and will be retained by Great Lakes Dredge &amp; Dock Corporation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593090</wp:posOffset>
            </wp:positionV>
            <wp:extent cx="7157720" cy="425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33" w:name="page234"/>
    <w:bookmarkEnd w:id="233"/>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Great Lakes Dredge &amp; Dock Corporation (the “Company”) on Form 10-Q for the period ended June 30, 2025 as filed with the Securities and Exchange Commission on the date hereof (the “Report”), I, Scott Kornblau, Senior Vice President and Chief Financial Officer of the Company, certify pursuant to 18 U.S.C. Section 1350, as adopted pursuant to Section 906 of the Sarbanes-Oxley Act of 2002, that:</w:t>
      </w:r>
    </w:p>
    <w:p>
      <w:pPr>
        <w:spacing w:after="0" w:line="68" w:lineRule="exact"/>
        <w:rPr>
          <w:sz w:val="20"/>
          <w:szCs w:val="20"/>
          <w:color w:val="auto"/>
        </w:rPr>
      </w:pPr>
    </w:p>
    <w:p>
      <w:pPr>
        <w:ind w:left="1020" w:hanging="503"/>
        <w:spacing w:after="0"/>
        <w:tabs>
          <w:tab w:leader="none" w:pos="102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Section 15(d) of the Securities Exchange Act of 1934, as amended; and</w:t>
      </w:r>
    </w:p>
    <w:p>
      <w:pPr>
        <w:spacing w:after="0" w:line="117"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This certification accompanies the Report pursuant to Section 906 of the Sarbanes-Oxley Act of 2002 and shall not, except to the extent required by the Sarbanes-Oxley Act of 2002, be deemed filed by Great Lakes Dredge &amp; Dock Corporation for purposes of Section 18 of the Securities Exchange Act of 1934, as amended.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SCOTT KORNBLAU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351530"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7">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Scott Kornblau</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5, 2025</w:t>
      </w:r>
    </w:p>
    <w:p>
      <w:pPr>
        <w:spacing w:after="0" w:line="252"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Great Lakes Dredge &amp; Dock Corporation and will be retained by Great Lakes Dredge &amp; Dock Corporation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593090</wp:posOffset>
            </wp:positionV>
            <wp:extent cx="7157720" cy="425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34" w:name="page235"/>
    <w:bookmarkEnd w:id="23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7AE35EB"/>
    <w:multiLevelType w:val="hybridMultilevel"/>
    <w:lvl w:ilvl="0">
      <w:lvlJc w:val="left"/>
      <w:lvlText w:val="☒"/>
      <w:numFmt w:val="bullet"/>
      <w:start w:val="1"/>
    </w:lvl>
  </w:abstractNum>
  <w:abstractNum w:abstractNumId="1">
    <w:nsid w:val="579BE4F1"/>
    <w:multiLevelType w:val="hybridMultilevel"/>
    <w:lvl w:ilvl="0">
      <w:lvlJc w:val="left"/>
      <w:lvlText w:val="☐"/>
      <w:numFmt w:val="bullet"/>
      <w:start w:val="1"/>
    </w:lvl>
  </w:abstractNum>
  <w:abstractNum w:abstractNumId="2">
    <w:nsid w:val="310C50B3"/>
    <w:multiLevelType w:val="hybridMultilevel"/>
    <w:lvl w:ilvl="0">
      <w:lvlJc w:val="left"/>
      <w:lvlText w:val="(%1)"/>
      <w:numFmt w:val="decimal"/>
      <w:start w:val="1"/>
    </w:lvl>
  </w:abstractNum>
  <w:abstractNum w:abstractNumId="3">
    <w:nsid w:val="5FF87E05"/>
    <w:multiLevelType w:val="hybridMultilevel"/>
    <w:lvl w:ilvl="0">
      <w:lvlJc w:val="left"/>
      <w:lvlText w:val="%1."/>
      <w:numFmt w:val="decimal"/>
      <w:start w:val="1"/>
    </w:lvl>
  </w:abstractNum>
  <w:abstractNum w:abstractNumId="4">
    <w:nsid w:val="2F305DEF"/>
    <w:multiLevelType w:val="hybridMultilevel"/>
    <w:lvl w:ilvl="0">
      <w:lvlJc w:val="left"/>
      <w:lvlText w:val="%1."/>
      <w:numFmt w:val="decimal"/>
      <w:start w:val="2"/>
    </w:lvl>
  </w:abstractNum>
  <w:abstractNum w:abstractNumId="5">
    <w:nsid w:val="25A70BF7"/>
    <w:multiLevelType w:val="hybridMultilevel"/>
    <w:lvl w:ilvl="0">
      <w:lvlJc w:val="left"/>
      <w:lvlText w:val="%1."/>
      <w:numFmt w:val="decimal"/>
      <w:start w:val="5"/>
    </w:lvl>
  </w:abstractNum>
  <w:abstractNum w:abstractNumId="6">
    <w:nsid w:val="1DBABF00"/>
    <w:multiLevelType w:val="hybridMultilevel"/>
    <w:lvl w:ilvl="0">
      <w:lvlJc w:val="left"/>
      <w:lvlText w:val="%1."/>
      <w:numFmt w:val="decimal"/>
      <w:start w:val="6"/>
    </w:lvl>
  </w:abstractNum>
  <w:abstractNum w:abstractNumId="7">
    <w:nsid w:val="4AD084E9"/>
    <w:multiLevelType w:val="hybridMultilevel"/>
    <w:lvl w:ilvl="0">
      <w:lvlJc w:val="left"/>
      <w:lvlText w:val="%1."/>
      <w:numFmt w:val="decimal"/>
      <w:start w:val="7"/>
    </w:lvl>
  </w:abstractNum>
  <w:abstractNum w:abstractNumId="8">
    <w:nsid w:val="1F48EAA1"/>
    <w:multiLevelType w:val="hybridMultilevel"/>
    <w:lvl w:ilvl="0">
      <w:lvlJc w:val="left"/>
      <w:lvlText w:val="%1."/>
      <w:numFmt w:val="decimal"/>
      <w:start w:val="8"/>
    </w:lvl>
  </w:abstractNum>
  <w:abstractNum w:abstractNumId="9">
    <w:nsid w:val="1381823A"/>
    <w:multiLevelType w:val="hybridMultilevel"/>
    <w:lvl w:ilvl="0">
      <w:lvlJc w:val="left"/>
      <w:lvlText w:val="%1."/>
      <w:numFmt w:val="decimal"/>
      <w:start w:val="9"/>
    </w:lvl>
  </w:abstractNum>
  <w:abstractNum w:abstractNumId="10">
    <w:nsid w:val="5DB70AE5"/>
    <w:multiLevelType w:val="hybridMultilevel"/>
    <w:lvl w:ilvl="0">
      <w:lvlJc w:val="left"/>
      <w:lvlText w:val="%1."/>
      <w:numFmt w:val="decimal"/>
      <w:start w:val="10"/>
    </w:lvl>
  </w:abstractNum>
  <w:abstractNum w:abstractNumId="11">
    <w:nsid w:val="100F8FCA"/>
    <w:multiLevelType w:val="hybridMultilevel"/>
    <w:lvl w:ilvl="0">
      <w:lvlJc w:val="left"/>
      <w:lvlText w:val="(%1)"/>
      <w:numFmt w:val="lowerRoman"/>
      <w:start w:val="5"/>
    </w:lvl>
  </w:abstractNum>
  <w:abstractNum w:abstractNumId="12">
    <w:nsid w:val="6590700B"/>
    <w:multiLevelType w:val="hybridMultilevel"/>
    <w:lvl w:ilvl="0">
      <w:lvlJc w:val="left"/>
      <w:lvlText w:val="*"/>
      <w:numFmt w:val="bullet"/>
      <w:start w:val="1"/>
    </w:lvl>
  </w:abstractNum>
  <w:abstractNum w:abstractNumId="13">
    <w:nsid w:val="15014ACB"/>
    <w:multiLevelType w:val="hybridMultilevel"/>
    <w:lvl w:ilvl="0">
      <w:lvlJc w:val="left"/>
      <w:lvlText w:val="(%1)"/>
      <w:numFmt w:val="decimal"/>
      <w:start w:val="1"/>
    </w:lvl>
  </w:abstractNum>
  <w:abstractNum w:abstractNumId="14">
    <w:nsid w:val="5F5E7FD0"/>
    <w:multiLevelType w:val="hybridMultilevel"/>
    <w:lvl w:ilvl="0">
      <w:lvlJc w:val="left"/>
      <w:lvlText w:val="*"/>
      <w:numFmt w:val="bullet"/>
      <w:start w:val="1"/>
    </w:lvl>
  </w:abstractNum>
  <w:abstractNum w:abstractNumId="15">
    <w:nsid w:val="98A3148"/>
    <w:multiLevelType w:val="hybridMultilevel"/>
    <w:lvl w:ilvl="0">
      <w:lvlJc w:val="left"/>
      <w:lvlText w:val="†"/>
      <w:numFmt w:val="bullet"/>
      <w:start w:val="1"/>
    </w:lvl>
  </w:abstractNum>
  <w:abstractNum w:abstractNumId="16">
    <w:nsid w:val="799D0247"/>
    <w:multiLevelType w:val="hybridMultilevel"/>
    <w:lvl w:ilvl="0">
      <w:lvlJc w:val="left"/>
      <w:lvlText w:val="%1."/>
      <w:numFmt w:val="decimal"/>
      <w:start w:val="1"/>
    </w:lvl>
  </w:abstractNum>
  <w:abstractNum w:abstractNumId="17">
    <w:nsid w:val="6B94764"/>
    <w:multiLevelType w:val="hybridMultilevel"/>
    <w:lvl w:ilvl="0">
      <w:lvlJc w:val="left"/>
      <w:lvlText w:val="(%1)"/>
      <w:numFmt w:val="lowerLetter"/>
      <w:start w:val="1"/>
    </w:lvl>
  </w:abstractNum>
  <w:abstractNum w:abstractNumId="18">
    <w:nsid w:val="42C296BD"/>
    <w:multiLevelType w:val="hybridMultilevel"/>
    <w:lvl w:ilvl="0">
      <w:lvlJc w:val="left"/>
      <w:lvlText w:val="(%1)"/>
      <w:numFmt w:val="lowerLetter"/>
      <w:start w:val="2"/>
    </w:lvl>
  </w:abstractNum>
  <w:abstractNum w:abstractNumId="19">
    <w:nsid w:val="168E121F"/>
    <w:multiLevelType w:val="hybridMultilevel"/>
    <w:lvl w:ilvl="0">
      <w:lvlJc w:val="left"/>
      <w:lvlText w:val="%1."/>
      <w:numFmt w:val="decimal"/>
      <w:start w:val="2"/>
    </w:lvl>
  </w:abstractNum>
  <w:abstractNum w:abstractNumId="20">
    <w:nsid w:val="1EBA5D23"/>
    <w:multiLevelType w:val="hybridMultilevel"/>
    <w:lvl w:ilvl="0">
      <w:lvlJc w:val="left"/>
      <w:lvlText w:val="(%1)"/>
      <w:numFmt w:val="lowerLetter"/>
      <w:start w:val="1"/>
    </w:lvl>
  </w:abstractNum>
  <w:abstractNum w:abstractNumId="21">
    <w:nsid w:val="661E3F1E"/>
    <w:multiLevelType w:val="hybridMultilevel"/>
    <w:lvl w:ilvl="0">
      <w:lvlJc w:val="left"/>
      <w:lvlText w:val="%1."/>
      <w:numFmt w:val="decimal"/>
      <w:start w:val="3"/>
    </w:lvl>
  </w:abstractNum>
  <w:abstractNum w:abstractNumId="22">
    <w:nsid w:val="5DC79EA8"/>
    <w:multiLevelType w:val="hybridMultilevel"/>
    <w:lvl w:ilvl="0">
      <w:lvlJc w:val="left"/>
      <w:lvlText w:val="(%1)"/>
      <w:numFmt w:val="lowerLetter"/>
      <w:start w:val="1"/>
    </w:lvl>
  </w:abstractNum>
  <w:abstractNum w:abstractNumId="23">
    <w:nsid w:val="540A471C"/>
    <w:multiLevelType w:val="hybridMultilevel"/>
    <w:lvl w:ilvl="0">
      <w:lvlJc w:val="left"/>
      <w:lvlText w:val="%1."/>
      <w:numFmt w:val="decimal"/>
      <w:start w:val="4"/>
    </w:lvl>
  </w:abstractNum>
  <w:abstractNum w:abstractNumId="24">
    <w:nsid w:val="7BD3EE7B"/>
    <w:multiLevelType w:val="hybridMultilevel"/>
    <w:lvl w:ilvl="0">
      <w:lvlJc w:val="left"/>
      <w:lvlText w:val="%1."/>
      <w:numFmt w:val="decimal"/>
      <w:start w:val="5"/>
    </w:lvl>
  </w:abstractNum>
  <w:abstractNum w:abstractNumId="25">
    <w:nsid w:val="51D9C564"/>
    <w:multiLevelType w:val="hybridMultilevel"/>
    <w:lvl w:ilvl="0">
      <w:lvlJc w:val="left"/>
      <w:lvlText w:val="(%1)"/>
      <w:numFmt w:val="lowerLetter"/>
      <w:start w:val="1"/>
    </w:lvl>
  </w:abstractNum>
  <w:abstractNum w:abstractNumId="26">
    <w:nsid w:val="613EFDC5"/>
    <w:multiLevelType w:val="hybridMultilevel"/>
    <w:lvl w:ilvl="0">
      <w:lvlJc w:val="left"/>
      <w:lvlText w:val="(%1)"/>
      <w:numFmt w:val="lowerLetter"/>
      <w:start w:val="3"/>
    </w:lvl>
  </w:abstractNum>
  <w:abstractNum w:abstractNumId="27">
    <w:nsid w:val="BF72B14"/>
    <w:multiLevelType w:val="hybridMultilevel"/>
    <w:lvl w:ilvl="0">
      <w:lvlJc w:val="left"/>
      <w:lvlText w:val="(%1)"/>
      <w:numFmt w:val="lowerLetter"/>
      <w:start w:val="1"/>
    </w:lvl>
  </w:abstractNum>
  <w:abstractNum w:abstractNumId="28">
    <w:nsid w:val="11447B73"/>
    <w:multiLevelType w:val="hybridMultilevel"/>
    <w:lvl w:ilvl="0">
      <w:lvlJc w:val="left"/>
      <w:lvlText w:val="(%1)"/>
      <w:numFmt w:val="lowerLetter"/>
      <w:start w:val="2"/>
    </w:lvl>
  </w:abstractNum>
  <w:abstractNum w:abstractNumId="29">
    <w:nsid w:val="42963E5A"/>
    <w:multiLevelType w:val="hybridMultilevel"/>
    <w:lvl w:ilvl="0">
      <w:lvlJc w:val="left"/>
      <w:lvlText w:val="(%1)"/>
      <w:numFmt w:val="lowerLetter"/>
      <w:start w:val="1"/>
    </w:lvl>
  </w:abstractNum>
  <w:abstractNum w:abstractNumId="30">
    <w:nsid w:val="A0382C5"/>
    <w:multiLevelType w:val="hybridMultilevel"/>
    <w:lvl w:ilvl="0">
      <w:lvlJc w:val="left"/>
      <w:lvlText w:val="(%1)"/>
      <w:numFmt w:val="upperLetter"/>
      <w:start w:val="1"/>
    </w:lvl>
  </w:abstractNum>
  <w:abstractNum w:abstractNumId="31">
    <w:nsid w:val="8F2B15E"/>
    <w:multiLevelType w:val="hybridMultilevel"/>
    <w:lvl w:ilvl="0">
      <w:lvlJc w:val="left"/>
      <w:lvlText w:val="(%1)"/>
      <w:numFmt w:val="lowerLetter"/>
      <w:start w:val="1"/>
    </w:lvl>
  </w:abstractNum>
  <w:abstractNum w:abstractNumId="32">
    <w:nsid w:val="1A32234B"/>
    <w:multiLevelType w:val="hybridMultilevel"/>
    <w:lvl w:ilvl="0">
      <w:lvlJc w:val="left"/>
      <w:lvlText w:val="(%1)"/>
      <w:numFmt w:val="lowerLetter"/>
      <w:start w:val="3"/>
    </w:lvl>
  </w:abstractNum>
  <w:abstractNum w:abstractNumId="33">
    <w:nsid w:val="3B0FD379"/>
    <w:multiLevelType w:val="hybridMultilevel"/>
    <w:lvl w:ilvl="0">
      <w:lvlJc w:val="left"/>
      <w:lvlText w:val="(%1)"/>
      <w:numFmt w:val="lowerLetter"/>
      <w:start w:val="1"/>
    </w:lvl>
  </w:abstractNum>
  <w:abstractNum w:abstractNumId="34">
    <w:nsid w:val="68EB2F63"/>
    <w:multiLevelType w:val="hybridMultilevel"/>
    <w:lvl w:ilvl="0">
      <w:lvlJc w:val="left"/>
      <w:lvlText w:val="(%1)"/>
      <w:numFmt w:val="lowerLetter"/>
      <w:start w:val="4"/>
    </w:lvl>
  </w:abstractNum>
  <w:abstractNum w:abstractNumId="35">
    <w:nsid w:val="4962813B"/>
    <w:multiLevelType w:val="hybridMultilevel"/>
    <w:lvl w:ilvl="0">
      <w:lvlJc w:val="left"/>
      <w:lvlText w:val="(%1)"/>
      <w:numFmt w:val="lowerLetter"/>
      <w:start w:val="1"/>
    </w:lvl>
  </w:abstractNum>
  <w:abstractNum w:abstractNumId="36">
    <w:nsid w:val="60B6DF70"/>
    <w:multiLevelType w:val="hybridMultilevel"/>
    <w:lvl w:ilvl="0">
      <w:lvlJc w:val="left"/>
      <w:lvlText w:val="(%1)"/>
      <w:numFmt w:val="lowerRoman"/>
      <w:start w:val="1"/>
    </w:lvl>
  </w:abstractNum>
  <w:abstractNum w:abstractNumId="37">
    <w:nsid w:val="6A5EE64"/>
    <w:multiLevelType w:val="hybridMultilevel"/>
    <w:lvl w:ilvl="0">
      <w:lvlJc w:val="left"/>
      <w:lvlText w:val="(%1)"/>
      <w:numFmt w:val="lowerRoman"/>
      <w:start w:val="8"/>
    </w:lvl>
  </w:abstractNum>
  <w:abstractNum w:abstractNumId="38">
    <w:nsid w:val="14330624"/>
    <w:multiLevelType w:val="hybridMultilevel"/>
    <w:lvl w:ilvl="0">
      <w:lvlJc w:val="left"/>
      <w:lvlText w:val="(%1)"/>
      <w:numFmt w:val="lowerLetter"/>
      <w:start w:val="3"/>
    </w:lvl>
  </w:abstractNum>
  <w:abstractNum w:abstractNumId="39">
    <w:nsid w:val="7FFFCA11"/>
    <w:multiLevelType w:val="hybridMultilevel"/>
    <w:lvl w:ilvl="0">
      <w:lvlJc w:val="left"/>
      <w:lvlText w:val="(%1)"/>
      <w:numFmt w:val="lowerLetter"/>
      <w:start w:val="1"/>
    </w:lvl>
  </w:abstractNum>
  <w:abstractNum w:abstractNumId="40">
    <w:nsid w:val="1A27709E"/>
    <w:multiLevelType w:val="hybridMultilevel"/>
    <w:lvl w:ilvl="0">
      <w:lvlJc w:val="left"/>
      <w:lvlText w:val="(%1)"/>
      <w:numFmt w:val="lowerLetter"/>
      <w:start w:val="14"/>
    </w:lvl>
  </w:abstractNum>
  <w:abstractNum w:abstractNumId="41">
    <w:nsid w:val="71EA1109"/>
    <w:multiLevelType w:val="hybridMultilevel"/>
    <w:lvl w:ilvl="0">
      <w:lvlJc w:val="left"/>
      <w:lvlText w:val="(%1)"/>
      <w:numFmt w:val="lowerLetter"/>
      <w:start w:val="1"/>
    </w:lvl>
  </w:abstractNum>
  <w:abstractNum w:abstractNumId="42">
    <w:nsid w:val="100F59DC"/>
    <w:multiLevelType w:val="hybridMultilevel"/>
    <w:lvl w:ilvl="0">
      <w:lvlJc w:val="left"/>
      <w:lvlText w:val="(%1)"/>
      <w:numFmt w:val="lowerLetter"/>
      <w:start w:val="12"/>
    </w:lvl>
  </w:abstractNum>
  <w:abstractNum w:abstractNumId="43">
    <w:nsid w:val="7FB7E0AA"/>
    <w:multiLevelType w:val="hybridMultilevel"/>
    <w:lvl w:ilvl="0">
      <w:lvlJc w:val="left"/>
      <w:lvlText w:val="(%1)"/>
      <w:numFmt w:val="lowerRoman"/>
      <w:start w:val="2"/>
    </w:lvl>
  </w:abstractNum>
  <w:abstractNum w:abstractNumId="44">
    <w:nsid w:val="6EB5BD4"/>
    <w:multiLevelType w:val="hybridMultilevel"/>
    <w:lvl w:ilvl="0">
      <w:lvlJc w:val="left"/>
      <w:lvlText w:val="(%1)"/>
      <w:numFmt w:val="lowerLetter"/>
      <w:start w:val="2"/>
    </w:lvl>
  </w:abstractNum>
  <w:abstractNum w:abstractNumId="45">
    <w:nsid w:val="6F6DD9AC"/>
    <w:multiLevelType w:val="hybridMultilevel"/>
    <w:lvl w:ilvl="0">
      <w:lvlJc w:val="left"/>
      <w:lvlText w:val="(%1)"/>
      <w:numFmt w:val="lowerRoman"/>
      <w:start w:val="2"/>
    </w:lvl>
  </w:abstractNum>
  <w:abstractNum w:abstractNumId="46">
    <w:nsid w:val="94211F2"/>
    <w:multiLevelType w:val="hybridMultilevel"/>
    <w:lvl w:ilvl="0">
      <w:lvlJc w:val="left"/>
      <w:lvlText w:val="(%1)"/>
      <w:numFmt w:val="decimal"/>
      <w:start w:val="360"/>
    </w:lvl>
  </w:abstractNum>
  <w:abstractNum w:abstractNumId="47">
    <w:nsid w:val="885E1B"/>
    <w:multiLevelType w:val="hybridMultilevel"/>
    <w:lvl w:ilvl="0">
      <w:lvlJc w:val="left"/>
      <w:lvlText w:val="(%1)"/>
      <w:numFmt w:val="lowerLetter"/>
      <w:start w:val="5"/>
    </w:lvl>
  </w:abstractNum>
  <w:abstractNum w:abstractNumId="48">
    <w:nsid w:val="76272110"/>
    <w:multiLevelType w:val="hybridMultilevel"/>
    <w:lvl w:ilvl="0">
      <w:lvlJc w:val="left"/>
      <w:lvlText w:val="(%1)"/>
      <w:numFmt w:val="decimal"/>
      <w:start w:val="10"/>
    </w:lvl>
  </w:abstractNum>
  <w:abstractNum w:abstractNumId="49">
    <w:nsid w:val="4C04A8AF"/>
    <w:multiLevelType w:val="hybridMultilevel"/>
    <w:lvl w:ilvl="0">
      <w:lvlJc w:val="left"/>
      <w:lvlText w:val="(%1)"/>
      <w:numFmt w:val="lowerLetter"/>
      <w:start w:val="2"/>
    </w:lvl>
  </w:abstractNum>
  <w:abstractNum w:abstractNumId="50">
    <w:nsid w:val="1716703B"/>
    <w:multiLevelType w:val="hybridMultilevel"/>
    <w:lvl w:ilvl="0">
      <w:lvlJc w:val="left"/>
      <w:lvlText w:val="(%1)"/>
      <w:numFmt w:val="decimal"/>
      <w:start w:val="360"/>
    </w:lvl>
  </w:abstractNum>
  <w:abstractNum w:abstractNumId="51">
    <w:nsid w:val="14E17E33"/>
    <w:multiLevelType w:val="hybridMultilevel"/>
    <w:lvl w:ilvl="0">
      <w:lvlJc w:val="left"/>
      <w:lvlText w:val="%1"/>
      <w:numFmt w:val="decimal"/>
      <w:start w:val="1"/>
    </w:lvl>
    <w:lvl w:ilvl="1">
      <w:lvlJc w:val="left"/>
      <w:lvlText w:val="(%2)"/>
      <w:numFmt w:val="lowerLetter"/>
      <w:start w:val="1"/>
    </w:lvl>
  </w:abstractNum>
  <w:abstractNum w:abstractNumId="52">
    <w:nsid w:val="3222E7CD"/>
    <w:multiLevelType w:val="hybridMultilevel"/>
    <w:lvl w:ilvl="0">
      <w:lvlJc w:val="left"/>
      <w:lvlText w:val="(%1)"/>
      <w:numFmt w:val="decimal"/>
      <w:start w:val="30"/>
    </w:lvl>
    <w:lvl w:ilvl="1">
      <w:lvlJc w:val="left"/>
      <w:lvlText w:val="(%2)"/>
      <w:numFmt w:val="lowerLetter"/>
      <w:start w:val="3"/>
    </w:lvl>
  </w:abstractNum>
  <w:abstractNum w:abstractNumId="53">
    <w:nsid w:val="74DE0EE3"/>
    <w:multiLevelType w:val="hybridMultilevel"/>
    <w:lvl w:ilvl="0">
      <w:lvlJc w:val="left"/>
      <w:lvlText w:val="(%1)"/>
      <w:numFmt w:val="lowerLetter"/>
      <w:start w:val="1"/>
    </w:lvl>
  </w:abstractNum>
  <w:abstractNum w:abstractNumId="54">
    <w:nsid w:val="68EBC550"/>
    <w:multiLevelType w:val="hybridMultilevel"/>
    <w:lvl w:ilvl="0">
      <w:lvlJc w:val="left"/>
      <w:lvlText w:val="(%1)"/>
      <w:numFmt w:val="lowerLetter"/>
      <w:start w:val="1"/>
    </w:lvl>
  </w:abstractNum>
  <w:abstractNum w:abstractNumId="55">
    <w:nsid w:val="2DF6D648"/>
    <w:multiLevelType w:val="hybridMultilevel"/>
    <w:lvl w:ilvl="0">
      <w:lvlJc w:val="left"/>
      <w:lvlText w:val="(%1)"/>
      <w:numFmt w:val="lowerLetter"/>
      <w:start w:val="4"/>
    </w:lvl>
  </w:abstractNum>
  <w:abstractNum w:abstractNumId="56">
    <w:nsid w:val="46B7D447"/>
    <w:multiLevelType w:val="hybridMultilevel"/>
    <w:lvl w:ilvl="0">
      <w:lvlJc w:val="left"/>
      <w:lvlText w:val="%1"/>
      <w:numFmt w:val="lowerLetter"/>
      <w:start w:val="1"/>
    </w:lvl>
    <w:lvl w:ilvl="1">
      <w:lvlJc w:val="left"/>
      <w:lvlText w:val="(%2)"/>
      <w:numFmt w:val="lowerLetter"/>
      <w:start w:val="6"/>
    </w:lvl>
  </w:abstractNum>
  <w:abstractNum w:abstractNumId="57">
    <w:nsid w:val="4A2AC315"/>
    <w:multiLevelType w:val="hybridMultilevel"/>
    <w:lvl w:ilvl="0">
      <w:lvlJc w:val="left"/>
      <w:lvlText w:val="(%1)"/>
      <w:numFmt w:val="lowerLetter"/>
      <w:start w:val="61"/>
    </w:lvl>
    <w:lvl w:ilvl="1">
      <w:lvlJc w:val="left"/>
      <w:lvlText w:val="(%2)"/>
      <w:numFmt w:val="lowerLetter"/>
      <w:start w:val="11"/>
    </w:lvl>
  </w:abstractNum>
  <w:abstractNum w:abstractNumId="58">
    <w:nsid w:val="39EE015C"/>
    <w:multiLevelType w:val="hybridMultilevel"/>
    <w:lvl w:ilvl="0">
      <w:lvlJc w:val="left"/>
      <w:lvlText w:val="(%1)"/>
      <w:numFmt w:val="lowerLetter"/>
      <w:start w:val="15"/>
    </w:lvl>
  </w:abstractNum>
  <w:abstractNum w:abstractNumId="59">
    <w:nsid w:val="57FC4FBB"/>
    <w:multiLevelType w:val="hybridMultilevel"/>
    <w:lvl w:ilvl="0">
      <w:lvlJc w:val="left"/>
      <w:lvlText w:val="(%1)"/>
      <w:numFmt w:val="lowerLetter"/>
      <w:start w:val="1"/>
    </w:lvl>
  </w:abstractNum>
  <w:abstractNum w:abstractNumId="60">
    <w:nsid w:val="CC1016F"/>
    <w:multiLevelType w:val="hybridMultilevel"/>
    <w:lvl w:ilvl="0">
      <w:lvlJc w:val="left"/>
      <w:lvlText w:val="(%1)"/>
      <w:numFmt w:val="lowerLetter"/>
      <w:start w:val="9"/>
    </w:lvl>
  </w:abstractNum>
  <w:abstractNum w:abstractNumId="61">
    <w:nsid w:val="43F18422"/>
    <w:multiLevelType w:val="hybridMultilevel"/>
    <w:lvl w:ilvl="0">
      <w:lvlJc w:val="left"/>
      <w:lvlText w:val="(%1)"/>
      <w:numFmt w:val="lowerLetter"/>
      <w:start w:val="20"/>
    </w:lvl>
  </w:abstractNum>
  <w:abstractNum w:abstractNumId="62">
    <w:nsid w:val="60EF0119"/>
    <w:multiLevelType w:val="hybridMultilevel"/>
    <w:lvl w:ilvl="0">
      <w:lvlJc w:val="left"/>
      <w:lvlText w:val="%1"/>
      <w:numFmt w:val="lowerLetter"/>
      <w:start w:val="1"/>
    </w:lvl>
    <w:lvl w:ilvl="1">
      <w:lvlJc w:val="left"/>
      <w:lvlText w:val="(%2)"/>
      <w:numFmt w:val="lowerLetter"/>
      <w:start w:val="1"/>
    </w:lvl>
  </w:abstractNum>
  <w:abstractNum w:abstractNumId="63">
    <w:nsid w:val="26F324BA"/>
    <w:multiLevelType w:val="hybridMultilevel"/>
    <w:lvl w:ilvl="0">
      <w:lvlJc w:val="left"/>
      <w:lvlText w:val="(%1)"/>
      <w:numFmt w:val="lowerLetter"/>
      <w:start w:val="9"/>
    </w:lvl>
    <w:lvl w:ilvl="1">
      <w:lvlJc w:val="left"/>
      <w:lvlText w:val="(%2)"/>
      <w:numFmt w:val="lowerLetter"/>
      <w:start w:val="4"/>
    </w:lvl>
  </w:abstractNum>
  <w:abstractNum w:abstractNumId="64">
    <w:nsid w:val="7F01579B"/>
    <w:multiLevelType w:val="hybridMultilevel"/>
    <w:lvl w:ilvl="0">
      <w:lvlJc w:val="left"/>
      <w:lvlText w:val="(%1)"/>
      <w:numFmt w:val="lowerLetter"/>
      <w:start w:val="6"/>
    </w:lvl>
  </w:abstractNum>
  <w:abstractNum w:abstractNumId="65">
    <w:nsid w:val="49DA307D"/>
    <w:multiLevelType w:val="hybridMultilevel"/>
    <w:lvl w:ilvl="0">
      <w:lvlJc w:val="left"/>
      <w:lvlText w:val="(%1)"/>
      <w:numFmt w:val="lowerLetter"/>
      <w:start w:val="17"/>
    </w:lvl>
  </w:abstractNum>
  <w:abstractNum w:abstractNumId="66">
    <w:nsid w:val="7055A5F5"/>
    <w:multiLevelType w:val="hybridMultilevel"/>
    <w:lvl w:ilvl="0">
      <w:lvlJc w:val="left"/>
      <w:lvlText w:val="(%1)"/>
      <w:numFmt w:val="lowerLetter"/>
      <w:start w:val="25"/>
    </w:lvl>
  </w:abstractNum>
  <w:abstractNum w:abstractNumId="67">
    <w:nsid w:val="5FB8370B"/>
    <w:multiLevelType w:val="hybridMultilevel"/>
    <w:lvl w:ilvl="0">
      <w:lvlJc w:val="left"/>
      <w:lvlText w:val="(%1)"/>
      <w:numFmt w:val="lowerLetter"/>
      <w:start w:val="1"/>
    </w:lvl>
  </w:abstractNum>
  <w:abstractNum w:abstractNumId="68">
    <w:nsid w:val="50801EE1"/>
    <w:multiLevelType w:val="hybridMultilevel"/>
    <w:lvl w:ilvl="0">
      <w:lvlJc w:val="left"/>
      <w:lvlText w:val="(%1)"/>
      <w:numFmt w:val="lowerLetter"/>
      <w:start w:val="1"/>
    </w:lvl>
  </w:abstractNum>
  <w:abstractNum w:abstractNumId="69">
    <w:nsid w:val="488AC1A"/>
    <w:multiLevelType w:val="hybridMultilevel"/>
    <w:lvl w:ilvl="0">
      <w:lvlJc w:val="left"/>
      <w:lvlText w:val="(%1)"/>
      <w:numFmt w:val="lowerLetter"/>
      <w:start w:val="8"/>
    </w:lvl>
  </w:abstractNum>
  <w:abstractNum w:abstractNumId="70">
    <w:nsid w:val="5FB8011C"/>
    <w:multiLevelType w:val="hybridMultilevel"/>
    <w:lvl w:ilvl="0">
      <w:lvlJc w:val="left"/>
      <w:lvlText w:val="(%1)"/>
      <w:numFmt w:val="lowerLetter"/>
      <w:start w:val="1"/>
    </w:lvl>
  </w:abstractNum>
  <w:abstractNum w:abstractNumId="71">
    <w:nsid w:val="6AA78F7F"/>
    <w:multiLevelType w:val="hybridMultilevel"/>
    <w:lvl w:ilvl="0">
      <w:lvlJc w:val="left"/>
      <w:lvlText w:val="(%1)"/>
      <w:numFmt w:val="lowerLetter"/>
      <w:start w:val="10"/>
    </w:lvl>
  </w:abstractNum>
  <w:abstractNum w:abstractNumId="72">
    <w:nsid w:val="7672BD23"/>
    <w:multiLevelType w:val="hybridMultilevel"/>
    <w:lvl w:ilvl="0">
      <w:lvlJc w:val="left"/>
      <w:lvlText w:val="%1"/>
      <w:numFmt w:val="lowerLetter"/>
      <w:start w:val="1"/>
    </w:lvl>
    <w:lvl w:ilvl="1">
      <w:lvlJc w:val="left"/>
      <w:lvlText w:val="(%2)"/>
      <w:numFmt w:val="lowerLetter"/>
      <w:start w:val="1"/>
    </w:lvl>
  </w:abstractNum>
  <w:abstractNum w:abstractNumId="73">
    <w:nsid w:val="6FC75AF8"/>
    <w:multiLevelType w:val="hybridMultilevel"/>
    <w:lvl w:ilvl="0">
      <w:lvlJc w:val="left"/>
      <w:lvlText w:val="(%1)"/>
      <w:numFmt w:val="lowerLetter"/>
      <w:start w:val="17"/>
    </w:lvl>
    <w:lvl w:ilvl="1">
      <w:lvlJc w:val="left"/>
      <w:lvlText w:val="(%2)"/>
      <w:numFmt w:val="lowerLetter"/>
      <w:start w:val="2"/>
    </w:lvl>
  </w:abstractNum>
  <w:abstractNum w:abstractNumId="74">
    <w:nsid w:val="6A5F7029"/>
    <w:multiLevelType w:val="hybridMultilevel"/>
    <w:lvl w:ilvl="0">
      <w:lvlJc w:val="left"/>
      <w:lvlText w:val="(%1)"/>
      <w:numFmt w:val="lowerLetter"/>
      <w:start w:val="2"/>
    </w:lvl>
  </w:abstractNum>
  <w:abstractNum w:abstractNumId="75">
    <w:nsid w:val="7D5E18F8"/>
    <w:multiLevelType w:val="hybridMultilevel"/>
    <w:lvl w:ilvl="0">
      <w:lvlJc w:val="left"/>
      <w:lvlText w:val="(%1)"/>
      <w:numFmt w:val="lowerRoman"/>
      <w:start w:val="3"/>
    </w:lvl>
  </w:abstractNum>
  <w:abstractNum w:abstractNumId="76">
    <w:nsid w:val="5F3534A4"/>
    <w:multiLevelType w:val="hybridMultilevel"/>
    <w:lvl w:ilvl="0">
      <w:lvlJc w:val="left"/>
      <w:lvlText w:val="(%1)"/>
      <w:numFmt w:val="lowerLetter"/>
      <w:start w:val="3"/>
    </w:lvl>
  </w:abstractNum>
  <w:abstractNum w:abstractNumId="77">
    <w:nsid w:val="73A1821B"/>
    <w:multiLevelType w:val="hybridMultilevel"/>
    <w:lvl w:ilvl="0">
      <w:lvlJc w:val="left"/>
      <w:lvlText w:val="(%1)"/>
      <w:numFmt w:val="lowerRoman"/>
      <w:start w:val="1"/>
    </w:lvl>
  </w:abstractNum>
  <w:abstractNum w:abstractNumId="78">
    <w:nsid w:val="7DE67713"/>
    <w:multiLevelType w:val="hybridMultilevel"/>
    <w:lvl w:ilvl="0">
      <w:lvlJc w:val="left"/>
      <w:lvlText w:val="(%1)"/>
      <w:numFmt w:val="lowerRoman"/>
      <w:start w:val="10"/>
    </w:lvl>
  </w:abstractNum>
  <w:abstractNum w:abstractNumId="79">
    <w:nsid w:val="555C55B5"/>
    <w:multiLevelType w:val="hybridMultilevel"/>
    <w:lvl w:ilvl="0">
      <w:lvlJc w:val="left"/>
      <w:lvlText w:val="(%1)"/>
      <w:numFmt w:val="lowerRoman"/>
      <w:start w:val="1"/>
    </w:lvl>
  </w:abstractNum>
  <w:abstractNum w:abstractNumId="80">
    <w:nsid w:val="3FA62ACA"/>
    <w:multiLevelType w:val="hybridMultilevel"/>
    <w:lvl w:ilvl="0">
      <w:lvlJc w:val="left"/>
      <w:lvlText w:val="%1"/>
      <w:numFmt w:val="lowerRoman"/>
      <w:start w:val="1"/>
    </w:lvl>
    <w:lvl w:ilvl="1">
      <w:lvlJc w:val="left"/>
      <w:lvlText w:val="(%2)"/>
      <w:numFmt w:val="lowerRoman"/>
      <w:start w:val="1"/>
    </w:lvl>
  </w:abstractNum>
  <w:abstractNum w:abstractNumId="81">
    <w:nsid w:val="14FCE74E"/>
    <w:multiLevelType w:val="hybridMultilevel"/>
    <w:lvl w:ilvl="0">
      <w:lvlJc w:val="left"/>
      <w:lvlText w:val="(%1)"/>
      <w:numFmt w:val="lowerRoman"/>
      <w:start w:val="2"/>
    </w:lvl>
    <w:lvl w:ilvl="1">
      <w:lvlJc w:val="left"/>
      <w:lvlText w:val="%2"/>
      <w:numFmt w:val="lowerRoman"/>
      <w:start w:val="1"/>
    </w:lvl>
  </w:abstractNum>
  <w:abstractNum w:abstractNumId="82">
    <w:nsid w:val="6A3DD3E8"/>
    <w:multiLevelType w:val="hybridMultilevel"/>
    <w:lvl w:ilvl="0">
      <w:lvlJc w:val="left"/>
      <w:lvlText w:val="(%1)"/>
      <w:numFmt w:val="lowerRoman"/>
      <w:start w:val="2"/>
    </w:lvl>
  </w:abstractNum>
  <w:abstractNum w:abstractNumId="83">
    <w:nsid w:val="71C91298"/>
    <w:multiLevelType w:val="hybridMultilevel"/>
    <w:lvl w:ilvl="0">
      <w:lvlJc w:val="left"/>
      <w:lvlText w:val="(%1)"/>
      <w:numFmt w:val="upperLetter"/>
      <w:start w:val="1"/>
    </w:lvl>
  </w:abstractNum>
  <w:abstractNum w:abstractNumId="84">
    <w:nsid w:val="9DAF632"/>
    <w:multiLevelType w:val="hybridMultilevel"/>
    <w:lvl w:ilvl="0">
      <w:lvlJc w:val="left"/>
      <w:lvlText w:val="%1"/>
      <w:numFmt w:val="upperLetter"/>
      <w:start w:val="1"/>
    </w:lvl>
    <w:lvl w:ilvl="1">
      <w:lvlJc w:val="left"/>
      <w:lvlText w:val="(%2)"/>
      <w:numFmt w:val="upperLetter"/>
      <w:start w:val="5"/>
    </w:lvl>
  </w:abstractNum>
  <w:abstractNum w:abstractNumId="85">
    <w:nsid w:val="53299938"/>
    <w:multiLevelType w:val="hybridMultilevel"/>
    <w:lvl w:ilvl="0">
      <w:lvlJc w:val="left"/>
      <w:lvlText w:val="(%1)"/>
      <w:numFmt w:val="upperLetter"/>
      <w:start w:val="1"/>
    </w:lvl>
    <w:lvl w:ilvl="1">
      <w:lvlJc w:val="left"/>
      <w:lvlText w:val="%2"/>
      <w:numFmt w:val="upperLetter"/>
      <w:start w:val="1"/>
    </w:lvl>
  </w:abstractNum>
  <w:abstractNum w:abstractNumId="86">
    <w:nsid w:val="1FBFE8E0"/>
    <w:multiLevelType w:val="hybridMultilevel"/>
    <w:lvl w:ilvl="0">
      <w:lvlJc w:val="left"/>
      <w:lvlText w:val="(%1)"/>
      <w:numFmt w:val="lowerRoman"/>
      <w:start w:val="1"/>
    </w:lvl>
  </w:abstractNum>
  <w:abstractNum w:abstractNumId="87">
    <w:nsid w:val="5092CA79"/>
    <w:multiLevelType w:val="hybridMultilevel"/>
    <w:lvl w:ilvl="0">
      <w:lvlJc w:val="left"/>
      <w:lvlText w:val="(%1)"/>
      <w:numFmt w:val="lowerLetter"/>
      <w:start w:val="2"/>
    </w:lvl>
  </w:abstractNum>
  <w:abstractNum w:abstractNumId="88">
    <w:nsid w:val="1D545C4D"/>
    <w:multiLevelType w:val="hybridMultilevel"/>
    <w:lvl w:ilvl="0">
      <w:lvlJc w:val="left"/>
      <w:lvlText w:val="(%1)"/>
      <w:numFmt w:val="lowerRoman"/>
      <w:start w:val="1"/>
    </w:lvl>
  </w:abstractNum>
  <w:abstractNum w:abstractNumId="89">
    <w:nsid w:val="59ADEA3D"/>
    <w:multiLevelType w:val="hybridMultilevel"/>
    <w:lvl w:ilvl="0">
      <w:lvlJc w:val="left"/>
      <w:lvlText w:val="(%1)"/>
      <w:numFmt w:val="lowerRoman"/>
      <w:start w:val="1"/>
    </w:lvl>
  </w:abstractNum>
  <w:abstractNum w:abstractNumId="90">
    <w:nsid w:val="288F1A34"/>
    <w:multiLevelType w:val="hybridMultilevel"/>
    <w:lvl w:ilvl="0">
      <w:lvlJc w:val="left"/>
      <w:lvlText w:val="(%1)"/>
      <w:numFmt w:val="lowerRoman"/>
      <w:start w:val="10"/>
    </w:lvl>
  </w:abstractNum>
  <w:abstractNum w:abstractNumId="91">
    <w:nsid w:val="2A155DBC"/>
    <w:multiLevelType w:val="hybridMultilevel"/>
    <w:lvl w:ilvl="0">
      <w:lvlJc w:val="left"/>
      <w:lvlText w:val="(%1)"/>
      <w:numFmt w:val="decimal"/>
      <w:start w:val="1"/>
    </w:lvl>
  </w:abstractNum>
  <w:abstractNum w:abstractNumId="92">
    <w:nsid w:val="1D9F6E5F"/>
    <w:multiLevelType w:val="hybridMultilevel"/>
    <w:lvl w:ilvl="0">
      <w:lvlJc w:val="left"/>
      <w:lvlText w:val="(%1)"/>
      <w:numFmt w:val="upperLetter"/>
      <w:start w:val="2"/>
    </w:lvl>
  </w:abstractNum>
  <w:abstractNum w:abstractNumId="93">
    <w:nsid w:val="97E1B4E"/>
    <w:multiLevelType w:val="hybridMultilevel"/>
    <w:lvl w:ilvl="0">
      <w:lvlJc w:val="left"/>
      <w:lvlText w:val="%1"/>
      <w:numFmt w:val="upperLetter"/>
      <w:start w:val="1"/>
    </w:lvl>
    <w:lvl w:ilvl="1">
      <w:lvlJc w:val="left"/>
      <w:lvlText w:val="(%2)"/>
      <w:numFmt w:val="decimal"/>
      <w:start w:val="1"/>
    </w:lvl>
  </w:abstractNum>
  <w:abstractNum w:abstractNumId="94">
    <w:nsid w:val="51088277"/>
    <w:multiLevelType w:val="hybridMultilevel"/>
    <w:lvl w:ilvl="0">
      <w:lvlJc w:val="left"/>
      <w:lvlText w:val="(%1)"/>
      <w:numFmt w:val="upperLetter"/>
      <w:start w:val="1"/>
    </w:lvl>
    <w:lvl w:ilvl="1">
      <w:lvlJc w:val="left"/>
      <w:lvlText w:val="(%2)"/>
      <w:numFmt w:val="decimal"/>
      <w:start w:val="2"/>
    </w:lvl>
  </w:abstractNum>
  <w:abstractNum w:abstractNumId="95">
    <w:nsid w:val="1CA0C5FA"/>
    <w:multiLevelType w:val="hybridMultilevel"/>
    <w:lvl w:ilvl="0">
      <w:lvlJc w:val="left"/>
      <w:lvlText w:val="%1"/>
      <w:numFmt w:val="decimal"/>
      <w:start w:val="1"/>
    </w:lvl>
    <w:lvl w:ilvl="1">
      <w:lvlJc w:val="left"/>
      <w:lvlText w:val="(%2)"/>
      <w:numFmt w:val="decimal"/>
      <w:start w:val="1"/>
    </w:lvl>
  </w:abstractNum>
  <w:abstractNum w:abstractNumId="96">
    <w:nsid w:val="53584BCB"/>
    <w:multiLevelType w:val="hybridMultilevel"/>
    <w:lvl w:ilvl="0">
      <w:lvlJc w:val="left"/>
      <w:lvlText w:val="(%1)"/>
      <w:numFmt w:val="decimal"/>
      <w:start w:val="2"/>
    </w:lvl>
    <w:lvl w:ilvl="1">
      <w:lvlJc w:val="left"/>
      <w:lvlText w:val="%2"/>
      <w:numFmt w:val="decimal"/>
      <w:start w:val="1"/>
    </w:lvl>
  </w:abstractNum>
  <w:abstractNum w:abstractNumId="97">
    <w:nsid w:val="415E286C"/>
    <w:multiLevelType w:val="hybridMultilevel"/>
    <w:lvl w:ilvl="0">
      <w:lvlJc w:val="left"/>
      <w:lvlText w:val="(%1)"/>
      <w:numFmt w:val="decimal"/>
      <w:start w:val="3"/>
    </w:lvl>
  </w:abstractNum>
  <w:abstractNum w:abstractNumId="98">
    <w:nsid w:val="7C58FD05"/>
    <w:multiLevelType w:val="hybridMultilevel"/>
    <w:lvl w:ilvl="0">
      <w:lvlJc w:val="left"/>
      <w:lvlText w:val="(%1)"/>
      <w:numFmt w:val="lowerRoman"/>
      <w:start w:val="1"/>
    </w:lvl>
  </w:abstractNum>
  <w:abstractNum w:abstractNumId="99">
    <w:nsid w:val="23D86AAC"/>
    <w:multiLevelType w:val="hybridMultilevel"/>
    <w:lvl w:ilvl="0">
      <w:lvlJc w:val="left"/>
      <w:lvlText w:val="(%1)"/>
      <w:numFmt w:val="upperLetter"/>
      <w:start w:val="3"/>
    </w:lvl>
  </w:abstractNum>
  <w:abstractNum w:abstractNumId="100">
    <w:nsid w:val="45E6D486"/>
    <w:multiLevelType w:val="hybridMultilevel"/>
    <w:lvl w:ilvl="0">
      <w:lvlJc w:val="left"/>
      <w:lvlText w:val="(%1)"/>
      <w:numFmt w:val="decimal"/>
      <w:start w:val="90"/>
    </w:lvl>
  </w:abstractNum>
  <w:abstractNum w:abstractNumId="101">
    <w:nsid w:val="5C10FE21"/>
    <w:multiLevelType w:val="hybridMultilevel"/>
    <w:lvl w:ilvl="0">
      <w:lvlJc w:val="left"/>
      <w:lvlText w:val="(%1)"/>
      <w:numFmt w:val="lowerRoman"/>
      <w:start w:val="4"/>
    </w:lvl>
  </w:abstractNum>
  <w:abstractNum w:abstractNumId="102">
    <w:nsid w:val="E7FFA2B"/>
    <w:multiLevelType w:val="hybridMultilevel"/>
    <w:lvl w:ilvl="0">
      <w:lvlJc w:val="left"/>
      <w:lvlText w:val="(%1)"/>
      <w:numFmt w:val="upperLetter"/>
      <w:start w:val="3"/>
    </w:lvl>
  </w:abstractNum>
  <w:abstractNum w:abstractNumId="103">
    <w:nsid w:val="3C5991AA"/>
    <w:multiLevelType w:val="hybridMultilevel"/>
    <w:lvl w:ilvl="0">
      <w:lvlJc w:val="left"/>
      <w:lvlText w:val="(%1)"/>
      <w:numFmt w:val="lowerLetter"/>
      <w:start w:val="1"/>
    </w:lvl>
  </w:abstractNum>
  <w:abstractNum w:abstractNumId="104">
    <w:nsid w:val="4BD8591A"/>
    <w:multiLevelType w:val="hybridMultilevel"/>
    <w:lvl w:ilvl="0">
      <w:lvlJc w:val="left"/>
      <w:lvlText w:val="(%1)"/>
      <w:numFmt w:val="lowerLetter"/>
      <w:start w:val="2"/>
    </w:lvl>
  </w:abstractNum>
  <w:abstractNum w:abstractNumId="105">
    <w:nsid w:val="78DF6A55"/>
    <w:multiLevelType w:val="hybridMultilevel"/>
    <w:lvl w:ilvl="0">
      <w:lvlJc w:val="left"/>
      <w:lvlText w:val="(%1)"/>
      <w:numFmt w:val="lowerRoman"/>
      <w:start w:val="1"/>
    </w:lvl>
  </w:abstractNum>
  <w:abstractNum w:abstractNumId="106">
    <w:nsid w:val="39B7AAA2"/>
    <w:multiLevelType w:val="hybridMultilevel"/>
    <w:lvl w:ilvl="0">
      <w:lvlJc w:val="left"/>
      <w:lvlText w:val="(%1)"/>
      <w:numFmt w:val="lowerRoman"/>
      <w:start w:val="1"/>
    </w:lvl>
  </w:abstractNum>
  <w:abstractNum w:abstractNumId="107">
    <w:nsid w:val="2B0D8DBE"/>
    <w:multiLevelType w:val="hybridMultilevel"/>
    <w:lvl w:ilvl="0">
      <w:lvlJc w:val="left"/>
      <w:lvlText w:val="%1"/>
      <w:numFmt w:val="lowerRoman"/>
      <w:start w:val="1"/>
    </w:lvl>
    <w:lvl w:ilvl="1">
      <w:lvlJc w:val="left"/>
      <w:lvlText w:val="(%2)"/>
      <w:numFmt w:val="upperLetter"/>
      <w:start w:val="1"/>
    </w:lvl>
  </w:abstractNum>
  <w:abstractNum w:abstractNumId="108">
    <w:nsid w:val="6C80EC70"/>
    <w:multiLevelType w:val="hybridMultilevel"/>
    <w:lvl w:ilvl="0">
      <w:lvlJc w:val="left"/>
      <w:lvlText w:val="(%1)"/>
      <w:numFmt w:val="lowerRoman"/>
      <w:start w:val="10"/>
    </w:lvl>
    <w:lvl w:ilvl="1">
      <w:lvlJc w:val="left"/>
      <w:lvlText w:val="%2"/>
      <w:numFmt w:val="upperLetter"/>
      <w:start w:val="1"/>
    </w:lvl>
  </w:abstractNum>
  <w:abstractNum w:abstractNumId="109">
    <w:nsid w:val="379E21B5"/>
    <w:multiLevelType w:val="hybridMultilevel"/>
    <w:lvl w:ilvl="0">
      <w:lvlJc w:val="left"/>
      <w:lvlText w:val="(%1)"/>
      <w:numFmt w:val="lowerLetter"/>
      <w:start w:val="2"/>
    </w:lvl>
  </w:abstractNum>
  <w:abstractNum w:abstractNumId="110">
    <w:nsid w:val="69E373"/>
    <w:multiLevelType w:val="hybridMultilevel"/>
    <w:lvl w:ilvl="0">
      <w:lvlJc w:val="left"/>
      <w:lvlText w:val="(%1)"/>
      <w:numFmt w:val="lowerRoman"/>
      <w:start w:val="2"/>
    </w:lvl>
  </w:abstractNum>
  <w:abstractNum w:abstractNumId="111">
    <w:nsid w:val="2C27173B"/>
    <w:multiLevelType w:val="hybridMultilevel"/>
    <w:lvl w:ilvl="0">
      <w:lvlJc w:val="left"/>
      <w:lvlText w:val="(%1)"/>
      <w:numFmt w:val="lowerRoman"/>
      <w:start w:val="1"/>
    </w:lvl>
  </w:abstractNum>
  <w:abstractNum w:abstractNumId="112">
    <w:nsid w:val="4C9B0904"/>
    <w:multiLevelType w:val="hybridMultilevel"/>
    <w:lvl w:ilvl="0">
      <w:lvlJc w:val="left"/>
      <w:lvlText w:val="(%1)"/>
      <w:numFmt w:val="upperLetter"/>
      <w:start w:val="9"/>
    </w:lvl>
  </w:abstractNum>
  <w:abstractNum w:abstractNumId="113">
    <w:nsid w:val="6AA7B75C"/>
    <w:multiLevelType w:val="hybridMultilevel"/>
    <w:lvl w:ilvl="0">
      <w:lvlJc w:val="left"/>
      <w:lvlText w:val="(%1)"/>
      <w:numFmt w:val="lowerRoman"/>
      <w:start w:val="1"/>
    </w:lvl>
  </w:abstractNum>
  <w:abstractNum w:abstractNumId="114">
    <w:nsid w:val="1DF029D3"/>
    <w:multiLevelType w:val="hybridMultilevel"/>
    <w:lvl w:ilvl="0">
      <w:lvlJc w:val="left"/>
      <w:lvlText w:val="(%1)"/>
      <w:numFmt w:val="upperLetter"/>
      <w:start w:val="1"/>
    </w:lvl>
  </w:abstractNum>
  <w:abstractNum w:abstractNumId="115">
    <w:nsid w:val="5675FF36"/>
    <w:multiLevelType w:val="hybridMultilevel"/>
    <w:lvl w:ilvl="0">
      <w:lvlJc w:val="left"/>
      <w:lvlText w:val="(%1)"/>
      <w:numFmt w:val="upperLetter"/>
      <w:start w:val="2"/>
    </w:lvl>
  </w:abstractNum>
  <w:abstractNum w:abstractNumId="116">
    <w:nsid w:val="3DD15094"/>
    <w:multiLevelType w:val="hybridMultilevel"/>
    <w:lvl w:ilvl="0">
      <w:lvlJc w:val="left"/>
      <w:lvlText w:val="(%1)"/>
      <w:numFmt w:val="lowerLetter"/>
      <w:start w:val="3"/>
    </w:lvl>
  </w:abstractNum>
  <w:abstractNum w:abstractNumId="117">
    <w:nsid w:val="3DB012B3"/>
    <w:multiLevelType w:val="hybridMultilevel"/>
    <w:lvl w:ilvl="0">
      <w:lvlJc w:val="left"/>
      <w:lvlText w:val="(%1)"/>
      <w:numFmt w:val="lowerLetter"/>
      <w:start w:val="35"/>
    </w:lvl>
  </w:abstractNum>
  <w:abstractNum w:abstractNumId="118">
    <w:nsid w:val="2708C9AF"/>
    <w:multiLevelType w:val="hybridMultilevel"/>
    <w:lvl w:ilvl="0">
      <w:lvlJc w:val="left"/>
      <w:lvlText w:val="(%1)"/>
      <w:numFmt w:val="lowerRoman"/>
      <w:start w:val="2"/>
    </w:lvl>
  </w:abstractNum>
  <w:abstractNum w:abstractNumId="119">
    <w:nsid w:val="5B25ACE2"/>
    <w:multiLevelType w:val="hybridMultilevel"/>
    <w:lvl w:ilvl="0">
      <w:lvlJc w:val="left"/>
      <w:lvlText w:val="(%1)"/>
      <w:numFmt w:val="lowerRoman"/>
      <w:start w:val="1"/>
    </w:lvl>
  </w:abstractNum>
  <w:abstractNum w:abstractNumId="120">
    <w:nsid w:val="175DFCF0"/>
    <w:multiLevelType w:val="hybridMultilevel"/>
    <w:lvl w:ilvl="0">
      <w:lvlJc w:val="left"/>
      <w:lvlText w:val="%1."/>
      <w:numFmt w:val="decimal"/>
      <w:start w:val="1"/>
    </w:lvl>
  </w:abstractNum>
  <w:abstractNum w:abstractNumId="121">
    <w:nsid w:val="4F97E3E4"/>
    <w:multiLevelType w:val="hybridMultilevel"/>
    <w:lvl w:ilvl="0">
      <w:lvlJc w:val="left"/>
      <w:lvlText w:val="%1."/>
      <w:numFmt w:val="decimal"/>
      <w:start w:val="1"/>
    </w:lvl>
    <w:lvl w:ilvl="1">
      <w:lvlJc w:val="left"/>
      <w:lvlText w:val="(%2)"/>
      <w:numFmt w:val="lowerLetter"/>
      <w:start w:val="1"/>
    </w:lvl>
  </w:abstractNum>
  <w:abstractNum w:abstractNumId="122">
    <w:nsid w:val="53B0A9E"/>
    <w:multiLevelType w:val="hybridMultilevel"/>
    <w:lvl w:ilvl="0">
      <w:lvlJc w:val="left"/>
      <w:lvlText w:val="%1."/>
      <w:numFmt w:val="decimal"/>
      <w:start w:val="1"/>
    </w:lvl>
    <w:lvl w:ilvl="1">
      <w:lvlJc w:val="left"/>
      <w:lvlText w:val="(%2)"/>
      <w:numFmt w:val="lowerLetter"/>
      <w:start w:val="1"/>
    </w:lvl>
  </w:abstractNum>
  <w:abstractNum w:abstractNumId="123">
    <w:nsid w:val="34FD6B4F"/>
    <w:multiLevelType w:val="hybridMultilevel"/>
    <w:lvl w:ilvl="0">
      <w:lvlJc w:val="left"/>
      <w:lvlText w:val="(%1)"/>
      <w:numFmt w:val="decimal"/>
      <w:start w:val="1"/>
    </w:lvl>
  </w:abstractNum>
  <w:abstractNum w:abstractNumId="124">
    <w:nsid w:val="5915FF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8" Type="http://schemas.openxmlformats.org/officeDocument/2006/relationships/image" Target="media/image220.png"/><Relationship Id="rId229" Type="http://schemas.openxmlformats.org/officeDocument/2006/relationships/image" Target="media/image221.png"/><Relationship Id="rId230" Type="http://schemas.openxmlformats.org/officeDocument/2006/relationships/image" Target="media/image222.png"/><Relationship Id="rId231" Type="http://schemas.openxmlformats.org/officeDocument/2006/relationships/image" Target="media/image223.png"/><Relationship Id="rId232" Type="http://schemas.openxmlformats.org/officeDocument/2006/relationships/image" Target="media/image224.png"/><Relationship Id="rId233" Type="http://schemas.openxmlformats.org/officeDocument/2006/relationships/image" Target="media/image225.png"/><Relationship Id="rId234" Type="http://schemas.openxmlformats.org/officeDocument/2006/relationships/image" Target="media/image226.png"/><Relationship Id="rId235" Type="http://schemas.openxmlformats.org/officeDocument/2006/relationships/image" Target="media/image227.png"/><Relationship Id="rId236" Type="http://schemas.openxmlformats.org/officeDocument/2006/relationships/image" Target="media/image228.png"/><Relationship Id="rId237" Type="http://schemas.openxmlformats.org/officeDocument/2006/relationships/image" Target="media/image229.png"/><Relationship Id="rId238" Type="http://schemas.openxmlformats.org/officeDocument/2006/relationships/image" Target="media/image230.png"/><Relationship Id="rId239" Type="http://schemas.openxmlformats.org/officeDocument/2006/relationships/image" Target="media/image231.png"/><Relationship Id="rId240" Type="http://schemas.openxmlformats.org/officeDocument/2006/relationships/image" Target="media/image232.png"/><Relationship Id="rId241" Type="http://schemas.openxmlformats.org/officeDocument/2006/relationships/image" Target="media/image233.png"/><Relationship Id="rId242" Type="http://schemas.openxmlformats.org/officeDocument/2006/relationships/image" Target="media/image234.png"/><Relationship Id="rId243" Type="http://schemas.openxmlformats.org/officeDocument/2006/relationships/image" Target="media/image235.png"/><Relationship Id="rId244" Type="http://schemas.openxmlformats.org/officeDocument/2006/relationships/image" Target="media/image236.png"/><Relationship Id="rId245" Type="http://schemas.openxmlformats.org/officeDocument/2006/relationships/image" Target="media/image237.png"/><Relationship Id="rId246" Type="http://schemas.openxmlformats.org/officeDocument/2006/relationships/image" Target="media/image238.png"/><Relationship Id="rId247" Type="http://schemas.openxmlformats.org/officeDocument/2006/relationships/image" Target="media/image239.png"/><Relationship Id="rId248" Type="http://schemas.openxmlformats.org/officeDocument/2006/relationships/image" Target="media/image240.png"/><Relationship Id="rId249" Type="http://schemas.openxmlformats.org/officeDocument/2006/relationships/image" Target="media/image241.png"/><Relationship Id="rId250" Type="http://schemas.openxmlformats.org/officeDocument/2006/relationships/image" Target="media/image242.png"/><Relationship Id="rId251" Type="http://schemas.openxmlformats.org/officeDocument/2006/relationships/image" Target="media/image243.png"/><Relationship Id="rId252" Type="http://schemas.openxmlformats.org/officeDocument/2006/relationships/image" Target="media/image244.png"/><Relationship Id="rId253" Type="http://schemas.openxmlformats.org/officeDocument/2006/relationships/image" Target="media/image245.png"/><Relationship Id="rId254" Type="http://schemas.openxmlformats.org/officeDocument/2006/relationships/image" Target="media/image246.png"/><Relationship Id="rId255" Type="http://schemas.openxmlformats.org/officeDocument/2006/relationships/image" Target="media/image247.png"/><Relationship Id="rId256" Type="http://schemas.openxmlformats.org/officeDocument/2006/relationships/image" Target="media/image248.png"/><Relationship Id="rId257" Type="http://schemas.openxmlformats.org/officeDocument/2006/relationships/image" Target="media/image249.png"/><Relationship Id="rId258" Type="http://schemas.openxmlformats.org/officeDocument/2006/relationships/image" Target="media/image250.png"/><Relationship Id="rId259" Type="http://schemas.openxmlformats.org/officeDocument/2006/relationships/image" Target="media/image251.png"/><Relationship Id="rId260" Type="http://schemas.openxmlformats.org/officeDocument/2006/relationships/image" Target="media/image252.png"/><Relationship Id="rId261" Type="http://schemas.openxmlformats.org/officeDocument/2006/relationships/image" Target="media/image253.png"/><Relationship Id="rId262" Type="http://schemas.openxmlformats.org/officeDocument/2006/relationships/image" Target="media/image254.png"/><Relationship Id="rId263" Type="http://schemas.openxmlformats.org/officeDocument/2006/relationships/image" Target="media/image255.png"/><Relationship Id="rId264" Type="http://schemas.openxmlformats.org/officeDocument/2006/relationships/image" Target="media/image256.png"/><Relationship Id="rId265" Type="http://schemas.openxmlformats.org/officeDocument/2006/relationships/image" Target="media/image257.png"/><Relationship Id="rId266" Type="http://schemas.openxmlformats.org/officeDocument/2006/relationships/image" Target="media/image258.png"/><Relationship Id="rId267" Type="http://schemas.openxmlformats.org/officeDocument/2006/relationships/image" Target="media/image259.png"/><Relationship Id="rId268" Type="http://schemas.openxmlformats.org/officeDocument/2006/relationships/image" Target="media/image260.png"/><Relationship Id="rId269" Type="http://schemas.openxmlformats.org/officeDocument/2006/relationships/image" Target="media/image261.png"/><Relationship Id="rId270" Type="http://schemas.openxmlformats.org/officeDocument/2006/relationships/image" Target="media/image262.png"/><Relationship Id="rId271" Type="http://schemas.openxmlformats.org/officeDocument/2006/relationships/image" Target="media/image263.png"/><Relationship Id="rId272" Type="http://schemas.openxmlformats.org/officeDocument/2006/relationships/image" Target="media/image264.png"/><Relationship Id="rId273" Type="http://schemas.openxmlformats.org/officeDocument/2006/relationships/image" Target="media/image265.png"/><Relationship Id="rId274" Type="http://schemas.openxmlformats.org/officeDocument/2006/relationships/image" Target="media/image266.png"/><Relationship Id="rId275" Type="http://schemas.openxmlformats.org/officeDocument/2006/relationships/image" Target="media/image267.png"/><Relationship Id="rId276" Type="http://schemas.openxmlformats.org/officeDocument/2006/relationships/image" Target="media/image268.png"/><Relationship Id="rId277" Type="http://schemas.openxmlformats.org/officeDocument/2006/relationships/image" Target="media/image269.png"/><Relationship Id="rId278" Type="http://schemas.openxmlformats.org/officeDocument/2006/relationships/image" Target="media/image270.png"/><Relationship Id="rId279" Type="http://schemas.openxmlformats.org/officeDocument/2006/relationships/image" Target="media/image271.png"/><Relationship Id="rId280" Type="http://schemas.openxmlformats.org/officeDocument/2006/relationships/image" Target="media/image272.png"/><Relationship Id="rId281" Type="http://schemas.openxmlformats.org/officeDocument/2006/relationships/image" Target="media/image273.png"/><Relationship Id="rId282" Type="http://schemas.openxmlformats.org/officeDocument/2006/relationships/image" Target="media/image274.png"/><Relationship Id="rId283" Type="http://schemas.openxmlformats.org/officeDocument/2006/relationships/image" Target="media/image275.png"/><Relationship Id="rId284" Type="http://schemas.openxmlformats.org/officeDocument/2006/relationships/image" Target="media/image276.png"/><Relationship Id="rId285" Type="http://schemas.openxmlformats.org/officeDocument/2006/relationships/image" Target="media/image277.png"/><Relationship Id="rId286" Type="http://schemas.openxmlformats.org/officeDocument/2006/relationships/image" Target="media/image278.png"/><Relationship Id="rId287" Type="http://schemas.openxmlformats.org/officeDocument/2006/relationships/image" Target="media/image279.png"/><Relationship Id="rId288" Type="http://schemas.openxmlformats.org/officeDocument/2006/relationships/image" Target="media/image280.png"/><Relationship Id="rId289" Type="http://schemas.openxmlformats.org/officeDocument/2006/relationships/image" Target="media/image281.png"/><Relationship Id="rId290" Type="http://schemas.openxmlformats.org/officeDocument/2006/relationships/image" Target="media/image282.png"/><Relationship Id="rId291" Type="http://schemas.openxmlformats.org/officeDocument/2006/relationships/image" Target="media/image283.png"/><Relationship Id="rId292" Type="http://schemas.openxmlformats.org/officeDocument/2006/relationships/image" Target="media/image284.png"/><Relationship Id="rId293" Type="http://schemas.openxmlformats.org/officeDocument/2006/relationships/image" Target="media/image285.png"/><Relationship Id="rId294" Type="http://schemas.openxmlformats.org/officeDocument/2006/relationships/image" Target="media/image286.png"/><Relationship Id="rId295" Type="http://schemas.openxmlformats.org/officeDocument/2006/relationships/image" Target="media/image287.png"/><Relationship Id="rId296" Type="http://schemas.openxmlformats.org/officeDocument/2006/relationships/image" Target="media/image288.png"/><Relationship Id="rId297" Type="http://schemas.openxmlformats.org/officeDocument/2006/relationships/image" Target="media/image289.png"/><Relationship Id="rId298" Type="http://schemas.openxmlformats.org/officeDocument/2006/relationships/image" Target="media/image290.png"/><Relationship Id="rId299" Type="http://schemas.openxmlformats.org/officeDocument/2006/relationships/image" Target="media/image291.png"/><Relationship Id="rId300" Type="http://schemas.openxmlformats.org/officeDocument/2006/relationships/image" Target="media/image292.png"/><Relationship Id="rId301" Type="http://schemas.openxmlformats.org/officeDocument/2006/relationships/image" Target="media/image293.png"/><Relationship Id="rId302" Type="http://schemas.openxmlformats.org/officeDocument/2006/relationships/image" Target="media/image294.png"/><Relationship Id="rId303" Type="http://schemas.openxmlformats.org/officeDocument/2006/relationships/image" Target="media/image295.png"/><Relationship Id="rId304" Type="http://schemas.openxmlformats.org/officeDocument/2006/relationships/image" Target="media/image296.png"/><Relationship Id="rId305" Type="http://schemas.openxmlformats.org/officeDocument/2006/relationships/image" Target="media/image297.png"/><Relationship Id="rId306" Type="http://schemas.openxmlformats.org/officeDocument/2006/relationships/image" Target="media/image298.png"/><Relationship Id="rId307" Type="http://schemas.openxmlformats.org/officeDocument/2006/relationships/image" Target="media/image299.png"/><Relationship Id="rId308" Type="http://schemas.openxmlformats.org/officeDocument/2006/relationships/image" Target="media/image300.png"/><Relationship Id="rId309" Type="http://schemas.openxmlformats.org/officeDocument/2006/relationships/image" Target="media/image301.png"/><Relationship Id="rId310" Type="http://schemas.openxmlformats.org/officeDocument/2006/relationships/image" Target="media/image302.png"/><Relationship Id="rId311" Type="http://schemas.openxmlformats.org/officeDocument/2006/relationships/image" Target="media/image303.png"/><Relationship Id="rId312" Type="http://schemas.openxmlformats.org/officeDocument/2006/relationships/image" Target="media/image304.png"/><Relationship Id="rId313" Type="http://schemas.openxmlformats.org/officeDocument/2006/relationships/image" Target="media/image305.png"/><Relationship Id="rId314" Type="http://schemas.openxmlformats.org/officeDocument/2006/relationships/image" Target="media/image306.png"/><Relationship Id="rId315" Type="http://schemas.openxmlformats.org/officeDocument/2006/relationships/image" Target="media/image307.png"/><Relationship Id="rId316" Type="http://schemas.openxmlformats.org/officeDocument/2006/relationships/image" Target="media/image308.png"/><Relationship Id="rId317" Type="http://schemas.openxmlformats.org/officeDocument/2006/relationships/image" Target="media/image309.png"/><Relationship Id="rId318" Type="http://schemas.openxmlformats.org/officeDocument/2006/relationships/image" Target="media/image310.png"/><Relationship Id="rId319" Type="http://schemas.openxmlformats.org/officeDocument/2006/relationships/image" Target="media/image311.png"/><Relationship Id="rId320" Type="http://schemas.openxmlformats.org/officeDocument/2006/relationships/image" Target="media/image312.png"/><Relationship Id="rId321" Type="http://schemas.openxmlformats.org/officeDocument/2006/relationships/image" Target="media/image313.png"/><Relationship Id="rId322" Type="http://schemas.openxmlformats.org/officeDocument/2006/relationships/image" Target="media/image314.png"/><Relationship Id="rId323" Type="http://schemas.openxmlformats.org/officeDocument/2006/relationships/image" Target="media/image315.png"/><Relationship Id="rId324" Type="http://schemas.openxmlformats.org/officeDocument/2006/relationships/image" Target="media/image316.png"/><Relationship Id="rId325" Type="http://schemas.openxmlformats.org/officeDocument/2006/relationships/image" Target="media/image317.png"/><Relationship Id="rId326" Type="http://schemas.openxmlformats.org/officeDocument/2006/relationships/image" Target="media/image318.png"/><Relationship Id="rId327" Type="http://schemas.openxmlformats.org/officeDocument/2006/relationships/image" Target="media/image319.png"/><Relationship Id="rId328" Type="http://schemas.openxmlformats.org/officeDocument/2006/relationships/image" Target="media/image320.png"/><Relationship Id="rId329" Type="http://schemas.openxmlformats.org/officeDocument/2006/relationships/image" Target="media/image321.png"/><Relationship Id="rId330" Type="http://schemas.openxmlformats.org/officeDocument/2006/relationships/image" Target="media/image322.png"/><Relationship Id="rId331" Type="http://schemas.openxmlformats.org/officeDocument/2006/relationships/image" Target="media/image323.png"/><Relationship Id="rId332" Type="http://schemas.openxmlformats.org/officeDocument/2006/relationships/image" Target="media/image324.png"/><Relationship Id="rId333" Type="http://schemas.openxmlformats.org/officeDocument/2006/relationships/image" Target="media/image325.png"/><Relationship Id="rId334" Type="http://schemas.openxmlformats.org/officeDocument/2006/relationships/image" Target="media/image326.png"/><Relationship Id="rId335" Type="http://schemas.openxmlformats.org/officeDocument/2006/relationships/image" Target="media/image327.png"/><Relationship Id="rId336" Type="http://schemas.openxmlformats.org/officeDocument/2006/relationships/image" Target="media/image328.png"/><Relationship Id="rId337" Type="http://schemas.openxmlformats.org/officeDocument/2006/relationships/image" Target="media/image329.png"/><Relationship Id="rId338" Type="http://schemas.openxmlformats.org/officeDocument/2006/relationships/image" Target="media/image330.png"/><Relationship Id="rId339" Type="http://schemas.openxmlformats.org/officeDocument/2006/relationships/image" Target="media/image331.png"/><Relationship Id="rId340" Type="http://schemas.openxmlformats.org/officeDocument/2006/relationships/image" Target="media/image332.png"/><Relationship Id="rId341" Type="http://schemas.openxmlformats.org/officeDocument/2006/relationships/image" Target="media/image333.png"/><Relationship Id="rId342" Type="http://schemas.openxmlformats.org/officeDocument/2006/relationships/image" Target="media/image334.png"/><Relationship Id="rId343" Type="http://schemas.openxmlformats.org/officeDocument/2006/relationships/image" Target="media/image335.png"/><Relationship Id="rId344" Type="http://schemas.openxmlformats.org/officeDocument/2006/relationships/image" Target="media/image336.png"/><Relationship Id="rId345" Type="http://schemas.openxmlformats.org/officeDocument/2006/relationships/image" Target="media/image337.png"/><Relationship Id="rId346" Type="http://schemas.openxmlformats.org/officeDocument/2006/relationships/image" Target="media/image338.png"/><Relationship Id="rId347" Type="http://schemas.openxmlformats.org/officeDocument/2006/relationships/image" Target="media/image339.png"/><Relationship Id="rId348" Type="http://schemas.openxmlformats.org/officeDocument/2006/relationships/image" Target="media/image340.png"/><Relationship Id="rId349" Type="http://schemas.openxmlformats.org/officeDocument/2006/relationships/image" Target="media/image341.png"/><Relationship Id="rId350" Type="http://schemas.openxmlformats.org/officeDocument/2006/relationships/image" Target="media/image342.png"/><Relationship Id="rId351" Type="http://schemas.openxmlformats.org/officeDocument/2006/relationships/image" Target="media/image343.png"/><Relationship Id="rId352" Type="http://schemas.openxmlformats.org/officeDocument/2006/relationships/image" Target="media/image344.png"/><Relationship Id="rId353" Type="http://schemas.openxmlformats.org/officeDocument/2006/relationships/image" Target="media/image345.png"/><Relationship Id="rId354" Type="http://schemas.openxmlformats.org/officeDocument/2006/relationships/image" Target="media/image346.png"/><Relationship Id="rId355" Type="http://schemas.openxmlformats.org/officeDocument/2006/relationships/image" Target="media/image347.png"/><Relationship Id="rId356" Type="http://schemas.openxmlformats.org/officeDocument/2006/relationships/image" Target="media/image348.png"/><Relationship Id="rId357" Type="http://schemas.openxmlformats.org/officeDocument/2006/relationships/image" Target="media/image349.png"/><Relationship Id="rId358" Type="http://schemas.openxmlformats.org/officeDocument/2006/relationships/image" Target="media/image350.png"/><Relationship Id="rId359" Type="http://schemas.openxmlformats.org/officeDocument/2006/relationships/image" Target="media/image351.png"/><Relationship Id="rId360" Type="http://schemas.openxmlformats.org/officeDocument/2006/relationships/image" Target="media/image352.png"/><Relationship Id="rId361" Type="http://schemas.openxmlformats.org/officeDocument/2006/relationships/image" Target="media/image353.png"/><Relationship Id="rId362" Type="http://schemas.openxmlformats.org/officeDocument/2006/relationships/image" Target="media/image354.png"/><Relationship Id="rId363" Type="http://schemas.openxmlformats.org/officeDocument/2006/relationships/image" Target="media/image355.png"/><Relationship Id="rId364" Type="http://schemas.openxmlformats.org/officeDocument/2006/relationships/image" Target="media/image356.png"/><Relationship Id="rId365" Type="http://schemas.openxmlformats.org/officeDocument/2006/relationships/image" Target="media/image357.png"/><Relationship Id="rId366" Type="http://schemas.openxmlformats.org/officeDocument/2006/relationships/image" Target="media/image358.png"/><Relationship Id="rId367" Type="http://schemas.openxmlformats.org/officeDocument/2006/relationships/image" Target="media/image359.png"/><Relationship Id="rId368" Type="http://schemas.openxmlformats.org/officeDocument/2006/relationships/image" Target="media/image360.png"/><Relationship Id="rId369" Type="http://schemas.openxmlformats.org/officeDocument/2006/relationships/image" Target="media/image361.png"/><Relationship Id="rId370" Type="http://schemas.openxmlformats.org/officeDocument/2006/relationships/image" Target="media/image362.png"/><Relationship Id="rId371" Type="http://schemas.openxmlformats.org/officeDocument/2006/relationships/image" Target="media/image363.png"/><Relationship Id="rId372" Type="http://schemas.openxmlformats.org/officeDocument/2006/relationships/image" Target="media/image364.png"/><Relationship Id="rId373" Type="http://schemas.openxmlformats.org/officeDocument/2006/relationships/image" Target="media/image365.png"/><Relationship Id="rId374" Type="http://schemas.openxmlformats.org/officeDocument/2006/relationships/image" Target="media/image366.png"/><Relationship Id="rId375" Type="http://schemas.openxmlformats.org/officeDocument/2006/relationships/image" Target="media/image367.png"/><Relationship Id="rId376" Type="http://schemas.openxmlformats.org/officeDocument/2006/relationships/image" Target="media/image368.png"/><Relationship Id="rId377" Type="http://schemas.openxmlformats.org/officeDocument/2006/relationships/image" Target="media/image369.png"/><Relationship Id="rId378" Type="http://schemas.openxmlformats.org/officeDocument/2006/relationships/image" Target="media/image370.png"/><Relationship Id="rId379" Type="http://schemas.openxmlformats.org/officeDocument/2006/relationships/image" Target="media/image371.png"/><Relationship Id="rId380" Type="http://schemas.openxmlformats.org/officeDocument/2006/relationships/image" Target="media/image372.png"/><Relationship Id="rId381" Type="http://schemas.openxmlformats.org/officeDocument/2006/relationships/image" Target="media/image373.png"/><Relationship Id="rId382" Type="http://schemas.openxmlformats.org/officeDocument/2006/relationships/image" Target="media/image374.png"/><Relationship Id="rId383" Type="http://schemas.openxmlformats.org/officeDocument/2006/relationships/image" Target="media/image375.png"/><Relationship Id="rId384" Type="http://schemas.openxmlformats.org/officeDocument/2006/relationships/image" Target="media/image376.png"/><Relationship Id="rId385" Type="http://schemas.openxmlformats.org/officeDocument/2006/relationships/image" Target="media/image377.png"/><Relationship Id="rId386" Type="http://schemas.openxmlformats.org/officeDocument/2006/relationships/image" Target="media/image378.png"/><Relationship Id="rId387" Type="http://schemas.openxmlformats.org/officeDocument/2006/relationships/image" Target="media/image379.png"/><Relationship Id="rId388" Type="http://schemas.openxmlformats.org/officeDocument/2006/relationships/image" Target="media/image380.png"/><Relationship Id="rId389" Type="http://schemas.openxmlformats.org/officeDocument/2006/relationships/image" Target="media/image381.png"/><Relationship Id="rId390" Type="http://schemas.openxmlformats.org/officeDocument/2006/relationships/image" Target="media/image382.png"/><Relationship Id="rId391" Type="http://schemas.openxmlformats.org/officeDocument/2006/relationships/image" Target="media/image383.png"/><Relationship Id="rId392" Type="http://schemas.openxmlformats.org/officeDocument/2006/relationships/image" Target="media/image384.png"/><Relationship Id="rId393" Type="http://schemas.openxmlformats.org/officeDocument/2006/relationships/image" Target="media/image385.png"/><Relationship Id="rId394" Type="http://schemas.openxmlformats.org/officeDocument/2006/relationships/image" Target="media/image386.png"/><Relationship Id="rId395" Type="http://schemas.openxmlformats.org/officeDocument/2006/relationships/image" Target="media/image387.png"/><Relationship Id="rId396" Type="http://schemas.openxmlformats.org/officeDocument/2006/relationships/image" Target="media/image388.png"/><Relationship Id="rId397" Type="http://schemas.openxmlformats.org/officeDocument/2006/relationships/image" Target="media/image389.png"/><Relationship Id="rId398" Type="http://schemas.openxmlformats.org/officeDocument/2006/relationships/image" Target="media/image390.png"/><Relationship Id="rId399" Type="http://schemas.openxmlformats.org/officeDocument/2006/relationships/image" Target="media/image391.png"/><Relationship Id="rId400" Type="http://schemas.openxmlformats.org/officeDocument/2006/relationships/image" Target="media/image392.png"/><Relationship Id="rId401" Type="http://schemas.openxmlformats.org/officeDocument/2006/relationships/image" Target="media/image393.png"/><Relationship Id="rId402" Type="http://schemas.openxmlformats.org/officeDocument/2006/relationships/image" Target="media/image394.png"/><Relationship Id="rId403" Type="http://schemas.openxmlformats.org/officeDocument/2006/relationships/image" Target="media/image395.png"/><Relationship Id="rId404" Type="http://schemas.openxmlformats.org/officeDocument/2006/relationships/image" Target="media/image396.png"/><Relationship Id="rId405" Type="http://schemas.openxmlformats.org/officeDocument/2006/relationships/image" Target="media/image397.png"/><Relationship Id="rId406" Type="http://schemas.openxmlformats.org/officeDocument/2006/relationships/image" Target="media/image398.png"/><Relationship Id="rId407" Type="http://schemas.openxmlformats.org/officeDocument/2006/relationships/image" Target="media/image399.png"/><Relationship Id="rId408" Type="http://schemas.openxmlformats.org/officeDocument/2006/relationships/image" Target="media/image400.png"/><Relationship Id="rId409" Type="http://schemas.openxmlformats.org/officeDocument/2006/relationships/image" Target="media/image401.png"/><Relationship Id="rId410" Type="http://schemas.openxmlformats.org/officeDocument/2006/relationships/image" Target="media/image402.png"/><Relationship Id="rId411" Type="http://schemas.openxmlformats.org/officeDocument/2006/relationships/image" Target="media/image403.png"/><Relationship Id="rId412" Type="http://schemas.openxmlformats.org/officeDocument/2006/relationships/image" Target="media/image404.png"/><Relationship Id="rId413" Type="http://schemas.openxmlformats.org/officeDocument/2006/relationships/image" Target="media/image405.png"/><Relationship Id="rId414" Type="http://schemas.openxmlformats.org/officeDocument/2006/relationships/image" Target="media/image406.png"/><Relationship Id="rId415" Type="http://schemas.openxmlformats.org/officeDocument/2006/relationships/image" Target="media/image407.png"/><Relationship Id="rId416" Type="http://schemas.openxmlformats.org/officeDocument/2006/relationships/image" Target="media/image408.png"/><Relationship Id="rId417" Type="http://schemas.openxmlformats.org/officeDocument/2006/relationships/image" Target="media/image409.png"/><Relationship Id="rId418" Type="http://schemas.openxmlformats.org/officeDocument/2006/relationships/image" Target="media/image410.png"/><Relationship Id="rId419" Type="http://schemas.openxmlformats.org/officeDocument/2006/relationships/image" Target="media/image411.png"/><Relationship Id="rId420" Type="http://schemas.openxmlformats.org/officeDocument/2006/relationships/image" Target="media/image412.png"/><Relationship Id="rId421" Type="http://schemas.openxmlformats.org/officeDocument/2006/relationships/image" Target="media/image413.png"/><Relationship Id="rId422" Type="http://schemas.openxmlformats.org/officeDocument/2006/relationships/image" Target="media/image414.png"/><Relationship Id="rId423" Type="http://schemas.openxmlformats.org/officeDocument/2006/relationships/image" Target="media/image415.png"/><Relationship Id="rId424" Type="http://schemas.openxmlformats.org/officeDocument/2006/relationships/image" Target="media/image416.png"/><Relationship Id="rId425" Type="http://schemas.openxmlformats.org/officeDocument/2006/relationships/image" Target="media/image417.png"/><Relationship Id="rId426" Type="http://schemas.openxmlformats.org/officeDocument/2006/relationships/image" Target="media/image418.png"/><Relationship Id="rId427" Type="http://schemas.openxmlformats.org/officeDocument/2006/relationships/image" Target="media/image419.png"/><Relationship Id="rId428" Type="http://schemas.openxmlformats.org/officeDocument/2006/relationships/image" Target="media/image420.png"/><Relationship Id="rId429" Type="http://schemas.openxmlformats.org/officeDocument/2006/relationships/image" Target="media/image421.png"/><Relationship Id="rId430" Type="http://schemas.openxmlformats.org/officeDocument/2006/relationships/image" Target="media/image422.png"/><Relationship Id="rId431" Type="http://schemas.openxmlformats.org/officeDocument/2006/relationships/image" Target="media/image423.png"/><Relationship Id="rId432" Type="http://schemas.openxmlformats.org/officeDocument/2006/relationships/image" Target="media/image424.png"/><Relationship Id="rId433" Type="http://schemas.openxmlformats.org/officeDocument/2006/relationships/image" Target="media/image425.png"/><Relationship Id="rId434" Type="http://schemas.openxmlformats.org/officeDocument/2006/relationships/image" Target="media/image426.png"/><Relationship Id="rId435" Type="http://schemas.openxmlformats.org/officeDocument/2006/relationships/image" Target="media/image427.png"/><Relationship Id="rId436" Type="http://schemas.openxmlformats.org/officeDocument/2006/relationships/image" Target="media/image428.png"/><Relationship Id="rId437" Type="http://schemas.openxmlformats.org/officeDocument/2006/relationships/image" Target="media/image429.png"/><Relationship Id="rId438" Type="http://schemas.openxmlformats.org/officeDocument/2006/relationships/image" Target="media/image430.png"/><Relationship Id="rId439" Type="http://schemas.openxmlformats.org/officeDocument/2006/relationships/image" Target="media/image431.png"/><Relationship Id="rId440" Type="http://schemas.openxmlformats.org/officeDocument/2006/relationships/image" Target="media/image432.png"/><Relationship Id="rId441" Type="http://schemas.openxmlformats.org/officeDocument/2006/relationships/image" Target="media/image433.png"/><Relationship Id="rId442" Type="http://schemas.openxmlformats.org/officeDocument/2006/relationships/image" Target="media/image434.png"/><Relationship Id="rId443" Type="http://schemas.openxmlformats.org/officeDocument/2006/relationships/image" Target="media/image435.png"/><Relationship Id="rId444" Type="http://schemas.openxmlformats.org/officeDocument/2006/relationships/image" Target="media/image436.png"/><Relationship Id="rId445" Type="http://schemas.openxmlformats.org/officeDocument/2006/relationships/image" Target="media/image437.png"/><Relationship Id="rId446" Type="http://schemas.openxmlformats.org/officeDocument/2006/relationships/image" Target="media/image438.png"/><Relationship Id="rId447" Type="http://schemas.openxmlformats.org/officeDocument/2006/relationships/image" Target="media/image439.png"/><Relationship Id="rId448" Type="http://schemas.openxmlformats.org/officeDocument/2006/relationships/image" Target="media/image440.png"/><Relationship Id="rId449" Type="http://schemas.openxmlformats.org/officeDocument/2006/relationships/image" Target="media/image441.png"/><Relationship Id="rId450" Type="http://schemas.openxmlformats.org/officeDocument/2006/relationships/image" Target="media/image442.png"/><Relationship Id="rId451" Type="http://schemas.openxmlformats.org/officeDocument/2006/relationships/image" Target="media/image443.png"/><Relationship Id="rId452" Type="http://schemas.openxmlformats.org/officeDocument/2006/relationships/image" Target="media/image444.png"/><Relationship Id="rId453" Type="http://schemas.openxmlformats.org/officeDocument/2006/relationships/image" Target="media/image445.png"/><Relationship Id="rId454" Type="http://schemas.openxmlformats.org/officeDocument/2006/relationships/image" Target="media/image446.png"/><Relationship Id="rId455" Type="http://schemas.openxmlformats.org/officeDocument/2006/relationships/image" Target="media/image447.png"/><Relationship Id="rId456" Type="http://schemas.openxmlformats.org/officeDocument/2006/relationships/image" Target="media/image448.png"/><Relationship Id="rId457" Type="http://schemas.openxmlformats.org/officeDocument/2006/relationships/image" Target="media/image449.png"/><Relationship Id="rId458" Type="http://schemas.openxmlformats.org/officeDocument/2006/relationships/image" Target="media/image450.png"/><Relationship Id="rId459" Type="http://schemas.openxmlformats.org/officeDocument/2006/relationships/image" Target="media/image451.png"/><Relationship Id="rId460" Type="http://schemas.openxmlformats.org/officeDocument/2006/relationships/image" Target="media/image452.png"/><Relationship Id="rId461" Type="http://schemas.openxmlformats.org/officeDocument/2006/relationships/image" Target="media/image453.png"/><Relationship Id="rId462" Type="http://schemas.openxmlformats.org/officeDocument/2006/relationships/image" Target="media/image454.png"/><Relationship Id="rId463" Type="http://schemas.openxmlformats.org/officeDocument/2006/relationships/image" Target="media/image455.png"/><Relationship Id="rId464" Type="http://schemas.openxmlformats.org/officeDocument/2006/relationships/image" Target="media/image456.png"/><Relationship Id="rId465" Type="http://schemas.openxmlformats.org/officeDocument/2006/relationships/image" Target="media/image457.png"/><Relationship Id="rId466" Type="http://schemas.openxmlformats.org/officeDocument/2006/relationships/image" Target="media/image458.png"/><Relationship Id="rId467" Type="http://schemas.openxmlformats.org/officeDocument/2006/relationships/image" Target="media/image459.png"/><Relationship Id="rId468" Type="http://schemas.openxmlformats.org/officeDocument/2006/relationships/image" Target="media/image460.png"/><Relationship Id="rId227" Type="http://schemas.openxmlformats.org/officeDocument/2006/relationships/hyperlink" Target="https://www.sec.gov/Archives/edgar/data/1372020/000095017025069460/gldd-ex10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2025-08-05T15:14:36Z</dcterms:created>
  <dcterms:modified xsi:type="dcterms:W3CDTF">2025-08-05T15:14:36Z</dcterms:modified>
</cp:coreProperties>
</file>